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43946" w:rsidP="00C321B5">
      <w:pPr>
        <w:jc w:val="center"/>
        <w:rPr>
          <w:rFonts w:ascii="Book Antiqua" w:hAnsi="Book Antiqua" w:cs="Arial"/>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83C46">
        <w:rPr>
          <w:rFonts w:ascii="Book Antiqua" w:hAnsi="Book Antiqua" w:cs="Arial"/>
          <w:b/>
        </w:rPr>
        <w:t xml:space="preserve">   </w:t>
      </w:r>
      <w:proofErr w:type="gramEnd"/>
      <w:r w:rsidR="00783C46">
        <w:rPr>
          <w:rFonts w:ascii="Book Antiqua" w:hAnsi="Book Antiqua" w:cs="Arial"/>
          <w:b/>
        </w:rPr>
        <w:t xml:space="preserve">                    </w:t>
      </w:r>
      <w:r w:rsidR="00B3524D" w:rsidRPr="00783C46">
        <w:rPr>
          <w:rFonts w:ascii="Book Antiqua" w:hAnsi="Book Antiqua" w:cs="Arial"/>
          <w:b/>
        </w:rPr>
        <w:t>Appeal Number</w:t>
      </w:r>
      <w:r w:rsidR="00D53769" w:rsidRPr="00783C46">
        <w:rPr>
          <w:rFonts w:ascii="Book Antiqua" w:hAnsi="Book Antiqua" w:cs="Arial"/>
          <w:b/>
        </w:rPr>
        <w:t>:</w:t>
      </w:r>
      <w:r w:rsidR="00B3524D" w:rsidRPr="00783C46">
        <w:rPr>
          <w:rFonts w:ascii="Book Antiqua" w:hAnsi="Book Antiqua" w:cs="Arial"/>
          <w:b/>
        </w:rPr>
        <w:t xml:space="preserve"> </w:t>
      </w:r>
      <w:r w:rsidR="00F56422" w:rsidRPr="00783C46">
        <w:rPr>
          <w:rFonts w:ascii="Book Antiqua" w:hAnsi="Book Antiqua" w:cs="Arial"/>
          <w:b/>
          <w:caps/>
        </w:rPr>
        <w:t>HU/10647/2016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F5664C" w:rsidTr="00E319D3">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56422">
              <w:rPr>
                <w:rFonts w:ascii="Book Antiqua" w:hAnsi="Book Antiqua" w:cs="Arial"/>
                <w:b/>
              </w:rPr>
              <w:t>The Rolls Building, London</w:t>
            </w:r>
          </w:p>
        </w:tc>
        <w:tc>
          <w:tcPr>
            <w:tcW w:w="4768" w:type="dxa"/>
            <w:gridSpan w:val="2"/>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E319D3">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56422">
              <w:rPr>
                <w:rFonts w:ascii="Book Antiqua" w:hAnsi="Book Antiqua" w:cs="Arial"/>
                <w:b/>
              </w:rPr>
              <w:t>8 February 2018</w:t>
            </w:r>
          </w:p>
        </w:tc>
        <w:tc>
          <w:tcPr>
            <w:tcW w:w="4768" w:type="dxa"/>
            <w:gridSpan w:val="2"/>
          </w:tcPr>
          <w:p w:rsidR="00D22636" w:rsidRPr="00F5664C" w:rsidRDefault="00E319D3" w:rsidP="004A1848">
            <w:pPr>
              <w:jc w:val="both"/>
              <w:rPr>
                <w:rFonts w:ascii="Book Antiqua" w:hAnsi="Book Antiqua" w:cs="Arial"/>
                <w:b/>
              </w:rPr>
            </w:pPr>
            <w:r>
              <w:rPr>
                <w:rFonts w:ascii="Book Antiqua" w:hAnsi="Book Antiqua" w:cs="Arial"/>
                <w:b/>
              </w:rPr>
              <w:t xml:space="preserve">On 6 June 2018 </w:t>
            </w:r>
          </w:p>
        </w:tc>
      </w:tr>
      <w:tr w:rsidR="00D22636" w:rsidRPr="00F5664C" w:rsidTr="00E319D3">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Default="00A15234" w:rsidP="00A15234">
      <w:pPr>
        <w:jc w:val="center"/>
        <w:rPr>
          <w:rFonts w:ascii="Book Antiqua" w:hAnsi="Book Antiqua" w:cs="Arial"/>
        </w:rPr>
      </w:pPr>
    </w:p>
    <w:p w:rsidR="00A33E94" w:rsidRPr="00F5664C" w:rsidRDefault="00A33E9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Default="00A15234" w:rsidP="00A15234">
      <w:pPr>
        <w:jc w:val="center"/>
        <w:rPr>
          <w:rFonts w:ascii="Book Antiqua" w:hAnsi="Book Antiqua" w:cs="Arial"/>
          <w:b/>
        </w:rPr>
      </w:pPr>
    </w:p>
    <w:p w:rsidR="00A33E94" w:rsidRPr="00F5664C" w:rsidRDefault="00A33E94" w:rsidP="00A15234">
      <w:pPr>
        <w:jc w:val="center"/>
        <w:rPr>
          <w:rFonts w:ascii="Book Antiqua" w:hAnsi="Book Antiqua" w:cs="Arial"/>
          <w:b/>
        </w:rPr>
      </w:pPr>
    </w:p>
    <w:p w:rsidR="001A1E2C" w:rsidRPr="00F5664C" w:rsidRDefault="00155BA9" w:rsidP="00F56422">
      <w:pPr>
        <w:jc w:val="center"/>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p>
    <w:p w:rsidR="00B16F58" w:rsidRDefault="00B16F58" w:rsidP="00A15234">
      <w:pPr>
        <w:jc w:val="center"/>
        <w:rPr>
          <w:rFonts w:ascii="Book Antiqua" w:hAnsi="Book Antiqua" w:cs="Arial"/>
          <w:b/>
        </w:rPr>
      </w:pPr>
    </w:p>
    <w:p w:rsidR="00A33E94" w:rsidRPr="00F5664C" w:rsidRDefault="00A33E94"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A33E94" w:rsidRDefault="00A33E94" w:rsidP="00A15234">
      <w:pPr>
        <w:jc w:val="center"/>
        <w:rPr>
          <w:rFonts w:ascii="Book Antiqua" w:hAnsi="Book Antiqua" w:cs="Arial"/>
          <w:b/>
        </w:rPr>
      </w:pPr>
    </w:p>
    <w:p w:rsidR="00D323AC" w:rsidRDefault="00D323AC" w:rsidP="00A15234">
      <w:pPr>
        <w:jc w:val="center"/>
        <w:rPr>
          <w:rFonts w:ascii="Book Antiqua" w:hAnsi="Book Antiqua" w:cs="Arial"/>
          <w:b/>
        </w:rPr>
      </w:pPr>
      <w:r>
        <w:rPr>
          <w:rFonts w:ascii="Book Antiqua" w:hAnsi="Book Antiqua" w:cs="Arial"/>
          <w:b/>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DD5071" w:rsidRPr="00F56422" w:rsidRDefault="00DD5071" w:rsidP="00F56422">
      <w:pPr>
        <w:jc w:val="center"/>
        <w:rPr>
          <w:rFonts w:ascii="Book Antiqua" w:hAnsi="Book Antiqua" w:cs="Arial"/>
          <w:b/>
        </w:rPr>
      </w:pPr>
      <w:r w:rsidRPr="00F5664C">
        <w:rPr>
          <w:rFonts w:ascii="Book Antiqua" w:hAnsi="Book Antiqua" w:cs="Arial"/>
          <w:b/>
        </w:rPr>
        <w:t>and</w:t>
      </w:r>
      <w:bookmarkStart w:id="0" w:name="_Hlk515885214"/>
    </w:p>
    <w:bookmarkEnd w:id="0"/>
    <w:p w:rsidR="00F56422" w:rsidRDefault="00F56422" w:rsidP="00F56422">
      <w:pPr>
        <w:jc w:val="center"/>
        <w:rPr>
          <w:rFonts w:ascii="Book Antiqua" w:hAnsi="Book Antiqua" w:cs="Arial"/>
          <w:b/>
        </w:rPr>
      </w:pPr>
    </w:p>
    <w:p w:rsidR="00A33E94" w:rsidRPr="00F5664C" w:rsidRDefault="00A33E94" w:rsidP="00F56422">
      <w:pPr>
        <w:jc w:val="center"/>
        <w:rPr>
          <w:rFonts w:ascii="Book Antiqua" w:hAnsi="Book Antiqua" w:cs="Arial"/>
          <w:b/>
        </w:rPr>
      </w:pPr>
    </w:p>
    <w:p w:rsidR="00F56422" w:rsidRDefault="00F56422" w:rsidP="00F56422">
      <w:pPr>
        <w:jc w:val="center"/>
        <w:rPr>
          <w:rFonts w:ascii="Book Antiqua" w:hAnsi="Book Antiqua" w:cs="Arial"/>
          <w:b/>
          <w:caps/>
        </w:rPr>
      </w:pPr>
      <w:r>
        <w:rPr>
          <w:rFonts w:ascii="Book Antiqua" w:hAnsi="Book Antiqua" w:cs="Arial"/>
          <w:b/>
          <w:caps/>
        </w:rPr>
        <w:t>KAJASATHAN PARAMANATHAN</w:t>
      </w:r>
    </w:p>
    <w:p w:rsidR="00DD5071" w:rsidRPr="00D323AC" w:rsidRDefault="00F56422" w:rsidP="00C57466">
      <w:pPr>
        <w:jc w:val="center"/>
        <w:rPr>
          <w:rFonts w:ascii="Book Antiqua" w:hAnsi="Book Antiqua" w:cs="Arial"/>
          <w:caps/>
        </w:rPr>
      </w:pPr>
      <w:r w:rsidRPr="00D323AC">
        <w:rPr>
          <w:rFonts w:ascii="Book Antiqua" w:hAnsi="Book Antiqua" w:cs="Arial"/>
          <w:caps/>
        </w:rPr>
        <w:t xml:space="preserve">(ANONYMITY DIRECTION </w:t>
      </w:r>
      <w:r w:rsidR="00C57466" w:rsidRPr="00D323AC">
        <w:rPr>
          <w:rFonts w:ascii="Book Antiqua" w:hAnsi="Book Antiqua" w:cs="Arial"/>
          <w:caps/>
        </w:rPr>
        <w:t>not made</w:t>
      </w:r>
      <w:r w:rsidRPr="00D323AC">
        <w:rPr>
          <w:rFonts w:ascii="Book Antiqua" w:hAnsi="Book Antiqua" w:cs="Arial"/>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A33E94" w:rsidRPr="00F5664C" w:rsidRDefault="00A33E94"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860523">
        <w:rPr>
          <w:rFonts w:ascii="Book Antiqua" w:hAnsi="Book Antiqua" w:cs="Arial"/>
        </w:rPr>
        <w:t>M</w:t>
      </w:r>
      <w:r w:rsidR="00F56422">
        <w:rPr>
          <w:rFonts w:ascii="Book Antiqua" w:hAnsi="Book Antiqua" w:cs="Arial"/>
        </w:rPr>
        <w:t xml:space="preserve">s Brocklesby-Weller, Senior Home Office Presenting Officer </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F56422">
        <w:rPr>
          <w:rFonts w:ascii="Book Antiqua" w:hAnsi="Book Antiqua" w:cs="Arial"/>
        </w:rPr>
        <w:t>Ms Bond</w:t>
      </w:r>
      <w:r w:rsidR="00A82DCA">
        <w:rPr>
          <w:rFonts w:ascii="Book Antiqua" w:hAnsi="Book Antiqua" w:cs="Arial"/>
        </w:rPr>
        <w:t>,</w:t>
      </w:r>
      <w:r w:rsidR="00F56422">
        <w:rPr>
          <w:rFonts w:ascii="Book Antiqua" w:hAnsi="Book Antiqua" w:cs="Arial"/>
        </w:rPr>
        <w:t xml:space="preserve"> instructed by SJS Solicitors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F76DE" w:rsidRDefault="00F56422" w:rsidP="000F76DE">
      <w:pPr>
        <w:numPr>
          <w:ilvl w:val="0"/>
          <w:numId w:val="3"/>
        </w:numPr>
        <w:spacing w:before="240"/>
        <w:jc w:val="both"/>
        <w:rPr>
          <w:rFonts w:ascii="Book Antiqua" w:hAnsi="Book Antiqua" w:cs="Arial"/>
        </w:rPr>
      </w:pPr>
      <w:r>
        <w:rPr>
          <w:rFonts w:ascii="Book Antiqua" w:hAnsi="Book Antiqua" w:cs="Arial"/>
        </w:rPr>
        <w:t xml:space="preserve">I shall refer to the appellant as the respondent and the respondent as the appellant (as they appeared respectively before the First-tier Tribunal).  The appellant </w:t>
      </w:r>
      <w:proofErr w:type="spellStart"/>
      <w:r>
        <w:rPr>
          <w:rFonts w:ascii="Book Antiqua" w:hAnsi="Book Antiqua" w:cs="Arial"/>
        </w:rPr>
        <w:t>Kajasathan</w:t>
      </w:r>
      <w:proofErr w:type="spellEnd"/>
      <w:r>
        <w:rPr>
          <w:rFonts w:ascii="Book Antiqua" w:hAnsi="Book Antiqua" w:cs="Arial"/>
        </w:rPr>
        <w:t xml:space="preserve"> </w:t>
      </w:r>
      <w:proofErr w:type="spellStart"/>
      <w:r>
        <w:rPr>
          <w:rFonts w:ascii="Book Antiqua" w:hAnsi="Book Antiqua" w:cs="Arial"/>
        </w:rPr>
        <w:t>Paramanathan</w:t>
      </w:r>
      <w:proofErr w:type="spellEnd"/>
      <w:r>
        <w:rPr>
          <w:rFonts w:ascii="Book Antiqua" w:hAnsi="Book Antiqua" w:cs="Arial"/>
        </w:rPr>
        <w:t xml:space="preserve"> was born on 4 May 1987 and is a male citizen of Sri Lanka.  His immigration history is </w:t>
      </w:r>
      <w:r w:rsidR="00A82DCA">
        <w:rPr>
          <w:rFonts w:ascii="Book Antiqua" w:hAnsi="Book Antiqua" w:cs="Arial"/>
        </w:rPr>
        <w:t>somewhat complex</w:t>
      </w:r>
      <w:r w:rsidR="00CD10C7">
        <w:rPr>
          <w:rFonts w:ascii="Book Antiqua" w:hAnsi="Book Antiqua" w:cs="Arial"/>
        </w:rPr>
        <w:t>:</w:t>
      </w:r>
    </w:p>
    <w:p w:rsidR="00A33E94" w:rsidRDefault="00A33E94" w:rsidP="00A33E94">
      <w:pPr>
        <w:tabs>
          <w:tab w:val="left" w:pos="567"/>
          <w:tab w:val="left" w:pos="1134"/>
          <w:tab w:val="left" w:pos="1701"/>
          <w:tab w:val="left" w:pos="2268"/>
          <w:tab w:val="left" w:pos="2835"/>
          <w:tab w:val="left" w:pos="3402"/>
          <w:tab w:val="left" w:pos="3969"/>
          <w:tab w:val="left" w:pos="4536"/>
          <w:tab w:val="left" w:pos="5103"/>
          <w:tab w:val="left" w:pos="8595"/>
        </w:tabs>
        <w:spacing w:before="240"/>
        <w:ind w:left="3969" w:hanging="3402"/>
        <w:jc w:val="both"/>
        <w:rPr>
          <w:rFonts w:ascii="Book Antiqua" w:hAnsi="Book Antiqua" w:cs="Arial"/>
          <w:b/>
          <w:u w:val="single"/>
        </w:rPr>
      </w:pPr>
    </w:p>
    <w:p w:rsidR="00CD10C7" w:rsidRDefault="00CD10C7" w:rsidP="00A33E94">
      <w:pPr>
        <w:tabs>
          <w:tab w:val="left" w:pos="567"/>
          <w:tab w:val="left" w:pos="1134"/>
          <w:tab w:val="left" w:pos="1701"/>
          <w:tab w:val="left" w:pos="2268"/>
          <w:tab w:val="left" w:pos="2835"/>
          <w:tab w:val="left" w:pos="3402"/>
          <w:tab w:val="left" w:pos="3969"/>
          <w:tab w:val="left" w:pos="4536"/>
          <w:tab w:val="left" w:pos="5103"/>
          <w:tab w:val="left" w:pos="8595"/>
        </w:tabs>
        <w:spacing w:before="240"/>
        <w:ind w:left="3969" w:hanging="3402"/>
        <w:jc w:val="both"/>
        <w:rPr>
          <w:rFonts w:ascii="Book Antiqua" w:hAnsi="Book Antiqua" w:cs="Arial"/>
        </w:rPr>
      </w:pPr>
      <w:r w:rsidRPr="00860523">
        <w:rPr>
          <w:rFonts w:ascii="Book Antiqua" w:hAnsi="Book Antiqua" w:cs="Arial"/>
          <w:b/>
          <w:u w:val="single"/>
        </w:rPr>
        <w:t>Date</w:t>
      </w:r>
      <w:r>
        <w:rPr>
          <w:rFonts w:ascii="Book Antiqua" w:hAnsi="Book Antiqua" w:cs="Arial"/>
        </w:rPr>
        <w:t xml:space="preserve"> </w:t>
      </w:r>
      <w:r>
        <w:rPr>
          <w:rFonts w:ascii="Book Antiqua" w:hAnsi="Book Antiqua" w:cs="Arial"/>
        </w:rPr>
        <w:tab/>
      </w:r>
      <w:r w:rsidR="00A33E94">
        <w:rPr>
          <w:rFonts w:ascii="Book Antiqua" w:hAnsi="Book Antiqua" w:cs="Arial"/>
        </w:rPr>
        <w:t xml:space="preserve">                                       </w:t>
      </w:r>
      <w:r w:rsidRPr="00860523">
        <w:rPr>
          <w:rFonts w:ascii="Book Antiqua" w:hAnsi="Book Antiqua" w:cs="Arial"/>
          <w:b/>
          <w:u w:val="single"/>
        </w:rPr>
        <w:t>Chronology</w:t>
      </w:r>
      <w:r w:rsidR="00A33E94" w:rsidRPr="00A33E94">
        <w:rPr>
          <w:rFonts w:ascii="Book Antiqua" w:hAnsi="Book Antiqua" w:cs="Arial"/>
          <w:b/>
        </w:rPr>
        <w:tab/>
      </w:r>
      <w:r w:rsidR="00A33E94" w:rsidRPr="00A33E94">
        <w:rPr>
          <w:rFonts w:ascii="Book Antiqua" w:hAnsi="Book Antiqua" w:cs="Arial"/>
          <w:b/>
        </w:rPr>
        <w:tab/>
      </w:r>
      <w:r w:rsidR="00A33E94" w:rsidRPr="00A33E94">
        <w:rPr>
          <w:rFonts w:ascii="Book Antiqua" w:hAnsi="Book Antiqua" w:cs="Arial"/>
          <w:b/>
        </w:rPr>
        <w:tab/>
      </w:r>
      <w:r w:rsidR="00A33E94" w:rsidRPr="00A33E94">
        <w:rPr>
          <w:rFonts w:ascii="Book Antiqua" w:hAnsi="Book Antiqua" w:cs="Arial"/>
          <w:b/>
        </w:rPr>
        <w:tab/>
      </w:r>
      <w:r w:rsidR="00A33E94" w:rsidRPr="00A33E94">
        <w:rPr>
          <w:rFonts w:ascii="Book Antiqua" w:hAnsi="Book Antiqua" w:cs="Arial"/>
          <w:b/>
        </w:rPr>
        <w:tab/>
      </w:r>
    </w:p>
    <w:p w:rsidR="00CD10C7" w:rsidRDefault="00CD10C7" w:rsidP="00CD10C7">
      <w:pPr>
        <w:spacing w:before="240"/>
        <w:ind w:left="3969" w:hanging="3402"/>
        <w:jc w:val="both"/>
        <w:rPr>
          <w:rFonts w:ascii="Book Antiqua" w:hAnsi="Book Antiqua" w:cs="Arial"/>
        </w:rPr>
      </w:pPr>
      <w:r>
        <w:rPr>
          <w:rFonts w:ascii="Book Antiqua" w:hAnsi="Book Antiqua" w:cs="Arial"/>
        </w:rPr>
        <w:t>4 May 1987</w:t>
      </w:r>
      <w:r>
        <w:rPr>
          <w:rFonts w:ascii="Book Antiqua" w:hAnsi="Book Antiqua" w:cs="Arial"/>
        </w:rPr>
        <w:tab/>
        <w:t>Appellant born.</w:t>
      </w:r>
    </w:p>
    <w:p w:rsidR="00CD10C7" w:rsidRDefault="00CD10C7" w:rsidP="00CD10C7">
      <w:pPr>
        <w:spacing w:before="240"/>
        <w:ind w:left="3969" w:hanging="3402"/>
        <w:jc w:val="both"/>
        <w:rPr>
          <w:rFonts w:ascii="Book Antiqua" w:hAnsi="Book Antiqua" w:cs="Arial"/>
        </w:rPr>
      </w:pPr>
      <w:r>
        <w:rPr>
          <w:rFonts w:ascii="Book Antiqua" w:hAnsi="Book Antiqua" w:cs="Arial"/>
        </w:rPr>
        <w:t>19 April 2002</w:t>
      </w:r>
      <w:r>
        <w:rPr>
          <w:rFonts w:ascii="Book Antiqua" w:hAnsi="Book Antiqua" w:cs="Arial"/>
        </w:rPr>
        <w:tab/>
        <w:t>Appellant arrives in the United Kingdom and applies for asylum at port.  The appellant granted temporary admission.</w:t>
      </w:r>
    </w:p>
    <w:p w:rsidR="00CD10C7" w:rsidRDefault="00860523" w:rsidP="00CD10C7">
      <w:pPr>
        <w:spacing w:before="240"/>
        <w:ind w:left="3969" w:hanging="3402"/>
        <w:jc w:val="both"/>
        <w:rPr>
          <w:rFonts w:ascii="Book Antiqua" w:hAnsi="Book Antiqua" w:cs="Arial"/>
        </w:rPr>
      </w:pPr>
      <w:r>
        <w:rPr>
          <w:rFonts w:ascii="Book Antiqua" w:hAnsi="Book Antiqua" w:cs="Arial"/>
        </w:rPr>
        <w:t>3 October 2003</w:t>
      </w:r>
      <w:r>
        <w:rPr>
          <w:rFonts w:ascii="Book Antiqua" w:hAnsi="Book Antiqua" w:cs="Arial"/>
        </w:rPr>
        <w:tab/>
        <w:t>A</w:t>
      </w:r>
      <w:r w:rsidR="00CD10C7">
        <w:rPr>
          <w:rFonts w:ascii="Book Antiqua" w:hAnsi="Book Antiqua" w:cs="Arial"/>
        </w:rPr>
        <w:t>ppellant granted discretionary leave to remain until 2 October 2004.</w:t>
      </w:r>
    </w:p>
    <w:p w:rsidR="00CD10C7" w:rsidRDefault="00CD10C7" w:rsidP="00CD10C7">
      <w:pPr>
        <w:spacing w:before="240"/>
        <w:ind w:left="3969" w:hanging="3402"/>
        <w:jc w:val="both"/>
        <w:rPr>
          <w:rFonts w:ascii="Book Antiqua" w:hAnsi="Book Antiqua" w:cs="Arial"/>
        </w:rPr>
      </w:pPr>
      <w:r>
        <w:rPr>
          <w:rFonts w:ascii="Book Antiqua" w:hAnsi="Book Antiqua" w:cs="Arial"/>
        </w:rPr>
        <w:t>30 September 2004</w:t>
      </w:r>
      <w:r>
        <w:rPr>
          <w:rFonts w:ascii="Book Antiqua" w:hAnsi="Book Antiqua" w:cs="Arial"/>
        </w:rPr>
        <w:tab/>
        <w:t>Appellant applies for further leave to remain.</w:t>
      </w:r>
    </w:p>
    <w:p w:rsidR="00CD10C7" w:rsidRDefault="00CD10C7" w:rsidP="00CD10C7">
      <w:pPr>
        <w:spacing w:before="240"/>
        <w:ind w:left="3969" w:hanging="3402"/>
        <w:jc w:val="both"/>
        <w:rPr>
          <w:rFonts w:ascii="Book Antiqua" w:hAnsi="Book Antiqua" w:cs="Arial"/>
        </w:rPr>
      </w:pPr>
      <w:r>
        <w:rPr>
          <w:rFonts w:ascii="Book Antiqua" w:hAnsi="Book Antiqua" w:cs="Arial"/>
        </w:rPr>
        <w:t>1 December 2004</w:t>
      </w:r>
      <w:r>
        <w:rPr>
          <w:rFonts w:ascii="Book Antiqua" w:hAnsi="Book Antiqua" w:cs="Arial"/>
        </w:rPr>
        <w:tab/>
        <w:t>Application refused with right of appeal.</w:t>
      </w:r>
    </w:p>
    <w:p w:rsidR="00CD10C7" w:rsidRDefault="00CD10C7" w:rsidP="00CD10C7">
      <w:pPr>
        <w:spacing w:before="240"/>
        <w:ind w:left="3969" w:hanging="3402"/>
        <w:jc w:val="both"/>
        <w:rPr>
          <w:rFonts w:ascii="Book Antiqua" w:hAnsi="Book Antiqua" w:cs="Arial"/>
        </w:rPr>
      </w:pPr>
      <w:r>
        <w:rPr>
          <w:rFonts w:ascii="Book Antiqua" w:hAnsi="Book Antiqua" w:cs="Arial"/>
        </w:rPr>
        <w:t>11 April 2005</w:t>
      </w:r>
      <w:r>
        <w:rPr>
          <w:rFonts w:ascii="Book Antiqua" w:hAnsi="Book Antiqua" w:cs="Arial"/>
        </w:rPr>
        <w:tab/>
        <w:t>Appeal dismissed on asylum grounds but allowed under Article 8 ECHR.  Appellant granted a further period of discretionary leave to remain from 19 May 2005 to 19 May 2008.</w:t>
      </w:r>
    </w:p>
    <w:p w:rsidR="007F087F" w:rsidRDefault="007F087F" w:rsidP="00CD10C7">
      <w:pPr>
        <w:spacing w:before="240"/>
        <w:ind w:left="3969" w:hanging="3402"/>
        <w:jc w:val="both"/>
        <w:rPr>
          <w:rFonts w:ascii="Book Antiqua" w:hAnsi="Book Antiqua" w:cs="Arial"/>
        </w:rPr>
      </w:pPr>
      <w:r>
        <w:rPr>
          <w:rFonts w:ascii="Book Antiqua" w:hAnsi="Book Antiqua" w:cs="Arial"/>
        </w:rPr>
        <w:t>4 March 2005</w:t>
      </w:r>
      <w:r>
        <w:rPr>
          <w:rFonts w:ascii="Book Antiqua" w:hAnsi="Book Antiqua" w:cs="Arial"/>
        </w:rPr>
        <w:tab/>
        <w:t>Appellant’s brother-in-law (a German citizen) applies for an EEA residence card for his fam</w:t>
      </w:r>
      <w:r w:rsidR="00C57466">
        <w:rPr>
          <w:rFonts w:ascii="Book Antiqua" w:hAnsi="Book Antiqua" w:cs="Arial"/>
        </w:rPr>
        <w:t>ily including the a</w:t>
      </w:r>
      <w:r>
        <w:rPr>
          <w:rFonts w:ascii="Book Antiqua" w:hAnsi="Book Antiqua" w:cs="Arial"/>
        </w:rPr>
        <w:t>ppellant as another family member (OFM).</w:t>
      </w:r>
    </w:p>
    <w:p w:rsidR="00AD6AF0" w:rsidRDefault="00AD6AF0" w:rsidP="00CD10C7">
      <w:pPr>
        <w:spacing w:before="240"/>
        <w:ind w:left="3969" w:hanging="3402"/>
        <w:jc w:val="both"/>
        <w:rPr>
          <w:rFonts w:ascii="Book Antiqua" w:hAnsi="Book Antiqua" w:cs="Arial"/>
        </w:rPr>
      </w:pPr>
      <w:r>
        <w:rPr>
          <w:rFonts w:ascii="Book Antiqua" w:hAnsi="Book Antiqua" w:cs="Arial"/>
        </w:rPr>
        <w:t>1 August 2005</w:t>
      </w:r>
      <w:r>
        <w:rPr>
          <w:rFonts w:ascii="Book Antiqua" w:hAnsi="Book Antiqua" w:cs="Arial"/>
        </w:rPr>
        <w:tab/>
        <w:t>Appellant’s brother-i</w:t>
      </w:r>
      <w:r w:rsidR="00C57466">
        <w:rPr>
          <w:rFonts w:ascii="Book Antiqua" w:hAnsi="Book Antiqua" w:cs="Arial"/>
        </w:rPr>
        <w:t>n-law issued with a permit but a</w:t>
      </w:r>
      <w:r>
        <w:rPr>
          <w:rFonts w:ascii="Book Antiqua" w:hAnsi="Book Antiqua" w:cs="Arial"/>
        </w:rPr>
        <w:t xml:space="preserve">ppellant’s application refused </w:t>
      </w:r>
      <w:proofErr w:type="gramStart"/>
      <w:r>
        <w:rPr>
          <w:rFonts w:ascii="Book Antiqua" w:hAnsi="Book Antiqua" w:cs="Arial"/>
        </w:rPr>
        <w:t>on the grounds that</w:t>
      </w:r>
      <w:proofErr w:type="gramEnd"/>
      <w:r>
        <w:rPr>
          <w:rFonts w:ascii="Book Antiqua" w:hAnsi="Book Antiqua" w:cs="Arial"/>
        </w:rPr>
        <w:t xml:space="preserve"> there was </w:t>
      </w:r>
      <w:r w:rsidR="00C57466">
        <w:rPr>
          <w:rFonts w:ascii="Book Antiqua" w:hAnsi="Book Antiqua" w:cs="Arial"/>
        </w:rPr>
        <w:t>insufficient evidence that the a</w:t>
      </w:r>
      <w:r>
        <w:rPr>
          <w:rFonts w:ascii="Book Antiqua" w:hAnsi="Book Antiqua" w:cs="Arial"/>
        </w:rPr>
        <w:t>ppellant had been in his brother’s family in another EEA country before arriving in the United Kingdom.</w:t>
      </w:r>
    </w:p>
    <w:p w:rsidR="007A2E34" w:rsidRDefault="007A2E34" w:rsidP="00CD10C7">
      <w:pPr>
        <w:spacing w:before="240"/>
        <w:ind w:left="3969" w:hanging="3402"/>
        <w:jc w:val="both"/>
        <w:rPr>
          <w:rFonts w:ascii="Book Antiqua" w:hAnsi="Book Antiqua" w:cs="Arial"/>
        </w:rPr>
      </w:pPr>
      <w:r>
        <w:rPr>
          <w:rFonts w:ascii="Book Antiqua" w:hAnsi="Book Antiqua" w:cs="Arial"/>
        </w:rPr>
        <w:t>25</w:t>
      </w:r>
      <w:r w:rsidR="00A82DCA">
        <w:rPr>
          <w:rFonts w:ascii="Book Antiqua" w:hAnsi="Book Antiqua" w:cs="Arial"/>
        </w:rPr>
        <w:t xml:space="preserve"> January 2006 </w:t>
      </w:r>
      <w:r w:rsidR="00A82DCA">
        <w:rPr>
          <w:rFonts w:ascii="Book Antiqua" w:hAnsi="Book Antiqua" w:cs="Arial"/>
        </w:rPr>
        <w:tab/>
        <w:t>Appellant applies</w:t>
      </w:r>
      <w:r>
        <w:rPr>
          <w:rFonts w:ascii="Book Antiqua" w:hAnsi="Book Antiqua" w:cs="Arial"/>
        </w:rPr>
        <w:t xml:space="preserve"> for transfer of conditions </w:t>
      </w:r>
      <w:r w:rsidR="00315360">
        <w:rPr>
          <w:rFonts w:ascii="Book Antiqua" w:hAnsi="Book Antiqua" w:cs="Arial"/>
        </w:rPr>
        <w:t xml:space="preserve">and </w:t>
      </w:r>
      <w:r>
        <w:rPr>
          <w:rFonts w:ascii="Book Antiqua" w:hAnsi="Book Antiqua" w:cs="Arial"/>
        </w:rPr>
        <w:t>an extension of discretionary leave.</w:t>
      </w:r>
    </w:p>
    <w:p w:rsidR="007A2E34" w:rsidRDefault="007A2E34" w:rsidP="00CD10C7">
      <w:pPr>
        <w:spacing w:before="240"/>
        <w:ind w:left="3969" w:hanging="3402"/>
        <w:jc w:val="both"/>
        <w:rPr>
          <w:rFonts w:ascii="Book Antiqua" w:hAnsi="Book Antiqua" w:cs="Arial"/>
        </w:rPr>
      </w:pPr>
      <w:r>
        <w:rPr>
          <w:rFonts w:ascii="Book Antiqua" w:hAnsi="Book Antiqua" w:cs="Arial"/>
        </w:rPr>
        <w:t>7 April 2006</w:t>
      </w:r>
      <w:r>
        <w:rPr>
          <w:rFonts w:ascii="Book Antiqua" w:hAnsi="Book Antiqua" w:cs="Arial"/>
        </w:rPr>
        <w:tab/>
        <w:t>Appellant successfully appealed against the refusal of a residence card.  Ho</w:t>
      </w:r>
      <w:r w:rsidR="00315360">
        <w:rPr>
          <w:rFonts w:ascii="Book Antiqua" w:hAnsi="Book Antiqua" w:cs="Arial"/>
        </w:rPr>
        <w:t xml:space="preserve">wever, </w:t>
      </w:r>
      <w:r>
        <w:rPr>
          <w:rFonts w:ascii="Book Antiqua" w:hAnsi="Book Antiqua" w:cs="Arial"/>
        </w:rPr>
        <w:t xml:space="preserve">decision not implemented until December 2010.  </w:t>
      </w:r>
    </w:p>
    <w:p w:rsidR="007A2E34" w:rsidRDefault="007A2E34" w:rsidP="00CD10C7">
      <w:pPr>
        <w:spacing w:before="240"/>
        <w:ind w:left="3969" w:hanging="3402"/>
        <w:jc w:val="both"/>
        <w:rPr>
          <w:rFonts w:ascii="Book Antiqua" w:hAnsi="Book Antiqua" w:cs="Arial"/>
        </w:rPr>
      </w:pPr>
      <w:r>
        <w:rPr>
          <w:rFonts w:ascii="Book Antiqua" w:hAnsi="Book Antiqua" w:cs="Arial"/>
        </w:rPr>
        <w:t>12 May 2008</w:t>
      </w:r>
      <w:r>
        <w:rPr>
          <w:rFonts w:ascii="Book Antiqua" w:hAnsi="Book Antiqua" w:cs="Arial"/>
        </w:rPr>
        <w:tab/>
        <w:t>Appellant applies for further discretionary leave.</w:t>
      </w:r>
    </w:p>
    <w:p w:rsidR="007A2E34" w:rsidRDefault="007A2E34" w:rsidP="00CD10C7">
      <w:pPr>
        <w:spacing w:before="240"/>
        <w:ind w:left="3969" w:hanging="3402"/>
        <w:jc w:val="both"/>
        <w:rPr>
          <w:rFonts w:ascii="Book Antiqua" w:hAnsi="Book Antiqua" w:cs="Arial"/>
        </w:rPr>
      </w:pPr>
      <w:r>
        <w:rPr>
          <w:rFonts w:ascii="Book Antiqua" w:hAnsi="Book Antiqua" w:cs="Arial"/>
        </w:rPr>
        <w:t>21 December 2010</w:t>
      </w:r>
      <w:r>
        <w:rPr>
          <w:rFonts w:ascii="Book Antiqua" w:hAnsi="Book Antiqua" w:cs="Arial"/>
        </w:rPr>
        <w:tab/>
        <w:t>Whilst the appellant’s application was pending the appellant is issued with an EEA residence card valid until 21 December 2015.</w:t>
      </w:r>
    </w:p>
    <w:p w:rsidR="008D2067" w:rsidRDefault="008D2067" w:rsidP="00CD10C7">
      <w:pPr>
        <w:spacing w:before="240"/>
        <w:ind w:left="3969" w:hanging="3402"/>
        <w:jc w:val="both"/>
        <w:rPr>
          <w:rFonts w:ascii="Book Antiqua" w:hAnsi="Book Antiqua" w:cs="Arial"/>
        </w:rPr>
      </w:pPr>
      <w:r>
        <w:rPr>
          <w:rFonts w:ascii="Book Antiqua" w:hAnsi="Book Antiqua" w:cs="Arial"/>
        </w:rPr>
        <w:t>14 March 2011</w:t>
      </w:r>
      <w:r>
        <w:rPr>
          <w:rFonts w:ascii="Book Antiqua" w:hAnsi="Book Antiqua" w:cs="Arial"/>
        </w:rPr>
        <w:tab/>
        <w:t>The appellant applied for</w:t>
      </w:r>
      <w:r w:rsidR="00AB74AB">
        <w:rPr>
          <w:rFonts w:ascii="Book Antiqua" w:hAnsi="Book Antiqua" w:cs="Arial"/>
        </w:rPr>
        <w:t xml:space="preserve"> further discretionary leave but h</w:t>
      </w:r>
      <w:r>
        <w:rPr>
          <w:rFonts w:ascii="Book Antiqua" w:hAnsi="Book Antiqua" w:cs="Arial"/>
        </w:rPr>
        <w:t>is</w:t>
      </w:r>
      <w:r w:rsidR="00A82DCA">
        <w:rPr>
          <w:rFonts w:ascii="Book Antiqua" w:hAnsi="Book Antiqua" w:cs="Arial"/>
        </w:rPr>
        <w:t xml:space="preserve"> application is refused</w:t>
      </w:r>
      <w:r>
        <w:rPr>
          <w:rFonts w:ascii="Book Antiqua" w:hAnsi="Book Antiqua" w:cs="Arial"/>
        </w:rPr>
        <w:t>.</w:t>
      </w:r>
    </w:p>
    <w:p w:rsidR="00EF7079" w:rsidRDefault="00EF7079" w:rsidP="00CD10C7">
      <w:pPr>
        <w:spacing w:before="240"/>
        <w:ind w:left="3969" w:hanging="3402"/>
        <w:jc w:val="both"/>
        <w:rPr>
          <w:rFonts w:ascii="Book Antiqua" w:hAnsi="Book Antiqua" w:cs="Arial"/>
        </w:rPr>
      </w:pPr>
      <w:r>
        <w:rPr>
          <w:rFonts w:ascii="Book Antiqua" w:hAnsi="Book Antiqua" w:cs="Arial"/>
        </w:rPr>
        <w:lastRenderedPageBreak/>
        <w:t>16 May 2011</w:t>
      </w:r>
      <w:r>
        <w:rPr>
          <w:rFonts w:ascii="Book Antiqua" w:hAnsi="Book Antiqua" w:cs="Arial"/>
        </w:rPr>
        <w:tab/>
        <w:t>The appellant’s appeal against the refusa</w:t>
      </w:r>
      <w:r w:rsidR="00A82DCA">
        <w:rPr>
          <w:rFonts w:ascii="Book Antiqua" w:hAnsi="Book Antiqua" w:cs="Arial"/>
        </w:rPr>
        <w:t>l for further leave to remain i</w:t>
      </w:r>
      <w:r>
        <w:rPr>
          <w:rFonts w:ascii="Book Antiqua" w:hAnsi="Book Antiqua" w:cs="Arial"/>
        </w:rPr>
        <w:t>s dismissed.</w:t>
      </w:r>
    </w:p>
    <w:p w:rsidR="00E065F6" w:rsidRDefault="00AB74AB" w:rsidP="00CD10C7">
      <w:pPr>
        <w:spacing w:before="240"/>
        <w:ind w:left="3969" w:hanging="3402"/>
        <w:jc w:val="both"/>
        <w:rPr>
          <w:rFonts w:ascii="Book Antiqua" w:hAnsi="Book Antiqua" w:cs="Arial"/>
        </w:rPr>
      </w:pPr>
      <w:r>
        <w:rPr>
          <w:rFonts w:ascii="Book Antiqua" w:hAnsi="Book Antiqua" w:cs="Arial"/>
        </w:rPr>
        <w:t>1 June 2011</w:t>
      </w:r>
      <w:r>
        <w:rPr>
          <w:rFonts w:ascii="Book Antiqua" w:hAnsi="Book Antiqua" w:cs="Arial"/>
        </w:rPr>
        <w:tab/>
        <w:t>A</w:t>
      </w:r>
      <w:r w:rsidR="00E065F6">
        <w:rPr>
          <w:rFonts w:ascii="Book Antiqua" w:hAnsi="Book Antiqua" w:cs="Arial"/>
        </w:rPr>
        <w:t>ppellant’s appeal rights (application for further leave to remain) exhausted.</w:t>
      </w:r>
    </w:p>
    <w:p w:rsidR="00E065F6" w:rsidRDefault="00E065F6" w:rsidP="00CD10C7">
      <w:pPr>
        <w:spacing w:before="240"/>
        <w:ind w:left="3969" w:hanging="3402"/>
        <w:jc w:val="both"/>
        <w:rPr>
          <w:rFonts w:ascii="Book Antiqua" w:hAnsi="Book Antiqua" w:cs="Arial"/>
        </w:rPr>
      </w:pPr>
      <w:r>
        <w:rPr>
          <w:rFonts w:ascii="Book Antiqua" w:hAnsi="Book Antiqua" w:cs="Arial"/>
        </w:rPr>
        <w:t>17 May 2013</w:t>
      </w:r>
      <w:r>
        <w:rPr>
          <w:rFonts w:ascii="Book Antiqua" w:hAnsi="Book Antiqua" w:cs="Arial"/>
        </w:rPr>
        <w:tab/>
        <w:t>The appellant’s brother-in-law deported from the United Kingdom to Germany.</w:t>
      </w:r>
    </w:p>
    <w:p w:rsidR="00E065F6" w:rsidRDefault="005F5E13" w:rsidP="00CD10C7">
      <w:pPr>
        <w:spacing w:before="240"/>
        <w:ind w:left="3969" w:hanging="3402"/>
        <w:jc w:val="both"/>
        <w:rPr>
          <w:rFonts w:ascii="Book Antiqua" w:hAnsi="Book Antiqua" w:cs="Arial"/>
        </w:rPr>
      </w:pPr>
      <w:r>
        <w:rPr>
          <w:rFonts w:ascii="Book Antiqua" w:hAnsi="Book Antiqua" w:cs="Arial"/>
        </w:rPr>
        <w:t>27 October 2015</w:t>
      </w:r>
      <w:r>
        <w:rPr>
          <w:rFonts w:ascii="Book Antiqua" w:hAnsi="Book Antiqua" w:cs="Arial"/>
        </w:rPr>
        <w:tab/>
        <w:t>A</w:t>
      </w:r>
      <w:r w:rsidR="00A82DCA">
        <w:rPr>
          <w:rFonts w:ascii="Book Antiqua" w:hAnsi="Book Antiqua" w:cs="Arial"/>
        </w:rPr>
        <w:t>ppellant applies</w:t>
      </w:r>
      <w:r w:rsidR="00E065F6">
        <w:rPr>
          <w:rFonts w:ascii="Book Antiqua" w:hAnsi="Book Antiqua" w:cs="Arial"/>
        </w:rPr>
        <w:t xml:space="preserve"> for indefinite leave to remain based on ten years’ lawful residence (paragraph 276B of HC 395 (as amended).</w:t>
      </w:r>
    </w:p>
    <w:p w:rsidR="00F45C26" w:rsidRDefault="00A82DCA" w:rsidP="00CD10C7">
      <w:pPr>
        <w:spacing w:before="240"/>
        <w:ind w:left="3969" w:hanging="3402"/>
        <w:jc w:val="both"/>
        <w:rPr>
          <w:rFonts w:ascii="Book Antiqua" w:hAnsi="Book Antiqua" w:cs="Arial"/>
        </w:rPr>
      </w:pPr>
      <w:r>
        <w:rPr>
          <w:rFonts w:ascii="Book Antiqua" w:hAnsi="Book Antiqua" w:cs="Arial"/>
        </w:rPr>
        <w:t>29 September 2017</w:t>
      </w:r>
      <w:r>
        <w:rPr>
          <w:rFonts w:ascii="Book Antiqua" w:hAnsi="Book Antiqua" w:cs="Arial"/>
        </w:rPr>
        <w:tab/>
        <w:t>Hearing before</w:t>
      </w:r>
      <w:r w:rsidR="00F45C26">
        <w:rPr>
          <w:rFonts w:ascii="Book Antiqua" w:hAnsi="Book Antiqua" w:cs="Arial"/>
        </w:rPr>
        <w:t xml:space="preserve"> First-tier Tribunal Judge Oliver</w:t>
      </w:r>
      <w:r w:rsidR="005F5E13">
        <w:rPr>
          <w:rFonts w:ascii="Book Antiqua" w:hAnsi="Book Antiqua" w:cs="Arial"/>
        </w:rPr>
        <w:t>.</w:t>
      </w:r>
      <w:r w:rsidR="00037DA6">
        <w:rPr>
          <w:rFonts w:ascii="Book Antiqua" w:hAnsi="Book Antiqua" w:cs="Arial"/>
        </w:rPr>
        <w:t xml:space="preserve"> </w:t>
      </w:r>
      <w:r w:rsidR="005F5E13">
        <w:rPr>
          <w:rFonts w:ascii="Book Antiqua" w:hAnsi="Book Antiqua" w:cs="Arial"/>
        </w:rPr>
        <w:t xml:space="preserve">  </w:t>
      </w:r>
      <w:r w:rsidR="00037DA6">
        <w:rPr>
          <w:rFonts w:ascii="Book Antiqua" w:hAnsi="Book Antiqua" w:cs="Arial"/>
        </w:rPr>
        <w:t xml:space="preserve">Secretary of State not represented.  </w:t>
      </w:r>
    </w:p>
    <w:p w:rsidR="00037DA6" w:rsidRDefault="00037DA6" w:rsidP="00CD10C7">
      <w:pPr>
        <w:spacing w:before="240"/>
        <w:ind w:left="3969" w:hanging="3402"/>
        <w:jc w:val="both"/>
        <w:rPr>
          <w:rFonts w:ascii="Book Antiqua" w:hAnsi="Book Antiqua" w:cs="Arial"/>
        </w:rPr>
      </w:pPr>
      <w:r>
        <w:rPr>
          <w:rFonts w:ascii="Book Antiqua" w:hAnsi="Book Antiqua" w:cs="Arial"/>
        </w:rPr>
        <w:t>15 November 2017</w:t>
      </w:r>
      <w:r>
        <w:rPr>
          <w:rFonts w:ascii="Book Antiqua" w:hAnsi="Book Antiqua" w:cs="Arial"/>
        </w:rPr>
        <w:tab/>
        <w:t>Judge Oliver allows the appeal on Article 8 ECHR grounds.</w:t>
      </w:r>
    </w:p>
    <w:p w:rsidR="00037DA6" w:rsidRDefault="00037DA6" w:rsidP="00CD10C7">
      <w:pPr>
        <w:spacing w:before="240"/>
        <w:ind w:left="3969" w:hanging="3402"/>
        <w:jc w:val="both"/>
        <w:rPr>
          <w:rFonts w:ascii="Book Antiqua" w:hAnsi="Book Antiqua" w:cs="Arial"/>
        </w:rPr>
      </w:pPr>
      <w:r>
        <w:rPr>
          <w:rFonts w:ascii="Book Antiqua" w:hAnsi="Book Antiqua" w:cs="Arial"/>
        </w:rPr>
        <w:t>21 December 2017</w:t>
      </w:r>
      <w:r>
        <w:rPr>
          <w:rFonts w:ascii="Book Antiqua" w:hAnsi="Book Antiqua" w:cs="Arial"/>
        </w:rPr>
        <w:tab/>
        <w:t>Judge J</w:t>
      </w:r>
      <w:r w:rsidR="005F5E13">
        <w:rPr>
          <w:rFonts w:ascii="Book Antiqua" w:hAnsi="Book Antiqua" w:cs="Arial"/>
        </w:rPr>
        <w:t xml:space="preserve"> </w:t>
      </w:r>
      <w:r>
        <w:rPr>
          <w:rFonts w:ascii="Book Antiqua" w:hAnsi="Book Antiqua" w:cs="Arial"/>
        </w:rPr>
        <w:t>M Holmes grants permission to appeal to the Upper Tribunal.</w:t>
      </w:r>
    </w:p>
    <w:p w:rsidR="00CD10C7" w:rsidRDefault="00037DA6" w:rsidP="00006431">
      <w:pPr>
        <w:spacing w:before="240"/>
        <w:ind w:left="3969" w:hanging="3402"/>
        <w:jc w:val="both"/>
        <w:rPr>
          <w:rFonts w:ascii="Book Antiqua" w:hAnsi="Book Antiqua" w:cs="Arial"/>
        </w:rPr>
      </w:pPr>
      <w:r>
        <w:rPr>
          <w:rFonts w:ascii="Book Antiqua" w:hAnsi="Book Antiqua" w:cs="Arial"/>
        </w:rPr>
        <w:t>8 February 2018</w:t>
      </w:r>
      <w:r>
        <w:rPr>
          <w:rFonts w:ascii="Book Antiqua" w:hAnsi="Book Antiqua" w:cs="Arial"/>
        </w:rPr>
        <w:tab/>
        <w:t>Hearing before Upper Tribunal.</w:t>
      </w:r>
    </w:p>
    <w:p w:rsidR="00A33E94" w:rsidRDefault="00A33E94" w:rsidP="00006431">
      <w:pPr>
        <w:spacing w:before="240"/>
        <w:ind w:left="3969" w:hanging="3402"/>
        <w:jc w:val="both"/>
        <w:rPr>
          <w:rFonts w:ascii="Book Antiqua" w:hAnsi="Book Antiqua" w:cs="Arial"/>
        </w:rPr>
      </w:pPr>
      <w:bookmarkStart w:id="1" w:name="_GoBack"/>
      <w:bookmarkEnd w:id="1"/>
    </w:p>
    <w:p w:rsidR="00CD10C7" w:rsidRDefault="00006431" w:rsidP="000F76DE">
      <w:pPr>
        <w:numPr>
          <w:ilvl w:val="0"/>
          <w:numId w:val="3"/>
        </w:numPr>
        <w:spacing w:before="240"/>
        <w:jc w:val="both"/>
        <w:rPr>
          <w:rFonts w:ascii="Book Antiqua" w:hAnsi="Book Antiqua" w:cs="Arial"/>
        </w:rPr>
      </w:pPr>
      <w:r>
        <w:rPr>
          <w:rFonts w:ascii="Book Antiqua" w:hAnsi="Book Antiqua" w:cs="Arial"/>
        </w:rPr>
        <w:t xml:space="preserve">The Secretary of State submits that the judge failed to resolve the conflict between the respondent and the appellant as to </w:t>
      </w:r>
      <w:proofErr w:type="gramStart"/>
      <w:r>
        <w:rPr>
          <w:rFonts w:ascii="Book Antiqua" w:hAnsi="Book Antiqua" w:cs="Arial"/>
        </w:rPr>
        <w:t>whether or not</w:t>
      </w:r>
      <w:proofErr w:type="gramEnd"/>
      <w:r>
        <w:rPr>
          <w:rFonts w:ascii="Book Antiqua" w:hAnsi="Book Antiqua" w:cs="Arial"/>
        </w:rPr>
        <w:t xml:space="preserve"> the appellant continued to be a dependent of an EEA national exercising treaty rights before his brother was deported from the United Kingdom in 2013.  The Secretary of State relies on</w:t>
      </w:r>
      <w:r w:rsidR="00A82DCA">
        <w:rPr>
          <w:rFonts w:ascii="Book Antiqua" w:hAnsi="Book Antiqua" w:cs="Arial"/>
        </w:rPr>
        <w:t xml:space="preserve"> his</w:t>
      </w:r>
      <w:r>
        <w:rPr>
          <w:rFonts w:ascii="Book Antiqua" w:hAnsi="Book Antiqua" w:cs="Arial"/>
        </w:rPr>
        <w:t xml:space="preserve"> published </w:t>
      </w:r>
      <w:r w:rsidR="00A82DCA">
        <w:rPr>
          <w:rFonts w:ascii="Book Antiqua" w:hAnsi="Book Antiqua" w:cs="Arial"/>
        </w:rPr>
        <w:t>‘</w:t>
      </w:r>
      <w:r>
        <w:rPr>
          <w:rFonts w:ascii="Book Antiqua" w:hAnsi="Book Antiqua" w:cs="Arial"/>
        </w:rPr>
        <w:t>Modern Guidance</w:t>
      </w:r>
      <w:r w:rsidR="00A82DCA">
        <w:rPr>
          <w:rFonts w:ascii="Book Antiqua" w:hAnsi="Book Antiqua" w:cs="Arial"/>
        </w:rPr>
        <w:t>; Long R</w:t>
      </w:r>
      <w:r>
        <w:rPr>
          <w:rFonts w:ascii="Book Antiqua" w:hAnsi="Book Antiqua" w:cs="Arial"/>
        </w:rPr>
        <w:t>esidence:</w:t>
      </w:r>
    </w:p>
    <w:p w:rsidR="00A82DCA" w:rsidRDefault="00A82DCA" w:rsidP="00A82DCA">
      <w:pPr>
        <w:ind w:firstLine="567"/>
        <w:rPr>
          <w:b/>
        </w:rPr>
      </w:pPr>
    </w:p>
    <w:p w:rsidR="00A82DCA" w:rsidRPr="00A82DCA" w:rsidRDefault="00A82DCA" w:rsidP="00A82DCA">
      <w:pPr>
        <w:ind w:firstLine="567"/>
        <w:jc w:val="both"/>
        <w:rPr>
          <w:rFonts w:ascii="Book Antiqua" w:hAnsi="Book Antiqua"/>
          <w:b/>
          <w:sz w:val="22"/>
          <w:szCs w:val="22"/>
        </w:rPr>
      </w:pPr>
      <w:r w:rsidRPr="00A82DCA">
        <w:rPr>
          <w:rFonts w:ascii="Book Antiqua" w:hAnsi="Book Antiqua"/>
          <w:b/>
          <w:sz w:val="22"/>
          <w:szCs w:val="22"/>
        </w:rPr>
        <w:t>Time spent in the UK with a right to</w:t>
      </w:r>
    </w:p>
    <w:p w:rsidR="00A82DCA" w:rsidRDefault="00A82DCA" w:rsidP="00A82DCA">
      <w:pPr>
        <w:ind w:firstLine="567"/>
        <w:jc w:val="both"/>
        <w:rPr>
          <w:rFonts w:ascii="Book Antiqua" w:hAnsi="Book Antiqua"/>
          <w:b/>
          <w:sz w:val="22"/>
          <w:szCs w:val="22"/>
        </w:rPr>
      </w:pPr>
      <w:r w:rsidRPr="00A82DCA">
        <w:rPr>
          <w:rFonts w:ascii="Book Antiqua" w:hAnsi="Book Antiqua"/>
          <w:b/>
          <w:sz w:val="22"/>
          <w:szCs w:val="22"/>
        </w:rPr>
        <w:t>reside under EEA regulations</w:t>
      </w:r>
    </w:p>
    <w:p w:rsidR="00A82DCA" w:rsidRPr="00A82DCA" w:rsidRDefault="00A82DCA" w:rsidP="00A82DCA">
      <w:pPr>
        <w:ind w:firstLine="567"/>
        <w:jc w:val="both"/>
        <w:rPr>
          <w:rFonts w:ascii="Book Antiqua" w:hAnsi="Book Antiqua"/>
          <w:b/>
          <w:sz w:val="22"/>
          <w:szCs w:val="22"/>
        </w:rPr>
      </w:pP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This page tells you how to consider a long residence application when a person has</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spent time in the UK with a right to reside under the European Economic Area (EEA)</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regulations.</w:t>
      </w:r>
    </w:p>
    <w:p w:rsidR="00A82DCA" w:rsidRDefault="00A82DCA" w:rsidP="00A82DCA">
      <w:pPr>
        <w:ind w:firstLine="567"/>
        <w:jc w:val="both"/>
        <w:rPr>
          <w:rFonts w:ascii="Book Antiqua" w:hAnsi="Book Antiqua"/>
          <w:sz w:val="22"/>
          <w:szCs w:val="22"/>
        </w:rPr>
      </w:pP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Time spent in the UK does not count as lawful residence under paragraph 276A of</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the Immigration Rules for third country nationals who have spent time in the UK as:</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 the spouse, civil partner or other family member of a European Union (EU)</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national</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 an EEA national exercising their treaty rights to live in the UK but have not</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qualified for permanent residence</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 former family members who have retained a right of residence</w:t>
      </w:r>
    </w:p>
    <w:p w:rsidR="00A82DCA" w:rsidRDefault="00A82DCA" w:rsidP="00A82DCA">
      <w:pPr>
        <w:ind w:firstLine="567"/>
        <w:jc w:val="both"/>
        <w:rPr>
          <w:rFonts w:ascii="Book Antiqua" w:hAnsi="Book Antiqua"/>
          <w:sz w:val="22"/>
          <w:szCs w:val="22"/>
        </w:rPr>
      </w:pP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During the time spent in the UK under the provisions of the EEA regulations, the</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individuals are not subject to immigration control, and would not be required to have</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leave to enter or leave to remain. See EEA Nationals guidance for further</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information.</w:t>
      </w:r>
    </w:p>
    <w:p w:rsidR="00A82DCA" w:rsidRDefault="00A82DCA" w:rsidP="00A82DCA">
      <w:pPr>
        <w:ind w:firstLine="567"/>
        <w:jc w:val="both"/>
        <w:rPr>
          <w:rFonts w:ascii="Book Antiqua" w:hAnsi="Book Antiqua"/>
          <w:sz w:val="22"/>
          <w:szCs w:val="22"/>
        </w:rPr>
      </w:pP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However, you must apply discretion and count time spent in the UK as lawful</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residence for an EU or EEA national or their family members exercising their treaty</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rights to reside in the UK.</w:t>
      </w:r>
    </w:p>
    <w:p w:rsidR="00A82DCA" w:rsidRDefault="00A82DCA" w:rsidP="00A82DCA">
      <w:pPr>
        <w:ind w:firstLine="567"/>
        <w:jc w:val="both"/>
        <w:rPr>
          <w:rFonts w:ascii="Book Antiqua" w:hAnsi="Book Antiqua"/>
          <w:b/>
          <w:sz w:val="22"/>
          <w:szCs w:val="22"/>
        </w:rPr>
      </w:pPr>
    </w:p>
    <w:p w:rsidR="00A82DCA" w:rsidRPr="00A82DCA" w:rsidRDefault="00A82DCA" w:rsidP="00A82DCA">
      <w:pPr>
        <w:ind w:firstLine="567"/>
        <w:jc w:val="both"/>
        <w:rPr>
          <w:rFonts w:ascii="Book Antiqua" w:hAnsi="Book Antiqua"/>
          <w:b/>
          <w:sz w:val="22"/>
          <w:szCs w:val="22"/>
        </w:rPr>
      </w:pPr>
      <w:r w:rsidRPr="00A82DCA">
        <w:rPr>
          <w:rFonts w:ascii="Book Antiqua" w:hAnsi="Book Antiqua"/>
          <w:b/>
          <w:sz w:val="22"/>
          <w:szCs w:val="22"/>
        </w:rPr>
        <w:t>Sufficient evidence must be provided to demonstrate that the applicant has been</w:t>
      </w:r>
    </w:p>
    <w:p w:rsidR="00A82DCA" w:rsidRPr="00A82DCA" w:rsidRDefault="00A82DCA" w:rsidP="00A82DCA">
      <w:pPr>
        <w:ind w:firstLine="567"/>
        <w:jc w:val="both"/>
        <w:rPr>
          <w:rFonts w:ascii="Book Antiqua" w:hAnsi="Book Antiqua"/>
          <w:b/>
          <w:sz w:val="22"/>
          <w:szCs w:val="22"/>
        </w:rPr>
      </w:pPr>
      <w:r w:rsidRPr="00A82DCA">
        <w:rPr>
          <w:rFonts w:ascii="Book Antiqua" w:hAnsi="Book Antiqua"/>
          <w:b/>
          <w:sz w:val="22"/>
          <w:szCs w:val="22"/>
        </w:rPr>
        <w:t>exercising treaty rights throughout any period that they are seeking to rely on for the</w:t>
      </w:r>
    </w:p>
    <w:p w:rsidR="00A82DCA" w:rsidRPr="00A82DCA" w:rsidRDefault="00A82DCA" w:rsidP="00A82DCA">
      <w:pPr>
        <w:ind w:left="567"/>
        <w:jc w:val="both"/>
        <w:rPr>
          <w:rFonts w:ascii="Book Antiqua" w:hAnsi="Book Antiqua"/>
          <w:i/>
          <w:sz w:val="22"/>
          <w:szCs w:val="22"/>
        </w:rPr>
      </w:pPr>
      <w:r w:rsidRPr="00A82DCA">
        <w:rPr>
          <w:rFonts w:ascii="Book Antiqua" w:hAnsi="Book Antiqua"/>
          <w:b/>
          <w:sz w:val="22"/>
          <w:szCs w:val="22"/>
        </w:rPr>
        <w:t>purposes of meeting the long residence rules</w:t>
      </w:r>
      <w:r w:rsidRPr="00A82DCA">
        <w:rPr>
          <w:rFonts w:ascii="Book Antiqua" w:hAnsi="Book Antiqua"/>
          <w:sz w:val="22"/>
          <w:szCs w:val="22"/>
        </w:rPr>
        <w:t>.</w:t>
      </w:r>
      <w:r>
        <w:rPr>
          <w:rFonts w:ascii="Book Antiqua" w:hAnsi="Book Antiqua"/>
          <w:sz w:val="22"/>
          <w:szCs w:val="22"/>
        </w:rPr>
        <w:t xml:space="preserve"> </w:t>
      </w:r>
      <w:r w:rsidRPr="00A82DCA">
        <w:rPr>
          <w:rFonts w:ascii="Book Antiqua" w:hAnsi="Book Antiqua"/>
          <w:i/>
          <w:sz w:val="22"/>
          <w:szCs w:val="22"/>
        </w:rPr>
        <w:t>[emphasis as it appears in grounds of appeal to Upper Tribunal]</w:t>
      </w:r>
    </w:p>
    <w:p w:rsidR="00A82DCA" w:rsidRDefault="00A82DCA" w:rsidP="00A82DCA">
      <w:pPr>
        <w:ind w:firstLine="567"/>
        <w:jc w:val="both"/>
        <w:rPr>
          <w:rFonts w:ascii="Book Antiqua" w:hAnsi="Book Antiqua"/>
          <w:sz w:val="22"/>
          <w:szCs w:val="22"/>
        </w:rPr>
      </w:pP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This does not affect the rights of family members of EEA nationals to permanent</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residence in the UK, where they qualify for it after a period of 5 years residence in</w:t>
      </w:r>
    </w:p>
    <w:p w:rsidR="00A82DCA" w:rsidRPr="00A82DCA" w:rsidRDefault="00A82DCA" w:rsidP="00A82DCA">
      <w:pPr>
        <w:ind w:left="567"/>
        <w:jc w:val="both"/>
        <w:rPr>
          <w:rFonts w:ascii="Book Antiqua" w:hAnsi="Book Antiqua"/>
          <w:sz w:val="22"/>
          <w:szCs w:val="22"/>
        </w:rPr>
      </w:pPr>
      <w:r w:rsidRPr="00A82DCA">
        <w:rPr>
          <w:rFonts w:ascii="Book Antiqua" w:hAnsi="Book Antiqua"/>
          <w:sz w:val="22"/>
          <w:szCs w:val="22"/>
        </w:rPr>
        <w:t>the UK - Regulation 15 of the Immigration (European Economic Area) Regulations</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2006. More information can be found on the GOV.UK website – apply for a UK</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residence card.</w:t>
      </w:r>
    </w:p>
    <w:p w:rsidR="00A82DCA" w:rsidRDefault="00A82DCA" w:rsidP="00A82DCA">
      <w:pPr>
        <w:ind w:firstLine="567"/>
        <w:jc w:val="both"/>
        <w:rPr>
          <w:rFonts w:ascii="Book Antiqua" w:hAnsi="Book Antiqua"/>
          <w:sz w:val="22"/>
          <w:szCs w:val="22"/>
        </w:rPr>
      </w:pP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If an applicant was in the UK with a right to reside under European Economic Area</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(EEA) regulations, continuous residence is not broken if they leave the UK and are</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then re-admitted under the EEA regulations.</w:t>
      </w:r>
    </w:p>
    <w:p w:rsidR="00A82DCA" w:rsidRPr="00A82DCA" w:rsidRDefault="00A82DCA" w:rsidP="00A82DCA">
      <w:pPr>
        <w:ind w:firstLine="567"/>
        <w:jc w:val="both"/>
        <w:rPr>
          <w:rFonts w:ascii="Book Antiqua" w:hAnsi="Book Antiqua"/>
          <w:sz w:val="22"/>
          <w:szCs w:val="22"/>
        </w:rPr>
      </w:pPr>
      <w:r w:rsidRPr="00A82DCA">
        <w:rPr>
          <w:rFonts w:ascii="Book Antiqua" w:hAnsi="Book Antiqua"/>
          <w:sz w:val="22"/>
          <w:szCs w:val="22"/>
        </w:rPr>
        <w:t>When granting a Long Residence application in which a person has relied on a</w:t>
      </w:r>
    </w:p>
    <w:p w:rsidR="00006431" w:rsidRPr="00A82DCA" w:rsidRDefault="00A82DCA" w:rsidP="00A82DCA">
      <w:pPr>
        <w:ind w:left="567"/>
        <w:jc w:val="both"/>
        <w:rPr>
          <w:rFonts w:ascii="Book Antiqua" w:hAnsi="Book Antiqua"/>
          <w:sz w:val="22"/>
          <w:szCs w:val="22"/>
        </w:rPr>
      </w:pPr>
      <w:r w:rsidRPr="00A82DCA">
        <w:rPr>
          <w:rFonts w:ascii="Book Antiqua" w:hAnsi="Book Antiqua"/>
          <w:sz w:val="22"/>
          <w:szCs w:val="22"/>
        </w:rPr>
        <w:t>period of leave in the UK exercising treaty rights as an EEA national or their family member, any grant of leave must be made outside the Immigration Rules</w:t>
      </w:r>
    </w:p>
    <w:p w:rsidR="00006431" w:rsidRDefault="00006431" w:rsidP="00A82DCA">
      <w:pPr>
        <w:spacing w:before="240"/>
        <w:ind w:left="567"/>
        <w:jc w:val="both"/>
        <w:rPr>
          <w:rFonts w:ascii="Book Antiqua" w:hAnsi="Book Antiqua" w:cs="Arial"/>
        </w:rPr>
      </w:pPr>
      <w:r>
        <w:rPr>
          <w:rFonts w:ascii="Book Antiqua" w:hAnsi="Book Antiqua" w:cs="Arial"/>
        </w:rPr>
        <w:t xml:space="preserve">The Secretary of State asserts that the judge </w:t>
      </w:r>
      <w:r w:rsidR="00A82DCA">
        <w:rPr>
          <w:rFonts w:ascii="Book Antiqua" w:hAnsi="Book Antiqua" w:cs="Arial"/>
        </w:rPr>
        <w:t>conflated</w:t>
      </w:r>
      <w:r>
        <w:rPr>
          <w:rFonts w:ascii="Book Antiqua" w:hAnsi="Book Antiqua" w:cs="Arial"/>
        </w:rPr>
        <w:t xml:space="preserve"> </w:t>
      </w:r>
      <w:r w:rsidR="004742B4">
        <w:rPr>
          <w:rFonts w:ascii="Book Antiqua" w:hAnsi="Book Antiqua" w:cs="Arial"/>
        </w:rPr>
        <w:t>the</w:t>
      </w:r>
      <w:r w:rsidR="002C7828">
        <w:rPr>
          <w:rFonts w:ascii="Book Antiqua" w:hAnsi="Book Antiqua" w:cs="Arial"/>
        </w:rPr>
        <w:t xml:space="preserve"> validity </w:t>
      </w:r>
      <w:r w:rsidR="00A82DCA">
        <w:rPr>
          <w:rFonts w:ascii="Book Antiqua" w:hAnsi="Book Antiqua" w:cs="Arial"/>
        </w:rPr>
        <w:t>of a period required for the issue of</w:t>
      </w:r>
      <w:r w:rsidR="002C7828">
        <w:rPr>
          <w:rFonts w:ascii="Book Antiqua" w:hAnsi="Book Antiqua" w:cs="Arial"/>
        </w:rPr>
        <w:t xml:space="preserve"> a reside</w:t>
      </w:r>
      <w:r w:rsidR="004742B4">
        <w:rPr>
          <w:rFonts w:ascii="Book Antiqua" w:hAnsi="Book Antiqua" w:cs="Arial"/>
        </w:rPr>
        <w:t>nce card (five years) with</w:t>
      </w:r>
      <w:r w:rsidR="00A82DCA">
        <w:rPr>
          <w:rFonts w:ascii="Book Antiqua" w:hAnsi="Book Antiqua" w:cs="Arial"/>
        </w:rPr>
        <w:t xml:space="preserve"> a</w:t>
      </w:r>
      <w:r w:rsidR="004B440E">
        <w:rPr>
          <w:rFonts w:ascii="Book Antiqua" w:hAnsi="Book Antiqua" w:cs="Arial"/>
        </w:rPr>
        <w:t xml:space="preserve"> grant of leave to remain.  The respondent argues that the judge failed to understand that a</w:t>
      </w:r>
      <w:r w:rsidR="002C7828">
        <w:rPr>
          <w:rFonts w:ascii="Book Antiqua" w:hAnsi="Book Antiqua" w:cs="Arial"/>
        </w:rPr>
        <w:t xml:space="preserve"> residence card is mere</w:t>
      </w:r>
      <w:r w:rsidR="00A82DCA">
        <w:rPr>
          <w:rFonts w:ascii="Book Antiqua" w:hAnsi="Book Antiqua" w:cs="Arial"/>
        </w:rPr>
        <w:t>ly a documentary recognition of</w:t>
      </w:r>
      <w:r w:rsidR="002C7828">
        <w:rPr>
          <w:rFonts w:ascii="Book Antiqua" w:hAnsi="Book Antiqua" w:cs="Arial"/>
        </w:rPr>
        <w:t xml:space="preserve"> </w:t>
      </w:r>
      <w:r w:rsidR="004B440E">
        <w:rPr>
          <w:rFonts w:ascii="Book Antiqua" w:hAnsi="Book Antiqua" w:cs="Arial"/>
        </w:rPr>
        <w:t>an entitlement already possessed</w:t>
      </w:r>
      <w:r w:rsidR="002C7828">
        <w:rPr>
          <w:rFonts w:ascii="Book Antiqua" w:hAnsi="Book Antiqua" w:cs="Arial"/>
        </w:rPr>
        <w:t xml:space="preserve"> by an EE</w:t>
      </w:r>
      <w:r w:rsidR="00055444">
        <w:rPr>
          <w:rFonts w:ascii="Book Antiqua" w:hAnsi="Book Antiqua" w:cs="Arial"/>
        </w:rPr>
        <w:t>A</w:t>
      </w:r>
      <w:r w:rsidR="004B440E">
        <w:rPr>
          <w:rFonts w:ascii="Book Antiqua" w:hAnsi="Book Antiqua" w:cs="Arial"/>
        </w:rPr>
        <w:t xml:space="preserve"> national who is exercising Treaty R</w:t>
      </w:r>
      <w:r w:rsidR="002C7828">
        <w:rPr>
          <w:rFonts w:ascii="Book Antiqua" w:hAnsi="Book Antiqua" w:cs="Arial"/>
        </w:rPr>
        <w:t>ights.  The Secretary of State asserts that the appellant had failed to show before the First-tier Tribunal that either he was dependent upon his brother or that the brother was exercising treaty rights throughout the re</w:t>
      </w:r>
      <w:r w:rsidR="004B440E">
        <w:rPr>
          <w:rFonts w:ascii="Book Antiqua" w:hAnsi="Book Antiqua" w:cs="Arial"/>
        </w:rPr>
        <w:t>levant period and</w:t>
      </w:r>
      <w:r w:rsidR="002C7828">
        <w:rPr>
          <w:rFonts w:ascii="Book Antiqua" w:hAnsi="Book Antiqua" w:cs="Arial"/>
        </w:rPr>
        <w:t xml:space="preserve"> that “given the removal of the brother in 2013 this clearly casts doubt as to whether they were actually exercising treaty rights at that time.  The FTTJ gives no consideration to this point”.  </w:t>
      </w:r>
    </w:p>
    <w:p w:rsidR="002C7828" w:rsidRDefault="002C7828" w:rsidP="000F76DE">
      <w:pPr>
        <w:numPr>
          <w:ilvl w:val="0"/>
          <w:numId w:val="3"/>
        </w:numPr>
        <w:spacing w:before="240"/>
        <w:jc w:val="both"/>
        <w:rPr>
          <w:rFonts w:ascii="Book Antiqua" w:hAnsi="Book Antiqua" w:cs="Arial"/>
        </w:rPr>
      </w:pPr>
      <w:r>
        <w:rPr>
          <w:rFonts w:ascii="Book Antiqua" w:hAnsi="Book Antiqua" w:cs="Arial"/>
        </w:rPr>
        <w:t>Granting permission</w:t>
      </w:r>
      <w:r w:rsidR="004B440E">
        <w:rPr>
          <w:rFonts w:ascii="Book Antiqua" w:hAnsi="Book Antiqua" w:cs="Arial"/>
        </w:rPr>
        <w:t>,</w:t>
      </w:r>
      <w:r>
        <w:rPr>
          <w:rFonts w:ascii="Book Antiqua" w:hAnsi="Book Antiqua" w:cs="Arial"/>
        </w:rPr>
        <w:t xml:space="preserve"> Judge Holmes wrote:</w:t>
      </w:r>
    </w:p>
    <w:p w:rsidR="002C7828" w:rsidRPr="002C7828" w:rsidRDefault="002C7828" w:rsidP="006D0B2F">
      <w:pPr>
        <w:spacing w:before="240"/>
        <w:ind w:left="567"/>
        <w:jc w:val="both"/>
        <w:rPr>
          <w:rFonts w:ascii="Book Antiqua" w:hAnsi="Book Antiqua" w:cs="Arial"/>
          <w:sz w:val="22"/>
          <w:szCs w:val="22"/>
        </w:rPr>
      </w:pPr>
      <w:r>
        <w:rPr>
          <w:rFonts w:ascii="Book Antiqua" w:hAnsi="Book Antiqua" w:cs="Arial"/>
          <w:sz w:val="22"/>
          <w:szCs w:val="22"/>
        </w:rPr>
        <w:t xml:space="preserve">The grounds are arguable.  This is a very brief decision that arguably fails to engage </w:t>
      </w:r>
      <w:r w:rsidR="00BB7002">
        <w:rPr>
          <w:rFonts w:ascii="Book Antiqua" w:hAnsi="Book Antiqua" w:cs="Arial"/>
          <w:sz w:val="22"/>
          <w:szCs w:val="22"/>
        </w:rPr>
        <w:t xml:space="preserve">with </w:t>
      </w:r>
      <w:r>
        <w:rPr>
          <w:rFonts w:ascii="Book Antiqua" w:hAnsi="Book Antiqua" w:cs="Arial"/>
          <w:sz w:val="22"/>
          <w:szCs w:val="22"/>
        </w:rPr>
        <w:t>the evidence before the judge or to resolve the relevant disputed issues of fact arguably, in addition, the judge misdirected himself as to the effect of a residence card</w:t>
      </w:r>
      <w:r w:rsidR="00D417AE">
        <w:rPr>
          <w:rFonts w:ascii="Book Antiqua" w:hAnsi="Book Antiqua" w:cs="Arial"/>
          <w:sz w:val="22"/>
          <w:szCs w:val="22"/>
        </w:rPr>
        <w:t>; it is not a grant of leave bu</w:t>
      </w:r>
      <w:r>
        <w:rPr>
          <w:rFonts w:ascii="Book Antiqua" w:hAnsi="Book Antiqua" w:cs="Arial"/>
          <w:sz w:val="22"/>
          <w:szCs w:val="22"/>
        </w:rPr>
        <w:t xml:space="preserve">t merely an act that confirms the respondent was satisfied at the date of issue that the requirements of the EEA Regulations were met.  </w:t>
      </w:r>
      <w:proofErr w:type="gramStart"/>
      <w:r>
        <w:rPr>
          <w:rFonts w:ascii="Book Antiqua" w:hAnsi="Book Antiqua" w:cs="Arial"/>
          <w:sz w:val="22"/>
          <w:szCs w:val="22"/>
        </w:rPr>
        <w:t>Moreover</w:t>
      </w:r>
      <w:proofErr w:type="gramEnd"/>
      <w:r>
        <w:rPr>
          <w:rFonts w:ascii="Book Antiqua" w:hAnsi="Book Antiqua" w:cs="Arial"/>
          <w:sz w:val="22"/>
          <w:szCs w:val="22"/>
        </w:rPr>
        <w:t xml:space="preserve"> there are no findings upon whether Article 8 is engaged by the decision under the appeal or the nature of the claim that is to be balanced against the public interest.  </w:t>
      </w:r>
      <w:proofErr w:type="gramStart"/>
      <w:r>
        <w:rPr>
          <w:rFonts w:ascii="Book Antiqua" w:hAnsi="Book Antiqua" w:cs="Arial"/>
          <w:sz w:val="22"/>
          <w:szCs w:val="22"/>
        </w:rPr>
        <w:t>Thus</w:t>
      </w:r>
      <w:proofErr w:type="gramEnd"/>
      <w:r>
        <w:rPr>
          <w:rFonts w:ascii="Book Antiqua" w:hAnsi="Book Antiqua" w:cs="Arial"/>
          <w:sz w:val="22"/>
          <w:szCs w:val="22"/>
        </w:rPr>
        <w:t xml:space="preserve"> arguably the judge had failed to make any of the relevant necessary findings that would permit him to allow this Article 8 appeal.</w:t>
      </w:r>
    </w:p>
    <w:p w:rsidR="002C7828" w:rsidRDefault="006D0B2F" w:rsidP="000F76DE">
      <w:pPr>
        <w:numPr>
          <w:ilvl w:val="0"/>
          <w:numId w:val="3"/>
        </w:numPr>
        <w:spacing w:before="240"/>
        <w:jc w:val="both"/>
        <w:rPr>
          <w:rFonts w:ascii="Book Antiqua" w:hAnsi="Book Antiqua" w:cs="Arial"/>
        </w:rPr>
      </w:pPr>
      <w:r>
        <w:rPr>
          <w:rFonts w:ascii="Book Antiqua" w:hAnsi="Book Antiqua" w:cs="Arial"/>
        </w:rPr>
        <w:t>At the date of the hearing before the Upper Tribunal</w:t>
      </w:r>
      <w:r w:rsidR="00D417AE">
        <w:rPr>
          <w:rFonts w:ascii="Book Antiqua" w:hAnsi="Book Antiqua" w:cs="Arial"/>
        </w:rPr>
        <w:t>,</w:t>
      </w:r>
      <w:r>
        <w:rPr>
          <w:rFonts w:ascii="Book Antiqua" w:hAnsi="Book Antiqua" w:cs="Arial"/>
        </w:rPr>
        <w:t xml:space="preserve"> the appellant had an outstanding information request which had been submitted to the Home Office.  I invited the representatives of both parties to make further written submissions following the hearing and after the information request had been determined.  On 2 March 2018, Ms Brocklesby-Weller who appeared before the Secretary of State emailed me as follows:</w:t>
      </w:r>
    </w:p>
    <w:p w:rsidR="004B440E" w:rsidRPr="004B440E" w:rsidRDefault="004B440E" w:rsidP="004B440E">
      <w:pPr>
        <w:spacing w:before="240"/>
        <w:ind w:left="567"/>
        <w:jc w:val="both"/>
        <w:rPr>
          <w:rFonts w:ascii="Book Antiqua" w:hAnsi="Book Antiqua" w:cs="Arial"/>
          <w:sz w:val="22"/>
          <w:szCs w:val="22"/>
        </w:rPr>
      </w:pPr>
      <w:r w:rsidRPr="004B440E">
        <w:rPr>
          <w:rFonts w:ascii="Book Antiqua" w:hAnsi="Book Antiqua" w:cs="Arial"/>
          <w:sz w:val="22"/>
          <w:szCs w:val="22"/>
        </w:rPr>
        <w:lastRenderedPageBreak/>
        <w:t xml:space="preserve">Put shortly, the SSHD relies on those submissions made orally at the hearing on 8 February and does not propose to make any new points.  For brevity those submissions already advanced will not be rehearsed in full again. </w:t>
      </w:r>
    </w:p>
    <w:p w:rsidR="004B440E" w:rsidRPr="004B440E" w:rsidRDefault="004B440E" w:rsidP="004B440E">
      <w:pPr>
        <w:spacing w:before="240"/>
        <w:ind w:left="567"/>
        <w:jc w:val="both"/>
        <w:rPr>
          <w:rFonts w:ascii="Book Antiqua" w:hAnsi="Book Antiqua" w:cs="Arial"/>
          <w:sz w:val="22"/>
          <w:szCs w:val="22"/>
        </w:rPr>
      </w:pPr>
    </w:p>
    <w:p w:rsidR="004B440E" w:rsidRPr="004B440E" w:rsidRDefault="004B440E" w:rsidP="004B440E">
      <w:pPr>
        <w:spacing w:before="240"/>
        <w:ind w:left="567"/>
        <w:jc w:val="both"/>
        <w:rPr>
          <w:rFonts w:ascii="Book Antiqua" w:hAnsi="Book Antiqua" w:cs="Arial"/>
          <w:sz w:val="22"/>
          <w:szCs w:val="22"/>
        </w:rPr>
      </w:pPr>
      <w:r w:rsidRPr="004B440E">
        <w:rPr>
          <w:rFonts w:ascii="Book Antiqua" w:hAnsi="Book Antiqua" w:cs="Arial"/>
          <w:sz w:val="22"/>
          <w:szCs w:val="22"/>
        </w:rPr>
        <w:t xml:space="preserve">In October 2005, Mr </w:t>
      </w:r>
      <w:proofErr w:type="spellStart"/>
      <w:r w:rsidRPr="004B440E">
        <w:rPr>
          <w:rFonts w:ascii="Book Antiqua" w:hAnsi="Book Antiqua" w:cs="Arial"/>
          <w:sz w:val="22"/>
          <w:szCs w:val="22"/>
        </w:rPr>
        <w:t>Paramanathan</w:t>
      </w:r>
      <w:proofErr w:type="spellEnd"/>
      <w:r w:rsidRPr="004B440E">
        <w:rPr>
          <w:rFonts w:ascii="Book Antiqua" w:hAnsi="Book Antiqua" w:cs="Arial"/>
          <w:sz w:val="22"/>
          <w:szCs w:val="22"/>
        </w:rPr>
        <w:t xml:space="preserve"> was refused a residence permit under Regulation 10 of the 2000 Regulations as the dependant of his German brother in law who had arrived in 2005, three years after Mr </w:t>
      </w:r>
      <w:proofErr w:type="spellStart"/>
      <w:r w:rsidRPr="004B440E">
        <w:rPr>
          <w:rFonts w:ascii="Book Antiqua" w:hAnsi="Book Antiqua" w:cs="Arial"/>
          <w:sz w:val="22"/>
          <w:szCs w:val="22"/>
        </w:rPr>
        <w:t>Paramanathan</w:t>
      </w:r>
      <w:proofErr w:type="spellEnd"/>
      <w:r w:rsidRPr="004B440E">
        <w:rPr>
          <w:rFonts w:ascii="Book Antiqua" w:hAnsi="Book Antiqua" w:cs="Arial"/>
          <w:sz w:val="22"/>
          <w:szCs w:val="22"/>
        </w:rPr>
        <w:t xml:space="preserve">. The basis of the refusal was that the EEA national had after Mr </w:t>
      </w:r>
      <w:proofErr w:type="spellStart"/>
      <w:r w:rsidRPr="004B440E">
        <w:rPr>
          <w:rFonts w:ascii="Book Antiqua" w:hAnsi="Book Antiqua" w:cs="Arial"/>
          <w:sz w:val="22"/>
          <w:szCs w:val="22"/>
        </w:rPr>
        <w:t>Paramanathan</w:t>
      </w:r>
      <w:proofErr w:type="spellEnd"/>
      <w:r w:rsidRPr="004B440E">
        <w:rPr>
          <w:rFonts w:ascii="Book Antiqua" w:hAnsi="Book Antiqua" w:cs="Arial"/>
          <w:sz w:val="22"/>
          <w:szCs w:val="22"/>
        </w:rPr>
        <w:t xml:space="preserve"> and that there was no evidence of past dependency. I accept Ms Bond’s assertion that the first basis of refusal was subsequently identified as wrong in law, however previous dependency was still required. Mr </w:t>
      </w:r>
      <w:proofErr w:type="spellStart"/>
      <w:r w:rsidRPr="004B440E">
        <w:rPr>
          <w:rFonts w:ascii="Book Antiqua" w:hAnsi="Book Antiqua" w:cs="Arial"/>
          <w:sz w:val="22"/>
          <w:szCs w:val="22"/>
        </w:rPr>
        <w:t>Paramanathan</w:t>
      </w:r>
      <w:proofErr w:type="spellEnd"/>
      <w:r w:rsidRPr="004B440E">
        <w:rPr>
          <w:rFonts w:ascii="Book Antiqua" w:hAnsi="Book Antiqua" w:cs="Arial"/>
          <w:sz w:val="22"/>
          <w:szCs w:val="22"/>
        </w:rPr>
        <w:t xml:space="preserve"> succeeded at the AIT, and the SSHD did not challenge the decision- though she perhaps ought to have on the issue of dependency. Irrespective, the SSHD unfortunately delayed in implementing the appeal which was not undertaken until December 2010 and under the 2006 Regulations. In that period the EEA sponsor, on whom Mr </w:t>
      </w:r>
      <w:proofErr w:type="spellStart"/>
      <w:r w:rsidRPr="004B440E">
        <w:rPr>
          <w:rFonts w:ascii="Book Antiqua" w:hAnsi="Book Antiqua" w:cs="Arial"/>
          <w:sz w:val="22"/>
          <w:szCs w:val="22"/>
        </w:rPr>
        <w:t>Paramanathan</w:t>
      </w:r>
      <w:proofErr w:type="spellEnd"/>
      <w:r w:rsidRPr="004B440E">
        <w:rPr>
          <w:rFonts w:ascii="Book Antiqua" w:hAnsi="Book Antiqua" w:cs="Arial"/>
          <w:sz w:val="22"/>
          <w:szCs w:val="22"/>
        </w:rPr>
        <w:t xml:space="preserve"> was dependant had been imprisoned in June 2010 for </w:t>
      </w:r>
      <w:proofErr w:type="gramStart"/>
      <w:r w:rsidRPr="004B440E">
        <w:rPr>
          <w:rFonts w:ascii="Book Antiqua" w:hAnsi="Book Antiqua" w:cs="Arial"/>
          <w:sz w:val="22"/>
          <w:szCs w:val="22"/>
        </w:rPr>
        <w:t>a number of</w:t>
      </w:r>
      <w:proofErr w:type="gramEnd"/>
      <w:r w:rsidRPr="004B440E">
        <w:rPr>
          <w:rFonts w:ascii="Book Antiqua" w:hAnsi="Book Antiqua" w:cs="Arial"/>
          <w:sz w:val="22"/>
          <w:szCs w:val="22"/>
        </w:rPr>
        <w:t xml:space="preserve"> years and therefore dependency ceased. Ms Bond for Mr </w:t>
      </w:r>
      <w:proofErr w:type="spellStart"/>
      <w:r w:rsidRPr="004B440E">
        <w:rPr>
          <w:rFonts w:ascii="Book Antiqua" w:hAnsi="Book Antiqua" w:cs="Arial"/>
          <w:sz w:val="22"/>
          <w:szCs w:val="22"/>
        </w:rPr>
        <w:t>Paramanathan</w:t>
      </w:r>
      <w:proofErr w:type="spellEnd"/>
      <w:r w:rsidRPr="004B440E">
        <w:rPr>
          <w:rFonts w:ascii="Book Antiqua" w:hAnsi="Book Antiqua" w:cs="Arial"/>
          <w:sz w:val="22"/>
          <w:szCs w:val="22"/>
        </w:rPr>
        <w:t xml:space="preserve"> asserts that the requisite five years had been completed prior to the period of imprisonment. </w:t>
      </w:r>
    </w:p>
    <w:p w:rsidR="004B440E" w:rsidRPr="004B440E" w:rsidRDefault="004B440E" w:rsidP="004B440E">
      <w:pPr>
        <w:spacing w:before="240"/>
        <w:ind w:left="567"/>
        <w:jc w:val="both"/>
        <w:rPr>
          <w:rFonts w:ascii="Book Antiqua" w:hAnsi="Book Antiqua" w:cs="Arial"/>
          <w:sz w:val="22"/>
          <w:szCs w:val="22"/>
        </w:rPr>
      </w:pPr>
    </w:p>
    <w:p w:rsidR="004B440E" w:rsidRPr="004B440E" w:rsidRDefault="004B440E" w:rsidP="004B440E">
      <w:pPr>
        <w:spacing w:before="240"/>
        <w:ind w:left="567"/>
        <w:jc w:val="both"/>
        <w:rPr>
          <w:rFonts w:ascii="Book Antiqua" w:hAnsi="Book Antiqua" w:cs="Arial"/>
          <w:sz w:val="22"/>
          <w:szCs w:val="22"/>
        </w:rPr>
      </w:pPr>
      <w:r w:rsidRPr="004B440E">
        <w:rPr>
          <w:rFonts w:ascii="Book Antiqua" w:hAnsi="Book Antiqua" w:cs="Arial"/>
          <w:sz w:val="22"/>
          <w:szCs w:val="22"/>
        </w:rPr>
        <w:t xml:space="preserve">As asserted at the hearing, under the 2006 EEA Regulations at least Mr </w:t>
      </w:r>
      <w:proofErr w:type="spellStart"/>
      <w:r w:rsidRPr="004B440E">
        <w:rPr>
          <w:rFonts w:ascii="Book Antiqua" w:hAnsi="Book Antiqua" w:cs="Arial"/>
          <w:sz w:val="22"/>
          <w:szCs w:val="22"/>
        </w:rPr>
        <w:t>Paramanathan</w:t>
      </w:r>
      <w:proofErr w:type="spellEnd"/>
      <w:r w:rsidRPr="004B440E">
        <w:rPr>
          <w:rFonts w:ascii="Book Antiqua" w:hAnsi="Book Antiqua" w:cs="Arial"/>
          <w:sz w:val="22"/>
          <w:szCs w:val="22"/>
        </w:rPr>
        <w:t xml:space="preserve"> did not have status.  Regulation 7(3</w:t>
      </w:r>
      <w:proofErr w:type="gramStart"/>
      <w:r w:rsidRPr="004B440E">
        <w:rPr>
          <w:rFonts w:ascii="Book Antiqua" w:hAnsi="Book Antiqua" w:cs="Arial"/>
          <w:sz w:val="22"/>
          <w:szCs w:val="22"/>
        </w:rPr>
        <w:t>)  provided</w:t>
      </w:r>
      <w:proofErr w:type="gramEnd"/>
      <w:r w:rsidRPr="004B440E">
        <w:rPr>
          <w:rFonts w:ascii="Book Antiqua" w:hAnsi="Book Antiqua" w:cs="Arial"/>
          <w:sz w:val="22"/>
          <w:szCs w:val="22"/>
        </w:rPr>
        <w:t xml:space="preserve"> that a “documented EFM” was only residing as a family member while he continued to meet Regulation 8(2) and had a valid document. A similar provision existed under the 2000 Regulations - Regulation 10(1) and (2) also refers to issuing “where appropriate”.  It is therefore submitted that Mr </w:t>
      </w:r>
      <w:proofErr w:type="spellStart"/>
      <w:r w:rsidRPr="004B440E">
        <w:rPr>
          <w:rFonts w:ascii="Book Antiqua" w:hAnsi="Book Antiqua" w:cs="Arial"/>
          <w:sz w:val="22"/>
          <w:szCs w:val="22"/>
        </w:rPr>
        <w:t>Paramanathan</w:t>
      </w:r>
      <w:proofErr w:type="spellEnd"/>
      <w:r w:rsidRPr="004B440E">
        <w:rPr>
          <w:rFonts w:ascii="Book Antiqua" w:hAnsi="Book Antiqua" w:cs="Arial"/>
          <w:sz w:val="22"/>
          <w:szCs w:val="22"/>
        </w:rPr>
        <w:t xml:space="preserve"> did not benefit from the mandatory discretion operated by the SSHD in the long residence policy.</w:t>
      </w:r>
    </w:p>
    <w:p w:rsidR="004B440E" w:rsidRPr="004B440E" w:rsidRDefault="004B440E" w:rsidP="004B440E">
      <w:pPr>
        <w:spacing w:before="240"/>
        <w:ind w:left="567"/>
        <w:jc w:val="both"/>
        <w:rPr>
          <w:rFonts w:ascii="Book Antiqua" w:hAnsi="Book Antiqua" w:cs="Arial"/>
          <w:sz w:val="22"/>
          <w:szCs w:val="22"/>
        </w:rPr>
      </w:pPr>
    </w:p>
    <w:p w:rsidR="004B440E" w:rsidRPr="004B440E" w:rsidRDefault="004B440E" w:rsidP="004B440E">
      <w:pPr>
        <w:spacing w:before="240"/>
        <w:ind w:left="567"/>
        <w:jc w:val="both"/>
        <w:rPr>
          <w:rFonts w:ascii="Book Antiqua" w:hAnsi="Book Antiqua" w:cs="Arial"/>
          <w:sz w:val="22"/>
          <w:szCs w:val="22"/>
        </w:rPr>
      </w:pPr>
      <w:r w:rsidRPr="004B440E">
        <w:rPr>
          <w:rFonts w:ascii="Book Antiqua" w:hAnsi="Book Antiqua" w:cs="Arial"/>
          <w:sz w:val="22"/>
          <w:szCs w:val="22"/>
        </w:rPr>
        <w:t xml:space="preserve">The SSHD submits that satisfying factual dependency is simply not enough. To take another approach would be to treat EFM’s and direct family members equally, contrary to the terms of the Regulations and the Directive. </w:t>
      </w:r>
    </w:p>
    <w:p w:rsidR="004B440E" w:rsidRPr="004B440E" w:rsidRDefault="004B440E" w:rsidP="004B440E">
      <w:pPr>
        <w:spacing w:before="240"/>
        <w:ind w:left="567"/>
        <w:jc w:val="both"/>
        <w:rPr>
          <w:rFonts w:ascii="Book Antiqua" w:hAnsi="Book Antiqua" w:cs="Arial"/>
          <w:sz w:val="22"/>
          <w:szCs w:val="22"/>
        </w:rPr>
      </w:pPr>
    </w:p>
    <w:p w:rsidR="006D0B2F" w:rsidRPr="006D0B2F" w:rsidRDefault="004B440E" w:rsidP="004B440E">
      <w:pPr>
        <w:spacing w:before="240"/>
        <w:ind w:left="567"/>
        <w:jc w:val="both"/>
        <w:rPr>
          <w:rFonts w:ascii="Book Antiqua" w:hAnsi="Book Antiqua" w:cs="Arial"/>
          <w:sz w:val="22"/>
          <w:szCs w:val="22"/>
        </w:rPr>
      </w:pPr>
      <w:r w:rsidRPr="004B440E">
        <w:rPr>
          <w:rFonts w:ascii="Book Antiqua" w:hAnsi="Book Antiqua" w:cs="Arial"/>
          <w:sz w:val="22"/>
          <w:szCs w:val="22"/>
        </w:rPr>
        <w:t xml:space="preserve">It is acknowledged that the current issue before the Tribunal is just one of a material error of law. It is submitted that the decision of Judge Oliver is entirely void of reasoning and does not identify the basis in which 10 years lawful residence is accumulated, but for an assertion that it has- see paragraph 7. Nor, is it clear when the Judge considered this period had been completed. The Judge does not formally adopt the reasons articulated in Ms Bond’s skeleton argument and in any event, and as alluded above, there are still material issues to be determined by the Tribunal where full argument can be heard. Any error at paragraph 7 of the Judge’s decision infects the conclusion at paragraph 8 where it is noted that the public interest is defeated.  </w:t>
      </w:r>
    </w:p>
    <w:p w:rsidR="00F56422" w:rsidRDefault="006D0B2F" w:rsidP="000F76DE">
      <w:pPr>
        <w:numPr>
          <w:ilvl w:val="0"/>
          <w:numId w:val="3"/>
        </w:numPr>
        <w:spacing w:before="240"/>
        <w:jc w:val="both"/>
        <w:rPr>
          <w:rFonts w:ascii="Book Antiqua" w:hAnsi="Book Antiqua" w:cs="Arial"/>
        </w:rPr>
      </w:pPr>
      <w:r>
        <w:rPr>
          <w:rFonts w:ascii="Book Antiqua" w:hAnsi="Book Antiqua" w:cs="Arial"/>
        </w:rPr>
        <w:t xml:space="preserve">The appellant’s solicitors emailed me to say that the appellant continued to rely upon the skeleton argument and Rule 24 Notice drafted by Counsel, Ms Bond.  </w:t>
      </w:r>
    </w:p>
    <w:p w:rsidR="006D0B2F" w:rsidRDefault="006D0B2F" w:rsidP="000F76DE">
      <w:pPr>
        <w:numPr>
          <w:ilvl w:val="0"/>
          <w:numId w:val="3"/>
        </w:numPr>
        <w:spacing w:before="240"/>
        <w:jc w:val="both"/>
        <w:rPr>
          <w:rFonts w:ascii="Book Antiqua" w:hAnsi="Book Antiqua" w:cs="Arial"/>
        </w:rPr>
      </w:pPr>
      <w:r>
        <w:rPr>
          <w:rFonts w:ascii="Book Antiqua" w:hAnsi="Book Antiqua" w:cs="Arial"/>
        </w:rPr>
        <w:t>Judge Oliver</w:t>
      </w:r>
      <w:r w:rsidR="004B440E">
        <w:rPr>
          <w:rFonts w:ascii="Book Antiqua" w:hAnsi="Book Antiqua" w:cs="Arial"/>
        </w:rPr>
        <w:t>,</w:t>
      </w:r>
      <w:r>
        <w:rPr>
          <w:rFonts w:ascii="Book Antiqua" w:hAnsi="Book Antiqua" w:cs="Arial"/>
        </w:rPr>
        <w:t xml:space="preserve"> in his decision promulgated on 15 November 2017</w:t>
      </w:r>
      <w:r w:rsidR="004B440E">
        <w:rPr>
          <w:rFonts w:ascii="Book Antiqua" w:hAnsi="Book Antiqua" w:cs="Arial"/>
        </w:rPr>
        <w:t>, sets out briefly a</w:t>
      </w:r>
      <w:r>
        <w:rPr>
          <w:rFonts w:ascii="Book Antiqua" w:hAnsi="Book Antiqua" w:cs="Arial"/>
        </w:rPr>
        <w:t xml:space="preserve"> chronology of the a</w:t>
      </w:r>
      <w:r w:rsidR="004B440E">
        <w:rPr>
          <w:rFonts w:ascii="Book Antiqua" w:hAnsi="Book Antiqua" w:cs="Arial"/>
        </w:rPr>
        <w:t>ppellant’s applications.  He record</w:t>
      </w:r>
      <w:r>
        <w:rPr>
          <w:rFonts w:ascii="Book Antiqua" w:hAnsi="Book Antiqua" w:cs="Arial"/>
        </w:rPr>
        <w:t xml:space="preserve">ed the evidence </w:t>
      </w:r>
      <w:r w:rsidR="004B440E">
        <w:rPr>
          <w:rFonts w:ascii="Book Antiqua" w:hAnsi="Book Antiqua" w:cs="Arial"/>
        </w:rPr>
        <w:t xml:space="preserve">which </w:t>
      </w:r>
      <w:r>
        <w:rPr>
          <w:rFonts w:ascii="Book Antiqua" w:hAnsi="Book Antiqua" w:cs="Arial"/>
        </w:rPr>
        <w:t xml:space="preserve">he received from the number of witnesses who attended on behalf of the </w:t>
      </w:r>
      <w:r w:rsidR="00992C93">
        <w:rPr>
          <w:rFonts w:ascii="Book Antiqua" w:hAnsi="Book Antiqua" w:cs="Arial"/>
        </w:rPr>
        <w:t xml:space="preserve">appellant.  The </w:t>
      </w:r>
      <w:r w:rsidR="00992C93">
        <w:rPr>
          <w:rFonts w:ascii="Book Antiqua" w:hAnsi="Book Antiqua" w:cs="Arial"/>
        </w:rPr>
        <w:lastRenderedPageBreak/>
        <w:t>witnesses were not cross-examined because the respondent was not represented at the hearing.  At [7] Judge Oliver wrote:</w:t>
      </w:r>
    </w:p>
    <w:p w:rsidR="00992C93" w:rsidRDefault="00992C93" w:rsidP="00992C93">
      <w:pPr>
        <w:spacing w:before="240"/>
        <w:ind w:left="567"/>
        <w:jc w:val="both"/>
        <w:rPr>
          <w:rFonts w:ascii="Book Antiqua" w:hAnsi="Book Antiqua" w:cs="Arial"/>
          <w:sz w:val="22"/>
          <w:szCs w:val="22"/>
        </w:rPr>
      </w:pPr>
      <w:r>
        <w:rPr>
          <w:rFonts w:ascii="Book Antiqua" w:hAnsi="Book Antiqua" w:cs="Arial"/>
          <w:sz w:val="22"/>
          <w:szCs w:val="22"/>
        </w:rPr>
        <w:t xml:space="preserve">[The appellant’s] application was made under paragraph 276B of the Immigration Rules not under the Immigration (European Economic Area) Regulations 2006.  This is an application that </w:t>
      </w:r>
      <w:r w:rsidR="00D417AE">
        <w:rPr>
          <w:rFonts w:ascii="Book Antiqua" w:hAnsi="Book Antiqua" w:cs="Arial"/>
          <w:sz w:val="22"/>
          <w:szCs w:val="22"/>
        </w:rPr>
        <w:t>can be made any time following</w:t>
      </w:r>
      <w:r>
        <w:rPr>
          <w:rFonts w:ascii="Book Antiqua" w:hAnsi="Book Antiqua" w:cs="Arial"/>
          <w:sz w:val="22"/>
          <w:szCs w:val="22"/>
        </w:rPr>
        <w:t xml:space="preserve"> completion of ten years of continuous lawful residence and can conclude periods extended by leave under Section 3C of the Immigration Act 1971.  When he arrived in the United Kingdom and claimed asylum, he was given temporary admission and this began his period of residence.  Although this was refused, the hearing of his appeal did not take place until 2005 and, although this was decided against him, he was given a second period of discretionary leave to 2008.  His appeal against refusal to extend this leave extended his period of lawful residence to 2011.  That was, as the respondent argued, the end of his period </w:t>
      </w:r>
      <w:r w:rsidR="00D417AE">
        <w:rPr>
          <w:rFonts w:ascii="Book Antiqua" w:hAnsi="Book Antiqua" w:cs="Arial"/>
          <w:sz w:val="22"/>
          <w:szCs w:val="22"/>
        </w:rPr>
        <w:t xml:space="preserve">of </w:t>
      </w:r>
      <w:r>
        <w:rPr>
          <w:rFonts w:ascii="Book Antiqua" w:hAnsi="Book Antiqua" w:cs="Arial"/>
          <w:sz w:val="22"/>
          <w:szCs w:val="22"/>
        </w:rPr>
        <w:t xml:space="preserve">leave.  </w:t>
      </w:r>
      <w:r w:rsidRPr="004B440E">
        <w:rPr>
          <w:rFonts w:ascii="Book Antiqua" w:hAnsi="Book Antiqua" w:cs="Arial"/>
          <w:b/>
          <w:sz w:val="22"/>
          <w:szCs w:val="22"/>
        </w:rPr>
        <w:t>B</w:t>
      </w:r>
      <w:r w:rsidR="00EA5628" w:rsidRPr="004B440E">
        <w:rPr>
          <w:rFonts w:ascii="Book Antiqua" w:hAnsi="Book Antiqua" w:cs="Arial"/>
          <w:b/>
          <w:sz w:val="22"/>
          <w:szCs w:val="22"/>
        </w:rPr>
        <w:t>ut b</w:t>
      </w:r>
      <w:r w:rsidRPr="004B440E">
        <w:rPr>
          <w:rFonts w:ascii="Book Antiqua" w:hAnsi="Book Antiqua" w:cs="Arial"/>
          <w:b/>
          <w:sz w:val="22"/>
          <w:szCs w:val="22"/>
        </w:rPr>
        <w:t>y then he had been granted residence under the Regulations</w:t>
      </w:r>
      <w:r>
        <w:rPr>
          <w:rFonts w:ascii="Book Antiqua" w:hAnsi="Book Antiqua" w:cs="Arial"/>
          <w:sz w:val="22"/>
          <w:szCs w:val="22"/>
        </w:rPr>
        <w:t>, which counts as lawful residence, at least until his brother-in-law was removed in 2013.  Accordingly, he accumulated ten years’ continuous lawful residence during the currency of that period of residency.</w:t>
      </w:r>
    </w:p>
    <w:p w:rsidR="00992C93" w:rsidRPr="00992C93" w:rsidRDefault="00992C93" w:rsidP="00992C93">
      <w:pPr>
        <w:spacing w:before="240"/>
        <w:ind w:left="567"/>
        <w:jc w:val="both"/>
        <w:rPr>
          <w:rFonts w:ascii="Book Antiqua" w:hAnsi="Book Antiqua" w:cs="Arial"/>
          <w:sz w:val="22"/>
          <w:szCs w:val="22"/>
        </w:rPr>
      </w:pPr>
      <w:r>
        <w:rPr>
          <w:rFonts w:ascii="Book Antiqua" w:hAnsi="Book Antiqua" w:cs="Arial"/>
          <w:sz w:val="22"/>
          <w:szCs w:val="22"/>
        </w:rPr>
        <w:t xml:space="preserve">Since the appellant meets the Rules the public interest in the maintenance of fair but firm immigration falls away.  Refusal is an interference with the extensive private life which is built up in his fifteen years in the United Kingdom which </w:t>
      </w:r>
      <w:r w:rsidR="00A7595C">
        <w:rPr>
          <w:rFonts w:ascii="Book Antiqua" w:hAnsi="Book Antiqua" w:cs="Arial"/>
          <w:sz w:val="22"/>
          <w:szCs w:val="22"/>
        </w:rPr>
        <w:t>h</w:t>
      </w:r>
      <w:r>
        <w:rPr>
          <w:rFonts w:ascii="Book Antiqua" w:hAnsi="Book Antiqua" w:cs="Arial"/>
          <w:sz w:val="22"/>
          <w:szCs w:val="22"/>
        </w:rPr>
        <w:t>is extended family members gave unchallenged evidence at the hearing.  In these circumstances refusal of the application is disproportionate to the public interest.</w:t>
      </w:r>
      <w:r w:rsidR="004B440E">
        <w:rPr>
          <w:rFonts w:ascii="Book Antiqua" w:hAnsi="Book Antiqua" w:cs="Arial"/>
          <w:sz w:val="22"/>
          <w:szCs w:val="22"/>
        </w:rPr>
        <w:t xml:space="preserve"> [my emphasis]</w:t>
      </w:r>
    </w:p>
    <w:p w:rsidR="007B13CD" w:rsidRPr="00A30A9D" w:rsidRDefault="00992C93" w:rsidP="00A30A9D">
      <w:pPr>
        <w:numPr>
          <w:ilvl w:val="0"/>
          <w:numId w:val="3"/>
        </w:numPr>
        <w:spacing w:before="240"/>
        <w:jc w:val="both"/>
        <w:rPr>
          <w:rFonts w:ascii="Book Antiqua" w:hAnsi="Book Antiqua" w:cs="Arial"/>
        </w:rPr>
      </w:pPr>
      <w:r>
        <w:rPr>
          <w:rFonts w:ascii="Book Antiqua" w:hAnsi="Book Antiqua" w:cs="Arial"/>
        </w:rPr>
        <w:t>I find that the judge has erred in law.  As Judge Holmes observed, the judge has incorrectly con</w:t>
      </w:r>
      <w:r w:rsidR="004B440E">
        <w:rPr>
          <w:rFonts w:ascii="Book Antiqua" w:hAnsi="Book Antiqua" w:cs="Arial"/>
        </w:rPr>
        <w:t>fused the issuing</w:t>
      </w:r>
      <w:r>
        <w:rPr>
          <w:rFonts w:ascii="Book Antiqua" w:hAnsi="Book Antiqua" w:cs="Arial"/>
        </w:rPr>
        <w:t xml:space="preserve"> of a residence card under the 2006 EEA Regulations as synonymous with a grant of leave to remain </w:t>
      </w:r>
      <w:r w:rsidRPr="004B440E">
        <w:rPr>
          <w:rFonts w:ascii="Book Antiqua" w:hAnsi="Book Antiqua" w:cs="Arial"/>
          <w:i/>
        </w:rPr>
        <w:t>(“but by then he had been granted residence under the Regulations …”</w:t>
      </w:r>
      <w:r w:rsidR="004B440E">
        <w:rPr>
          <w:rFonts w:ascii="Book Antiqua" w:hAnsi="Book Antiqua" w:cs="Arial"/>
        </w:rPr>
        <w:t>)</w:t>
      </w:r>
      <w:r>
        <w:rPr>
          <w:rFonts w:ascii="Book Antiqua" w:hAnsi="Book Antiqua" w:cs="Arial"/>
        </w:rPr>
        <w:t>.  In effect, the judge has found that the appellant meets the requirements of paragraph 2</w:t>
      </w:r>
      <w:r w:rsidR="004B440E">
        <w:rPr>
          <w:rFonts w:ascii="Book Antiqua" w:hAnsi="Book Antiqua" w:cs="Arial"/>
        </w:rPr>
        <w:t>76B of the Immigration Rules, having</w:t>
      </w:r>
      <w:r>
        <w:rPr>
          <w:rFonts w:ascii="Book Antiqua" w:hAnsi="Book Antiqua" w:cs="Arial"/>
        </w:rPr>
        <w:t xml:space="preserve"> provided “unchallenged evidence” of an “extensive private life” and has consequently concluded that any public interest in his removal is outweighed by the need to protect his private life in this country.  </w:t>
      </w:r>
      <w:r w:rsidR="004B440E">
        <w:rPr>
          <w:rFonts w:ascii="Book Antiqua" w:hAnsi="Book Antiqua" w:cs="Arial"/>
        </w:rPr>
        <w:t>The brevity of the</w:t>
      </w:r>
      <w:r>
        <w:rPr>
          <w:rFonts w:ascii="Book Antiqua" w:hAnsi="Book Antiqua" w:cs="Arial"/>
        </w:rPr>
        <w:t xml:space="preserve"> analysis is not necessarily fatal to the decision.  </w:t>
      </w:r>
      <w:r w:rsidR="004B440E">
        <w:rPr>
          <w:rFonts w:ascii="Book Antiqua" w:hAnsi="Book Antiqua" w:cs="Arial"/>
        </w:rPr>
        <w:t>If</w:t>
      </w:r>
      <w:r>
        <w:rPr>
          <w:rFonts w:ascii="Book Antiqua" w:hAnsi="Book Antiqua" w:cs="Arial"/>
        </w:rPr>
        <w:t xml:space="preserve"> the judge is correct in what he says regarding paragraph 276B and </w:t>
      </w:r>
      <w:r w:rsidR="0096351E">
        <w:rPr>
          <w:rFonts w:ascii="Book Antiqua" w:hAnsi="Book Antiqua" w:cs="Arial"/>
        </w:rPr>
        <w:t>if a more detailed analysis of</w:t>
      </w:r>
      <w:r w:rsidR="004B440E">
        <w:rPr>
          <w:rFonts w:ascii="Book Antiqua" w:hAnsi="Book Antiqua" w:cs="Arial"/>
        </w:rPr>
        <w:t xml:space="preserve"> the relevant circumstances would</w:t>
      </w:r>
      <w:r w:rsidR="0096351E">
        <w:rPr>
          <w:rFonts w:ascii="Book Antiqua" w:hAnsi="Book Antiqua" w:cs="Arial"/>
        </w:rPr>
        <w:t xml:space="preserve"> have led to </w:t>
      </w:r>
      <w:proofErr w:type="gramStart"/>
      <w:r w:rsidR="0096351E">
        <w:rPr>
          <w:rFonts w:ascii="Book Antiqua" w:hAnsi="Book Antiqua" w:cs="Arial"/>
        </w:rPr>
        <w:t>exactly the same</w:t>
      </w:r>
      <w:proofErr w:type="gramEnd"/>
      <w:r w:rsidR="0096351E">
        <w:rPr>
          <w:rFonts w:ascii="Book Antiqua" w:hAnsi="Book Antiqua" w:cs="Arial"/>
        </w:rPr>
        <w:t xml:space="preserve"> result</w:t>
      </w:r>
      <w:r w:rsidR="004B440E">
        <w:rPr>
          <w:rFonts w:ascii="Book Antiqua" w:hAnsi="Book Antiqua" w:cs="Arial"/>
        </w:rPr>
        <w:t>, then any error is unlikely to be material</w:t>
      </w:r>
      <w:r w:rsidR="0096351E">
        <w:rPr>
          <w:rFonts w:ascii="Book Antiqua" w:hAnsi="Book Antiqua" w:cs="Arial"/>
        </w:rPr>
        <w:t>.  That</w:t>
      </w:r>
      <w:r w:rsidR="004B440E">
        <w:rPr>
          <w:rFonts w:ascii="Book Antiqua" w:hAnsi="Book Antiqua" w:cs="Arial"/>
        </w:rPr>
        <w:t>, in short,</w:t>
      </w:r>
      <w:r w:rsidR="0096351E">
        <w:rPr>
          <w:rFonts w:ascii="Book Antiqua" w:hAnsi="Book Antiqua" w:cs="Arial"/>
        </w:rPr>
        <w:t xml:space="preserve"> is what Ms Bond, </w:t>
      </w:r>
      <w:r w:rsidR="004B440E">
        <w:rPr>
          <w:rFonts w:ascii="Book Antiqua" w:hAnsi="Book Antiqua" w:cs="Arial"/>
        </w:rPr>
        <w:t xml:space="preserve">wo </w:t>
      </w:r>
      <w:r w:rsidR="0096351E">
        <w:rPr>
          <w:rFonts w:ascii="Book Antiqua" w:hAnsi="Book Antiqua" w:cs="Arial"/>
        </w:rPr>
        <w:t>appeared for the appellant before both Tribunals</w:t>
      </w:r>
      <w:r w:rsidR="008E048F">
        <w:rPr>
          <w:rFonts w:ascii="Book Antiqua" w:hAnsi="Book Antiqua" w:cs="Arial"/>
        </w:rPr>
        <w:t>,</w:t>
      </w:r>
      <w:r w:rsidR="0096351E">
        <w:rPr>
          <w:rFonts w:ascii="Book Antiqua" w:hAnsi="Book Antiqua" w:cs="Arial"/>
        </w:rPr>
        <w:t xml:space="preserve"> has argued.  </w:t>
      </w:r>
      <w:r w:rsidR="007B13CD" w:rsidRPr="00A30A9D">
        <w:rPr>
          <w:rFonts w:ascii="Book Antiqua" w:hAnsi="Book Antiqua" w:cs="Arial"/>
        </w:rPr>
        <w:t>Ms Brocklesby-Weller’</w:t>
      </w:r>
      <w:r w:rsidR="00A30A9D">
        <w:rPr>
          <w:rFonts w:ascii="Book Antiqua" w:hAnsi="Book Antiqua" w:cs="Arial"/>
        </w:rPr>
        <w:t xml:space="preserve">s submission, </w:t>
      </w:r>
      <w:r w:rsidR="008E048F" w:rsidRPr="00A30A9D">
        <w:rPr>
          <w:rFonts w:ascii="Book Antiqua" w:hAnsi="Book Antiqua" w:cs="Arial"/>
        </w:rPr>
        <w:t>that</w:t>
      </w:r>
      <w:r w:rsidR="007B13CD" w:rsidRPr="00A30A9D">
        <w:rPr>
          <w:rFonts w:ascii="Book Antiqua" w:hAnsi="Book Antiqua" w:cs="Arial"/>
        </w:rPr>
        <w:t xml:space="preserve"> Judge Oliver’s decision is </w:t>
      </w:r>
      <w:r w:rsidR="00A30A9D" w:rsidRPr="00A30A9D">
        <w:rPr>
          <w:rFonts w:ascii="Book Antiqua" w:hAnsi="Book Antiqua" w:cs="Arial"/>
        </w:rPr>
        <w:t>“entirely void of reasoning</w:t>
      </w:r>
      <w:r w:rsidR="00A30A9D">
        <w:rPr>
          <w:rFonts w:ascii="Book Antiqua" w:hAnsi="Book Antiqua" w:cs="Arial"/>
        </w:rPr>
        <w:t>,</w:t>
      </w:r>
      <w:r w:rsidR="00A30A9D" w:rsidRPr="00A30A9D">
        <w:rPr>
          <w:rFonts w:ascii="Book Antiqua" w:hAnsi="Book Antiqua" w:cs="Arial"/>
        </w:rPr>
        <w:t xml:space="preserve">” </w:t>
      </w:r>
      <w:r w:rsidR="00A30A9D">
        <w:rPr>
          <w:rFonts w:ascii="Book Antiqua" w:hAnsi="Book Antiqua" w:cs="Arial"/>
        </w:rPr>
        <w:t xml:space="preserve">is not, on Ms Bond’s submission, </w:t>
      </w:r>
      <w:proofErr w:type="gramStart"/>
      <w:r w:rsidR="007B13CD" w:rsidRPr="00A30A9D">
        <w:rPr>
          <w:rFonts w:ascii="Book Antiqua" w:hAnsi="Book Antiqua" w:cs="Arial"/>
        </w:rPr>
        <w:t>in</w:t>
      </w:r>
      <w:r w:rsidR="006B1A1E" w:rsidRPr="00A30A9D">
        <w:rPr>
          <w:rFonts w:ascii="Book Antiqua" w:hAnsi="Book Antiqua" w:cs="Arial"/>
        </w:rPr>
        <w:t xml:space="preserve"> it</w:t>
      </w:r>
      <w:r w:rsidR="007B13CD" w:rsidRPr="00A30A9D">
        <w:rPr>
          <w:rFonts w:ascii="Book Antiqua" w:hAnsi="Book Antiqua" w:cs="Arial"/>
        </w:rPr>
        <w:t>self sufficient</w:t>
      </w:r>
      <w:proofErr w:type="gramEnd"/>
      <w:r w:rsidR="007B13CD" w:rsidRPr="00A30A9D">
        <w:rPr>
          <w:rFonts w:ascii="Book Antiqua" w:hAnsi="Book Antiqua" w:cs="Arial"/>
        </w:rPr>
        <w:t xml:space="preserve"> to render the judge’s decision unsafe.</w:t>
      </w:r>
    </w:p>
    <w:p w:rsidR="006B1A1E" w:rsidRDefault="006B1A1E" w:rsidP="000F76DE">
      <w:pPr>
        <w:numPr>
          <w:ilvl w:val="0"/>
          <w:numId w:val="3"/>
        </w:numPr>
        <w:spacing w:before="240"/>
        <w:jc w:val="both"/>
        <w:rPr>
          <w:rFonts w:ascii="Book Antiqua" w:hAnsi="Book Antiqua" w:cs="Arial"/>
        </w:rPr>
      </w:pPr>
      <w:r>
        <w:rPr>
          <w:rFonts w:ascii="Book Antiqua" w:hAnsi="Book Antiqua" w:cs="Arial"/>
        </w:rPr>
        <w:t>The first question which the Upper Tribunal needs to ad</w:t>
      </w:r>
      <w:r w:rsidR="00A30A9D">
        <w:rPr>
          <w:rFonts w:ascii="Book Antiqua" w:hAnsi="Book Antiqua" w:cs="Arial"/>
        </w:rPr>
        <w:t>dress is whether the appellant meets the requirements of</w:t>
      </w:r>
      <w:r>
        <w:rPr>
          <w:rFonts w:ascii="Book Antiqua" w:hAnsi="Book Antiqua" w:cs="Arial"/>
        </w:rPr>
        <w:t xml:space="preserve"> paragraph 276B.  Paragraph 276B provides as follows:</w:t>
      </w:r>
    </w:p>
    <w:p w:rsidR="00A30A9D" w:rsidRPr="00A30A9D" w:rsidRDefault="00A30A9D" w:rsidP="00A30A9D">
      <w:pPr>
        <w:spacing w:before="240"/>
        <w:ind w:left="567"/>
        <w:jc w:val="both"/>
        <w:rPr>
          <w:rFonts w:ascii="Book Antiqua" w:hAnsi="Book Antiqua" w:cs="Arial"/>
          <w:b/>
          <w:sz w:val="22"/>
          <w:szCs w:val="22"/>
        </w:rPr>
      </w:pPr>
      <w:r w:rsidRPr="00A30A9D">
        <w:rPr>
          <w:rFonts w:ascii="Book Antiqua" w:hAnsi="Book Antiqua" w:cs="Arial"/>
          <w:b/>
          <w:sz w:val="22"/>
          <w:szCs w:val="22"/>
        </w:rPr>
        <w:t>276B. The requirements to be met by an applicant for indefinite leave to remain on the ground of long residence in the United Kingdom are that:</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w:t>
      </w:r>
      <w:proofErr w:type="spellStart"/>
      <w:r w:rsidRPr="00A30A9D">
        <w:rPr>
          <w:rFonts w:ascii="Book Antiqua" w:hAnsi="Book Antiqua" w:cs="Arial"/>
          <w:sz w:val="22"/>
          <w:szCs w:val="22"/>
        </w:rPr>
        <w:t>i</w:t>
      </w:r>
      <w:proofErr w:type="spellEnd"/>
      <w:r w:rsidRPr="00A30A9D">
        <w:rPr>
          <w:rFonts w:ascii="Book Antiqua" w:hAnsi="Book Antiqua" w:cs="Arial"/>
          <w:sz w:val="22"/>
          <w:szCs w:val="22"/>
        </w:rPr>
        <w:t>) (a) he has had at least 10 years continuous lawful residence in the United Kingdom.</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 xml:space="preserve">(ii) having regard to the public interest there are no reasons why it would be undesirable for him to be given indefinite leave to remain on the ground of long residence, </w:t>
      </w:r>
      <w:proofErr w:type="gramStart"/>
      <w:r w:rsidRPr="00A30A9D">
        <w:rPr>
          <w:rFonts w:ascii="Book Antiqua" w:hAnsi="Book Antiqua" w:cs="Arial"/>
          <w:sz w:val="22"/>
          <w:szCs w:val="22"/>
        </w:rPr>
        <w:t>taking into account</w:t>
      </w:r>
      <w:proofErr w:type="gramEnd"/>
      <w:r w:rsidRPr="00A30A9D">
        <w:rPr>
          <w:rFonts w:ascii="Book Antiqua" w:hAnsi="Book Antiqua" w:cs="Arial"/>
          <w:sz w:val="22"/>
          <w:szCs w:val="22"/>
        </w:rPr>
        <w:t xml:space="preserve"> his:</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(a) age; and</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lastRenderedPageBreak/>
        <w:t>(b) strength of connections in the United Kingdom; and</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(c) personal history, including character, conduct, associations and employment record; and</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(d) domestic circumstances; and</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(e) compassionate circumstances; and</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(f) any representations received on the person’s behalf; and</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(iii) the applicant does not fall for refusal under the general grounds for refusal.</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 xml:space="preserve">(iv) the applicant has demonstrated sufficient knowledge of the English language and sufficient knowledge about life in the United Kingdom, in accordance with Appendix </w:t>
      </w:r>
      <w:proofErr w:type="spellStart"/>
      <w:r w:rsidRPr="00A30A9D">
        <w:rPr>
          <w:rFonts w:ascii="Book Antiqua" w:hAnsi="Book Antiqua" w:cs="Arial"/>
          <w:sz w:val="22"/>
          <w:szCs w:val="22"/>
        </w:rPr>
        <w:t>KoLL</w:t>
      </w:r>
      <w:proofErr w:type="spellEnd"/>
      <w:r w:rsidRPr="00A30A9D">
        <w:rPr>
          <w:rFonts w:ascii="Book Antiqua" w:hAnsi="Book Antiqua" w:cs="Arial"/>
          <w:sz w:val="22"/>
          <w:szCs w:val="22"/>
        </w:rPr>
        <w:t>.</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(v) the applicant must not be in the UK in breach of immigration laws, except that, where paragraph 39E of these Rules applies, any current period of overstaying will be disregarded. Any previous period of overstaying between periods of leave will also be disregarded where –</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(a) the previous application was made before 24 November 2016 and within 28 days of the expiry of leave; or</w:t>
      </w:r>
    </w:p>
    <w:p w:rsidR="006B1A1E" w:rsidRPr="006B1A1E"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(b) the further application was made on or after 24 November 2016 and paragraph 39E of these Rules applied.</w:t>
      </w:r>
    </w:p>
    <w:p w:rsidR="006B1A1E" w:rsidRDefault="006B1A1E" w:rsidP="000F76DE">
      <w:pPr>
        <w:numPr>
          <w:ilvl w:val="0"/>
          <w:numId w:val="3"/>
        </w:numPr>
        <w:spacing w:before="240"/>
        <w:jc w:val="both"/>
        <w:rPr>
          <w:rFonts w:ascii="Book Antiqua" w:hAnsi="Book Antiqua" w:cs="Arial"/>
        </w:rPr>
      </w:pPr>
      <w:r>
        <w:rPr>
          <w:rFonts w:ascii="Book Antiqua" w:hAnsi="Book Antiqua" w:cs="Arial"/>
        </w:rPr>
        <w:t xml:space="preserve">The appellant </w:t>
      </w:r>
      <w:r w:rsidR="00A30A9D">
        <w:rPr>
          <w:rFonts w:ascii="Book Antiqua" w:hAnsi="Book Antiqua" w:cs="Arial"/>
        </w:rPr>
        <w:t>claims that he had completed 10</w:t>
      </w:r>
      <w:r>
        <w:rPr>
          <w:rFonts w:ascii="Book Antiqua" w:hAnsi="Book Antiqua" w:cs="Arial"/>
        </w:rPr>
        <w:t xml:space="preserve"> years of l</w:t>
      </w:r>
      <w:r w:rsidR="00A30A9D">
        <w:rPr>
          <w:rFonts w:ascii="Book Antiqua" w:hAnsi="Book Antiqua" w:cs="Arial"/>
        </w:rPr>
        <w:t xml:space="preserve">awful residence by May 2012 comprising </w:t>
      </w:r>
      <w:r>
        <w:rPr>
          <w:rFonts w:ascii="Book Antiqua" w:hAnsi="Book Antiqua" w:cs="Arial"/>
        </w:rPr>
        <w:t>periods of temporary admission, Section 3C leave, discretionary leave to remain and periods spent as the holder of a residence card as the family member of an EEA national.  The Secretary of State does not dispute the legality of the various periods of leave save for that in respect of the residence c</w:t>
      </w:r>
      <w:r w:rsidR="00A30A9D">
        <w:rPr>
          <w:rFonts w:ascii="Book Antiqua" w:hAnsi="Book Antiqua" w:cs="Arial"/>
        </w:rPr>
        <w:t xml:space="preserve">ard.  Paragraph 276A contains </w:t>
      </w:r>
      <w:r>
        <w:rPr>
          <w:rFonts w:ascii="Book Antiqua" w:hAnsi="Book Antiqua" w:cs="Arial"/>
        </w:rPr>
        <w:t>definition</w:t>
      </w:r>
      <w:r w:rsidR="00A30A9D">
        <w:rPr>
          <w:rFonts w:ascii="Book Antiqua" w:hAnsi="Book Antiqua" w:cs="Arial"/>
        </w:rPr>
        <w:t>s</w:t>
      </w:r>
      <w:r>
        <w:rPr>
          <w:rFonts w:ascii="Book Antiqua" w:hAnsi="Book Antiqua" w:cs="Arial"/>
        </w:rPr>
        <w:t xml:space="preserve"> of “continuous</w:t>
      </w:r>
      <w:r w:rsidR="00A30A9D">
        <w:rPr>
          <w:rFonts w:ascii="Book Antiqua" w:hAnsi="Book Antiqua" w:cs="Arial"/>
        </w:rPr>
        <w:t>” and “lawful” residence</w:t>
      </w:r>
      <w:r>
        <w:rPr>
          <w:rFonts w:ascii="Book Antiqua" w:hAnsi="Book Antiqua" w:cs="Arial"/>
        </w:rPr>
        <w:t>:</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276A. For the purposes of paragraphs 276B to 276D and 276</w:t>
      </w:r>
      <w:proofErr w:type="gramStart"/>
      <w:r w:rsidRPr="00A30A9D">
        <w:rPr>
          <w:rFonts w:ascii="Book Antiqua" w:hAnsi="Book Antiqua" w:cs="Arial"/>
          <w:sz w:val="22"/>
          <w:szCs w:val="22"/>
        </w:rPr>
        <w:t>ADE(</w:t>
      </w:r>
      <w:proofErr w:type="gramEnd"/>
      <w:r w:rsidRPr="00A30A9D">
        <w:rPr>
          <w:rFonts w:ascii="Book Antiqua" w:hAnsi="Book Antiqua" w:cs="Arial"/>
          <w:sz w:val="22"/>
          <w:szCs w:val="22"/>
        </w:rPr>
        <w:t>1).</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(a) “continuous residence” means residence in the United Kingdom for an unbroken period, and for these purposes a period shall not be considered to have been broken where an applicant is absent from the United Kingdom for a period of 6 months or less at any one time, provided that the applicant in question has existing limited leave to enter or remain upon their departure and return, but shall be considered to have been broken if the applicant:</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w:t>
      </w:r>
      <w:proofErr w:type="spellStart"/>
      <w:r w:rsidRPr="00A30A9D">
        <w:rPr>
          <w:rFonts w:ascii="Book Antiqua" w:hAnsi="Book Antiqua" w:cs="Arial"/>
          <w:sz w:val="22"/>
          <w:szCs w:val="22"/>
        </w:rPr>
        <w:t>i</w:t>
      </w:r>
      <w:proofErr w:type="spellEnd"/>
      <w:r w:rsidRPr="00A30A9D">
        <w:rPr>
          <w:rFonts w:ascii="Book Antiqua" w:hAnsi="Book Antiqua" w:cs="Arial"/>
          <w:sz w:val="22"/>
          <w:szCs w:val="22"/>
        </w:rPr>
        <w:t>) has been removed under Schedule 2 of the 1971 Act, section 10 of the 1999 Act, has been deported or has left the United Kingdom having been refused leave to enter or remain here; or</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(ii) has left the United Kingdom and, on doing so, evidenced a clear intention not to return; or</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(iii) left the United Kingdom in circumstances in which he could have had no reasonable expectation at the time of leaving that he would lawfully be able to return; or</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(iv) has been convicted of an offence and was sentenced to a period of imprisonment or was directed to be detained in an institution other than a prison (including</w:t>
      </w:r>
      <w:proofErr w:type="gramStart"/>
      <w:r w:rsidRPr="00A30A9D">
        <w:rPr>
          <w:rFonts w:ascii="Book Antiqua" w:hAnsi="Book Antiqua" w:cs="Arial"/>
          <w:sz w:val="22"/>
          <w:szCs w:val="22"/>
        </w:rPr>
        <w:t>, in particular, a</w:t>
      </w:r>
      <w:proofErr w:type="gramEnd"/>
      <w:r w:rsidRPr="00A30A9D">
        <w:rPr>
          <w:rFonts w:ascii="Book Antiqua" w:hAnsi="Book Antiqua" w:cs="Arial"/>
          <w:sz w:val="22"/>
          <w:szCs w:val="22"/>
        </w:rPr>
        <w:t xml:space="preserve"> hospital or an institution for young offenders), provided that the sentence in question was not a suspended sentence; or</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(v) has spent a total of more than 18 months absent from the United Kingdom during the period in question.</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(b) “lawful residence” means residence which is continuous residence pursuant to:</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w:t>
      </w:r>
      <w:proofErr w:type="spellStart"/>
      <w:r w:rsidRPr="00A30A9D">
        <w:rPr>
          <w:rFonts w:ascii="Book Antiqua" w:hAnsi="Book Antiqua" w:cs="Arial"/>
          <w:sz w:val="22"/>
          <w:szCs w:val="22"/>
        </w:rPr>
        <w:t>i</w:t>
      </w:r>
      <w:proofErr w:type="spellEnd"/>
      <w:r w:rsidRPr="00A30A9D">
        <w:rPr>
          <w:rFonts w:ascii="Book Antiqua" w:hAnsi="Book Antiqua" w:cs="Arial"/>
          <w:sz w:val="22"/>
          <w:szCs w:val="22"/>
        </w:rPr>
        <w:t>) existing leave to enter or remain; or</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(ii) temporary admission within section 11 of the 1971 Act (as previously in force), or immigration bail within section 11 of the 1971 Act, where leave to enter or remain is subsequently granted; or</w:t>
      </w:r>
    </w:p>
    <w:p w:rsidR="00A30A9D" w:rsidRPr="00A30A9D"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(iii) an exemption from immigration control, including where an exemption ceases to apply if it is immediately followed by a grant of leave to enter or remain.</w:t>
      </w:r>
    </w:p>
    <w:p w:rsidR="006B1A1E" w:rsidRPr="006B1A1E" w:rsidRDefault="00A30A9D" w:rsidP="00A30A9D">
      <w:pPr>
        <w:spacing w:before="240"/>
        <w:ind w:left="567"/>
        <w:jc w:val="both"/>
        <w:rPr>
          <w:rFonts w:ascii="Book Antiqua" w:hAnsi="Book Antiqua" w:cs="Arial"/>
          <w:sz w:val="22"/>
          <w:szCs w:val="22"/>
        </w:rPr>
      </w:pPr>
      <w:r w:rsidRPr="00A30A9D">
        <w:rPr>
          <w:rFonts w:ascii="Book Antiqua" w:hAnsi="Book Antiqua" w:cs="Arial"/>
          <w:sz w:val="22"/>
          <w:szCs w:val="22"/>
        </w:rPr>
        <w:t>(c) ‘lived continuously’ and ‘living continuously’ mean ‘continuous residence’, except that paragraph 276A(a)(iv) shall not apply.</w:t>
      </w:r>
    </w:p>
    <w:p w:rsidR="006B1A1E" w:rsidRDefault="006B1A1E" w:rsidP="000F76DE">
      <w:pPr>
        <w:numPr>
          <w:ilvl w:val="0"/>
          <w:numId w:val="3"/>
        </w:numPr>
        <w:spacing w:before="240"/>
        <w:jc w:val="both"/>
        <w:rPr>
          <w:rFonts w:ascii="Book Antiqua" w:hAnsi="Book Antiqua" w:cs="Arial"/>
        </w:rPr>
      </w:pPr>
      <w:r>
        <w:rPr>
          <w:rFonts w:ascii="Book Antiqua" w:hAnsi="Book Antiqua" w:cs="Arial"/>
        </w:rPr>
        <w:t xml:space="preserve">Paragraph 276A(b)(iii) provides that </w:t>
      </w:r>
      <w:proofErr w:type="gramStart"/>
      <w:r>
        <w:rPr>
          <w:rFonts w:ascii="Book Antiqua" w:hAnsi="Book Antiqua" w:cs="Arial"/>
        </w:rPr>
        <w:t>a period of time</w:t>
      </w:r>
      <w:proofErr w:type="gramEnd"/>
      <w:r>
        <w:rPr>
          <w:rFonts w:ascii="Book Antiqua" w:hAnsi="Book Antiqua" w:cs="Arial"/>
        </w:rPr>
        <w:t xml:space="preserve"> spent in the United Kingdom whilst exempt from immigration control falls within the definition of “continuous residence”.  I refer to the long residence guidance of the Secretary of State </w:t>
      </w:r>
      <w:r w:rsidR="00A30A9D">
        <w:rPr>
          <w:rFonts w:ascii="Book Antiqua" w:hAnsi="Book Antiqua" w:cs="Arial"/>
        </w:rPr>
        <w:t>which I have set out above at [2</w:t>
      </w:r>
      <w:r>
        <w:rPr>
          <w:rFonts w:ascii="Book Antiqua" w:hAnsi="Book Antiqua" w:cs="Arial"/>
        </w:rPr>
        <w:t xml:space="preserve">].  </w:t>
      </w:r>
      <w:r w:rsidR="0014422F">
        <w:rPr>
          <w:rFonts w:ascii="Book Antiqua" w:hAnsi="Book Antiqua" w:cs="Arial"/>
        </w:rPr>
        <w:t xml:space="preserve">The guidance is unequivocal: “during time spent in the UK under the provisions of the EEA Regulations, the individuals are not subject to immigration control and would not be required to have leave to enter or remain”.  </w:t>
      </w:r>
      <w:r w:rsidR="00A30A9D">
        <w:rPr>
          <w:rFonts w:ascii="Book Antiqua" w:hAnsi="Book Antiqua" w:cs="Arial"/>
        </w:rPr>
        <w:t xml:space="preserve">It must follow </w:t>
      </w:r>
      <w:r w:rsidR="00DB5C33">
        <w:rPr>
          <w:rFonts w:ascii="Book Antiqua" w:hAnsi="Book Antiqua" w:cs="Arial"/>
        </w:rPr>
        <w:t xml:space="preserve">that the appellant was exempt from immigration control during the period when he held a residence card as another family member.  I agree with Ms Bond that time spent whilst in possession of the residence card counted towards the period of long residence under paragraph 276.  I </w:t>
      </w:r>
      <w:r w:rsidR="00A30A9D">
        <w:rPr>
          <w:rFonts w:ascii="Book Antiqua" w:hAnsi="Book Antiqua" w:cs="Arial"/>
        </w:rPr>
        <w:t xml:space="preserve">also </w:t>
      </w:r>
      <w:r w:rsidR="00DB5C33">
        <w:rPr>
          <w:rFonts w:ascii="Book Antiqua" w:hAnsi="Book Antiqua" w:cs="Arial"/>
        </w:rPr>
        <w:t>agree with Ms Bond, therefore, that t</w:t>
      </w:r>
      <w:r w:rsidR="00A30A9D">
        <w:rPr>
          <w:rFonts w:ascii="Book Antiqua" w:hAnsi="Book Antiqua" w:cs="Arial"/>
        </w:rPr>
        <w:t>he appellant had accumulated 10</w:t>
      </w:r>
      <w:r w:rsidR="00DB5C33">
        <w:rPr>
          <w:rFonts w:ascii="Book Antiqua" w:hAnsi="Book Antiqua" w:cs="Arial"/>
        </w:rPr>
        <w:t xml:space="preserve"> years’ lawful residence by May 2012.  I disagree with Ms Brocklesby-Weller that it was necessary for the judge to go behind the issue of the residence card to the appellant to examine </w:t>
      </w:r>
      <w:proofErr w:type="gramStart"/>
      <w:r w:rsidR="00DB5C33">
        <w:rPr>
          <w:rFonts w:ascii="Book Antiqua" w:hAnsi="Book Antiqua" w:cs="Arial"/>
        </w:rPr>
        <w:t>whether or not</w:t>
      </w:r>
      <w:proofErr w:type="gramEnd"/>
      <w:r w:rsidR="00DB5C33">
        <w:rPr>
          <w:rFonts w:ascii="Book Antiqua" w:hAnsi="Book Antiqua" w:cs="Arial"/>
        </w:rPr>
        <w:t xml:space="preserve"> the appellant’s brother-in-law had been exercising treaty rights.  That argument had been advanced in the refusal letter which asserted that, notwithstanding the issue of the residence card to the appellant, he had i</w:t>
      </w:r>
      <w:r w:rsidR="008E188B">
        <w:rPr>
          <w:rFonts w:ascii="Book Antiqua" w:hAnsi="Book Antiqua" w:cs="Arial"/>
        </w:rPr>
        <w:t xml:space="preserve">n fact been living on his own and not dependent upon his brother-in-law.  The letter also asserts that the appellant </w:t>
      </w:r>
      <w:r w:rsidR="00C10DF3">
        <w:rPr>
          <w:rFonts w:ascii="Book Antiqua" w:hAnsi="Book Antiqua" w:cs="Arial"/>
        </w:rPr>
        <w:t xml:space="preserve">had </w:t>
      </w:r>
      <w:r w:rsidR="008E188B">
        <w:rPr>
          <w:rFonts w:ascii="Book Antiqua" w:hAnsi="Book Antiqua" w:cs="Arial"/>
        </w:rPr>
        <w:t>failed to prove that his brother-in-law had been exercising treaty rights throug</w:t>
      </w:r>
      <w:r w:rsidR="00A30A9D">
        <w:rPr>
          <w:rFonts w:ascii="Book Antiqua" w:hAnsi="Book Antiqua" w:cs="Arial"/>
        </w:rPr>
        <w:t>hout the necessary period of 10</w:t>
      </w:r>
      <w:r w:rsidR="008E188B">
        <w:rPr>
          <w:rFonts w:ascii="Book Antiqua" w:hAnsi="Book Antiqua" w:cs="Arial"/>
        </w:rPr>
        <w:t xml:space="preserve"> years.  </w:t>
      </w:r>
      <w:r w:rsidR="0011338D">
        <w:rPr>
          <w:rFonts w:ascii="Book Antiqua" w:hAnsi="Book Antiqua" w:cs="Arial"/>
        </w:rPr>
        <w:t xml:space="preserve">I do not find that argument attractive.  I </w:t>
      </w:r>
      <w:r w:rsidR="00F3497C">
        <w:rPr>
          <w:rFonts w:ascii="Book Antiqua" w:hAnsi="Book Antiqua" w:cs="Arial"/>
        </w:rPr>
        <w:t xml:space="preserve">am </w:t>
      </w:r>
      <w:r w:rsidR="0011338D">
        <w:rPr>
          <w:rFonts w:ascii="Book Antiqua" w:hAnsi="Book Antiqua" w:cs="Arial"/>
        </w:rPr>
        <w:t>reminded that the appellant successfully appealed against the refusal of the issue of a residence card in 2006 and that the Secretary of State did not see</w:t>
      </w:r>
      <w:r w:rsidR="00A30A9D">
        <w:rPr>
          <w:rFonts w:ascii="Book Antiqua" w:hAnsi="Book Antiqua" w:cs="Arial"/>
        </w:rPr>
        <w:t xml:space="preserve">k to challenge that decision.  The decision </w:t>
      </w:r>
      <w:r w:rsidR="0011338D">
        <w:rPr>
          <w:rFonts w:ascii="Book Antiqua" w:hAnsi="Book Antiqua" w:cs="Arial"/>
        </w:rPr>
        <w:t>allow</w:t>
      </w:r>
      <w:r w:rsidR="00A30A9D">
        <w:rPr>
          <w:rFonts w:ascii="Book Antiqua" w:hAnsi="Book Antiqua" w:cs="Arial"/>
        </w:rPr>
        <w:t>ing</w:t>
      </w:r>
      <w:r w:rsidR="0011338D">
        <w:rPr>
          <w:rFonts w:ascii="Book Antiqua" w:hAnsi="Book Antiqua" w:cs="Arial"/>
        </w:rPr>
        <w:t xml:space="preserve"> the appeal had not been acted upon by the Secretary of State until December 2010.  The Secretary of State herself did not challenge either the appellant’s</w:t>
      </w:r>
      <w:r w:rsidR="00203988">
        <w:rPr>
          <w:rFonts w:ascii="Book Antiqua" w:hAnsi="Book Antiqua" w:cs="Arial"/>
        </w:rPr>
        <w:t xml:space="preserve"> claim</w:t>
      </w:r>
      <w:r w:rsidR="0011338D">
        <w:rPr>
          <w:rFonts w:ascii="Book Antiqua" w:hAnsi="Book Antiqua" w:cs="Arial"/>
        </w:rPr>
        <w:t xml:space="preserve"> that he was a dependent on his brother-in-law or that the brother-in-law himself was exerci</w:t>
      </w:r>
      <w:r w:rsidR="00203988">
        <w:rPr>
          <w:rFonts w:ascii="Book Antiqua" w:hAnsi="Book Antiqua" w:cs="Arial"/>
        </w:rPr>
        <w:t>sing treaty rights.  I consider</w:t>
      </w:r>
      <w:r w:rsidR="0011338D">
        <w:rPr>
          <w:rFonts w:ascii="Book Antiqua" w:hAnsi="Book Antiqua" w:cs="Arial"/>
        </w:rPr>
        <w:t xml:space="preserve"> that Judge Olive</w:t>
      </w:r>
      <w:r w:rsidR="00A30A9D">
        <w:rPr>
          <w:rFonts w:ascii="Book Antiqua" w:hAnsi="Book Antiqua" w:cs="Arial"/>
        </w:rPr>
        <w:t>r was right not to examine again the circumstances of the appellant or his brother in law</w:t>
      </w:r>
      <w:r w:rsidR="00203988">
        <w:rPr>
          <w:rFonts w:ascii="Book Antiqua" w:hAnsi="Book Antiqua" w:cs="Arial"/>
        </w:rPr>
        <w:t xml:space="preserve"> which lay</w:t>
      </w:r>
      <w:r w:rsidR="00A30A9D">
        <w:rPr>
          <w:rFonts w:ascii="Book Antiqua" w:hAnsi="Book Antiqua" w:cs="Arial"/>
        </w:rPr>
        <w:t xml:space="preserve"> behind that grant of a</w:t>
      </w:r>
      <w:r w:rsidR="0011338D">
        <w:rPr>
          <w:rFonts w:ascii="Book Antiqua" w:hAnsi="Book Antiqua" w:cs="Arial"/>
        </w:rPr>
        <w:t xml:space="preserve"> residence card to the appellant.</w:t>
      </w:r>
    </w:p>
    <w:p w:rsidR="006D0B2F" w:rsidRPr="00937A74" w:rsidRDefault="00855D06" w:rsidP="00937A74">
      <w:pPr>
        <w:numPr>
          <w:ilvl w:val="0"/>
          <w:numId w:val="3"/>
        </w:numPr>
        <w:spacing w:before="240"/>
        <w:jc w:val="both"/>
        <w:rPr>
          <w:rFonts w:ascii="Book Antiqua" w:hAnsi="Book Antiqua" w:cs="Arial"/>
        </w:rPr>
      </w:pPr>
      <w:r>
        <w:rPr>
          <w:rFonts w:ascii="Book Antiqua" w:hAnsi="Book Antiqua" w:cs="Arial"/>
        </w:rPr>
        <w:t xml:space="preserve">It was the Secretary of State’s decision not to be represented at the hearing before Judge Oliver.  The judge heard evidence from </w:t>
      </w:r>
      <w:proofErr w:type="gramStart"/>
      <w:r>
        <w:rPr>
          <w:rFonts w:ascii="Book Antiqua" w:hAnsi="Book Antiqua" w:cs="Arial"/>
        </w:rPr>
        <w:t>a number of</w:t>
      </w:r>
      <w:proofErr w:type="gramEnd"/>
      <w:r>
        <w:rPr>
          <w:rFonts w:ascii="Book Antiqua" w:hAnsi="Book Antiqua" w:cs="Arial"/>
        </w:rPr>
        <w:t xml:space="preserve"> witnesses testifying as to the </w:t>
      </w:r>
      <w:r w:rsidR="00673766">
        <w:rPr>
          <w:rFonts w:ascii="Book Antiqua" w:hAnsi="Book Antiqua" w:cs="Arial"/>
        </w:rPr>
        <w:t>depth and</w:t>
      </w:r>
      <w:r w:rsidR="0016456D">
        <w:rPr>
          <w:rFonts w:ascii="Book Antiqua" w:hAnsi="Book Antiqua" w:cs="Arial"/>
        </w:rPr>
        <w:t xml:space="preserve"> extent of the appellant’s private life in the United Kingdom.  The Secretary of State did not take up the opportunity to cross-examine those witnesses.  The judge was entitle</w:t>
      </w:r>
      <w:r w:rsidR="00404D7C">
        <w:rPr>
          <w:rFonts w:ascii="Book Antiqua" w:hAnsi="Book Antiqua" w:cs="Arial"/>
        </w:rPr>
        <w:t xml:space="preserve">d to find that they had given </w:t>
      </w:r>
      <w:r w:rsidR="0016456D">
        <w:rPr>
          <w:rFonts w:ascii="Book Antiqua" w:hAnsi="Book Antiqua" w:cs="Arial"/>
        </w:rPr>
        <w:t xml:space="preserve">truthful evidence.  He was also entitled to conclude </w:t>
      </w:r>
      <w:r w:rsidR="00A30A9D">
        <w:rPr>
          <w:rFonts w:ascii="Book Antiqua" w:hAnsi="Book Antiqua" w:cs="Arial"/>
        </w:rPr>
        <w:t>that, after 15</w:t>
      </w:r>
      <w:r w:rsidR="0016456D">
        <w:rPr>
          <w:rFonts w:ascii="Book Antiqua" w:hAnsi="Book Antiqua" w:cs="Arial"/>
        </w:rPr>
        <w:t xml:space="preserve"> years living in the United Kingdom, the appellant had acquired a substantial p</w:t>
      </w:r>
      <w:r w:rsidR="00A30A9D">
        <w:rPr>
          <w:rFonts w:ascii="Book Antiqua" w:hAnsi="Book Antiqua" w:cs="Arial"/>
        </w:rPr>
        <w:t xml:space="preserve">rivate life here.  The judge could </w:t>
      </w:r>
      <w:r w:rsidR="0016456D">
        <w:rPr>
          <w:rFonts w:ascii="Book Antiqua" w:hAnsi="Book Antiqua" w:cs="Arial"/>
        </w:rPr>
        <w:t>certainly have gone into greater detail to support his finding but I accept that it would have been strange if the appellant had not acquired a private life whilst living continuously in this country for such</w:t>
      </w:r>
      <w:r w:rsidR="00792BF0">
        <w:rPr>
          <w:rFonts w:ascii="Book Antiqua" w:hAnsi="Book Antiqua" w:cs="Arial"/>
        </w:rPr>
        <w:t xml:space="preserve"> a period</w:t>
      </w:r>
      <w:r w:rsidR="0016456D">
        <w:rPr>
          <w:rFonts w:ascii="Book Antiqua" w:hAnsi="Book Antiqua" w:cs="Arial"/>
        </w:rPr>
        <w:t>.  In addition, the judge correctly found that the appellant satisfied paragraph 276B.</w:t>
      </w:r>
      <w:r w:rsidR="00E32434">
        <w:rPr>
          <w:rFonts w:ascii="Book Antiqua" w:hAnsi="Book Antiqua" w:cs="Arial"/>
        </w:rPr>
        <w:t xml:space="preserve">  </w:t>
      </w:r>
      <w:r w:rsidR="00203988">
        <w:rPr>
          <w:rFonts w:ascii="Book Antiqua" w:hAnsi="Book Antiqua" w:cs="Arial"/>
        </w:rPr>
        <w:t>Accordingly, it was open to him</w:t>
      </w:r>
      <w:r w:rsidR="00E32434">
        <w:rPr>
          <w:rFonts w:ascii="Book Antiqua" w:hAnsi="Book Antiqua" w:cs="Arial"/>
        </w:rPr>
        <w:t xml:space="preserve"> to conclude that, given that the appellant met the requirements of the Immigration Rules, any argument that it would be in the public interest to remove the appellant </w:t>
      </w:r>
      <w:r w:rsidR="00203988">
        <w:rPr>
          <w:rFonts w:ascii="Book Antiqua" w:hAnsi="Book Antiqua" w:cs="Arial"/>
        </w:rPr>
        <w:t>had been significantly diminished</w:t>
      </w:r>
      <w:r w:rsidR="00E32434">
        <w:rPr>
          <w:rFonts w:ascii="Book Antiqua" w:hAnsi="Book Antiqua" w:cs="Arial"/>
        </w:rPr>
        <w:t xml:space="preserve">.  The judge did err by </w:t>
      </w:r>
      <w:r w:rsidR="00203988">
        <w:rPr>
          <w:rFonts w:ascii="Book Antiqua" w:hAnsi="Book Antiqua" w:cs="Arial"/>
        </w:rPr>
        <w:t>conflating the</w:t>
      </w:r>
      <w:r w:rsidR="00E32434">
        <w:rPr>
          <w:rFonts w:ascii="Book Antiqua" w:hAnsi="Book Antiqua" w:cs="Arial"/>
        </w:rPr>
        <w:t xml:space="preserve"> </w:t>
      </w:r>
      <w:r w:rsidR="00203988">
        <w:rPr>
          <w:rFonts w:ascii="Book Antiqua" w:hAnsi="Book Antiqua" w:cs="Arial"/>
        </w:rPr>
        <w:t>issuing</w:t>
      </w:r>
      <w:r w:rsidR="00E32434">
        <w:rPr>
          <w:rFonts w:ascii="Book Antiqua" w:hAnsi="Book Antiqua" w:cs="Arial"/>
        </w:rPr>
        <w:t xml:space="preserve"> of a residence card with the grant of leave to remain.  However, for the reasons I have given, he reached an outcome in the appeal which was available to him on the evidence and he did so</w:t>
      </w:r>
      <w:proofErr w:type="gramStart"/>
      <w:r w:rsidR="00E32434">
        <w:rPr>
          <w:rFonts w:ascii="Book Antiqua" w:hAnsi="Book Antiqua" w:cs="Arial"/>
        </w:rPr>
        <w:t>, in particular, having</w:t>
      </w:r>
      <w:proofErr w:type="gramEnd"/>
      <w:r w:rsidR="00E32434">
        <w:rPr>
          <w:rFonts w:ascii="Book Antiqua" w:hAnsi="Book Antiqua" w:cs="Arial"/>
        </w:rPr>
        <w:t xml:space="preserve"> correctly found that the appellant met the requirements of long residence as set out in paragraph 276B.  In the circumstances, I see no reason for the Upper Tribunal to interfere with his conclusion</w:t>
      </w:r>
      <w:r w:rsidR="00203988">
        <w:rPr>
          <w:rFonts w:ascii="Book Antiqua" w:hAnsi="Book Antiqua" w:cs="Arial"/>
        </w:rPr>
        <w:t>s</w:t>
      </w:r>
      <w:r w:rsidR="00E32434">
        <w:rPr>
          <w:rFonts w:ascii="Book Antiqua" w:hAnsi="Book Antiqua" w:cs="Arial"/>
        </w:rPr>
        <w:t>.</w:t>
      </w:r>
    </w:p>
    <w:p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rsidR="008508AD" w:rsidRPr="008508AD" w:rsidRDefault="008508AD" w:rsidP="008508AD">
      <w:pPr>
        <w:jc w:val="both"/>
        <w:rPr>
          <w:rFonts w:ascii="Book Antiqua" w:hAnsi="Book Antiqua" w:cs="Arial"/>
        </w:rPr>
      </w:pPr>
    </w:p>
    <w:p w:rsidR="008508AD" w:rsidRPr="008508AD" w:rsidRDefault="00937A74" w:rsidP="008508AD">
      <w:pPr>
        <w:jc w:val="both"/>
        <w:rPr>
          <w:rFonts w:ascii="Book Antiqua" w:hAnsi="Book Antiqua" w:cs="Arial"/>
        </w:rPr>
      </w:pPr>
      <w:r>
        <w:rPr>
          <w:rFonts w:ascii="Book Antiqua" w:hAnsi="Book Antiqua" w:cs="Arial"/>
        </w:rPr>
        <w:t>This</w:t>
      </w:r>
      <w:r w:rsidR="008508AD" w:rsidRPr="008508AD">
        <w:rPr>
          <w:rFonts w:ascii="Book Antiqua" w:hAnsi="Book Antiqua" w:cs="Arial"/>
        </w:rPr>
        <w:t xml:space="preserve"> appeal is </w:t>
      </w:r>
      <w:r>
        <w:rPr>
          <w:rFonts w:ascii="Book Antiqua" w:hAnsi="Book Antiqua" w:cs="Arial"/>
        </w:rPr>
        <w:t>dismissed.</w:t>
      </w:r>
    </w:p>
    <w:p w:rsidR="008508AD" w:rsidRPr="008508AD" w:rsidRDefault="008508AD"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anonymity direction is made.</w:t>
      </w:r>
    </w:p>
    <w:p w:rsidR="008508AD" w:rsidRPr="008508AD" w:rsidRDefault="008508AD" w:rsidP="008508AD">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203988">
        <w:rPr>
          <w:rFonts w:ascii="Book Antiqua" w:hAnsi="Book Antiqua" w:cs="Arial"/>
        </w:rPr>
        <w:t>29 MAY 2018</w:t>
      </w:r>
    </w:p>
    <w:p w:rsidR="00F60D99" w:rsidRPr="00F5664C" w:rsidRDefault="00F60D99"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E319D3" w:rsidRDefault="00E319D3" w:rsidP="000369F5">
      <w:pPr>
        <w:tabs>
          <w:tab w:val="left" w:pos="2520"/>
        </w:tabs>
        <w:jc w:val="both"/>
        <w:rPr>
          <w:rFonts w:ascii="Book Antiqua" w:hAnsi="Book Antiqua" w:cs="Arial"/>
        </w:rPr>
      </w:pPr>
    </w:p>
    <w:p w:rsidR="00E319D3" w:rsidRPr="00E319D3" w:rsidRDefault="00E319D3" w:rsidP="00E319D3">
      <w:pPr>
        <w:rPr>
          <w:rFonts w:ascii="Book Antiqua" w:hAnsi="Book Antiqua" w:cs="Arial"/>
        </w:rPr>
      </w:pPr>
    </w:p>
    <w:p w:rsidR="00E319D3" w:rsidRPr="00E319D3" w:rsidRDefault="00E319D3" w:rsidP="00E319D3">
      <w:pPr>
        <w:rPr>
          <w:rFonts w:ascii="Book Antiqua" w:hAnsi="Book Antiqua" w:cs="Arial"/>
        </w:rPr>
      </w:pPr>
    </w:p>
    <w:p w:rsidR="00E319D3" w:rsidRPr="00E319D3" w:rsidRDefault="00E319D3" w:rsidP="00E319D3">
      <w:pPr>
        <w:rPr>
          <w:rFonts w:ascii="Book Antiqua" w:hAnsi="Book Antiqua" w:cs="Arial"/>
        </w:rPr>
      </w:pPr>
    </w:p>
    <w:p w:rsidR="00E319D3" w:rsidRPr="00E319D3" w:rsidRDefault="00E319D3" w:rsidP="00E319D3">
      <w:pPr>
        <w:rPr>
          <w:rFonts w:ascii="Book Antiqua" w:hAnsi="Book Antiqua" w:cs="Arial"/>
        </w:rPr>
      </w:pPr>
    </w:p>
    <w:p w:rsidR="00E319D3" w:rsidRPr="00E319D3" w:rsidRDefault="00E319D3" w:rsidP="00E319D3">
      <w:pPr>
        <w:rPr>
          <w:rFonts w:ascii="Book Antiqua" w:hAnsi="Book Antiqua" w:cs="Arial"/>
        </w:rPr>
      </w:pPr>
    </w:p>
    <w:p w:rsidR="00E319D3" w:rsidRPr="00E319D3" w:rsidRDefault="00E319D3" w:rsidP="00E319D3">
      <w:pPr>
        <w:rPr>
          <w:rFonts w:ascii="Book Antiqua" w:hAnsi="Book Antiqua" w:cs="Arial"/>
        </w:rPr>
      </w:pPr>
    </w:p>
    <w:p w:rsidR="00E319D3" w:rsidRPr="00E319D3" w:rsidRDefault="00E319D3" w:rsidP="00E319D3">
      <w:pPr>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83C46">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6C6" w:rsidRDefault="00FB76C6">
      <w:r>
        <w:separator/>
      </w:r>
    </w:p>
  </w:endnote>
  <w:endnote w:type="continuationSeparator" w:id="0">
    <w:p w:rsidR="00FB76C6" w:rsidRDefault="00FB7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A33E94" w:rsidRDefault="00ED338F" w:rsidP="00593795">
    <w:pPr>
      <w:pStyle w:val="Footer"/>
      <w:jc w:val="center"/>
      <w:rPr>
        <w:rFonts w:ascii="Book Antiqua" w:hAnsi="Book Antiqua" w:cs="Arial"/>
      </w:rPr>
    </w:pPr>
    <w:r w:rsidRPr="00A33E94">
      <w:rPr>
        <w:rStyle w:val="PageNumber"/>
        <w:rFonts w:ascii="Book Antiqua" w:hAnsi="Book Antiqua" w:cs="Arial"/>
      </w:rPr>
      <w:fldChar w:fldCharType="begin"/>
    </w:r>
    <w:r w:rsidRPr="00A33E94">
      <w:rPr>
        <w:rStyle w:val="PageNumber"/>
        <w:rFonts w:ascii="Book Antiqua" w:hAnsi="Book Antiqua" w:cs="Arial"/>
      </w:rPr>
      <w:instrText xml:space="preserve"> PAGE </w:instrText>
    </w:r>
    <w:r w:rsidRPr="00A33E94">
      <w:rPr>
        <w:rStyle w:val="PageNumber"/>
        <w:rFonts w:ascii="Book Antiqua" w:hAnsi="Book Antiqua" w:cs="Arial"/>
      </w:rPr>
      <w:fldChar w:fldCharType="separate"/>
    </w:r>
    <w:r w:rsidR="00A61FD8">
      <w:rPr>
        <w:rStyle w:val="PageNumber"/>
        <w:rFonts w:ascii="Book Antiqua" w:hAnsi="Book Antiqua" w:cs="Arial"/>
        <w:noProof/>
      </w:rPr>
      <w:t>9</w:t>
    </w:r>
    <w:r w:rsidRPr="00A33E9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6C6" w:rsidRDefault="00FB76C6">
      <w:r>
        <w:separator/>
      </w:r>
    </w:p>
  </w:footnote>
  <w:footnote w:type="continuationSeparator" w:id="0">
    <w:p w:rsidR="00FB76C6" w:rsidRDefault="00FB7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F56422">
      <w:rPr>
        <w:rFonts w:ascii="Book Antiqua" w:hAnsi="Book Antiqua" w:cs="Arial"/>
        <w:sz w:val="16"/>
        <w:szCs w:val="16"/>
      </w:rPr>
      <w:t>HU/10647/2016</w:t>
    </w:r>
  </w:p>
  <w:p w:rsidR="00A33E94" w:rsidRPr="00F5664C" w:rsidRDefault="00A33E9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46"/>
    <w:rsid w:val="00000621"/>
    <w:rsid w:val="00001A2D"/>
    <w:rsid w:val="000036C2"/>
    <w:rsid w:val="00006431"/>
    <w:rsid w:val="000168E1"/>
    <w:rsid w:val="00027641"/>
    <w:rsid w:val="00033D3D"/>
    <w:rsid w:val="000369F5"/>
    <w:rsid w:val="00037DA6"/>
    <w:rsid w:val="00055444"/>
    <w:rsid w:val="00060ED5"/>
    <w:rsid w:val="00071602"/>
    <w:rsid w:val="00071A7E"/>
    <w:rsid w:val="000746C0"/>
    <w:rsid w:val="00074D1D"/>
    <w:rsid w:val="00092580"/>
    <w:rsid w:val="000D5D94"/>
    <w:rsid w:val="000E0923"/>
    <w:rsid w:val="000F76DE"/>
    <w:rsid w:val="0011338D"/>
    <w:rsid w:val="001165A7"/>
    <w:rsid w:val="00130ABD"/>
    <w:rsid w:val="0014422F"/>
    <w:rsid w:val="001454F5"/>
    <w:rsid w:val="00151BB7"/>
    <w:rsid w:val="00155BA9"/>
    <w:rsid w:val="0016456D"/>
    <w:rsid w:val="0016457F"/>
    <w:rsid w:val="00167D3A"/>
    <w:rsid w:val="001723AE"/>
    <w:rsid w:val="00183D32"/>
    <w:rsid w:val="001A1E2C"/>
    <w:rsid w:val="001F2716"/>
    <w:rsid w:val="0020133A"/>
    <w:rsid w:val="00203988"/>
    <w:rsid w:val="00207617"/>
    <w:rsid w:val="00264A24"/>
    <w:rsid w:val="00275F0C"/>
    <w:rsid w:val="00283659"/>
    <w:rsid w:val="002C4E73"/>
    <w:rsid w:val="002C7828"/>
    <w:rsid w:val="002D68BF"/>
    <w:rsid w:val="00315360"/>
    <w:rsid w:val="00336CBF"/>
    <w:rsid w:val="003546C8"/>
    <w:rsid w:val="003763A9"/>
    <w:rsid w:val="00381177"/>
    <w:rsid w:val="003A6E6C"/>
    <w:rsid w:val="003A7CF2"/>
    <w:rsid w:val="003B0789"/>
    <w:rsid w:val="003C5CE5"/>
    <w:rsid w:val="003C6548"/>
    <w:rsid w:val="003E267B"/>
    <w:rsid w:val="003E7CD1"/>
    <w:rsid w:val="00402B9E"/>
    <w:rsid w:val="00404D7C"/>
    <w:rsid w:val="00423932"/>
    <w:rsid w:val="004249CB"/>
    <w:rsid w:val="0044127D"/>
    <w:rsid w:val="004448DB"/>
    <w:rsid w:val="00446C9A"/>
    <w:rsid w:val="00462D76"/>
    <w:rsid w:val="004742B4"/>
    <w:rsid w:val="00477193"/>
    <w:rsid w:val="004A1848"/>
    <w:rsid w:val="004A1F1B"/>
    <w:rsid w:val="004B440E"/>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5F5E13"/>
    <w:rsid w:val="0065791C"/>
    <w:rsid w:val="00666416"/>
    <w:rsid w:val="00673766"/>
    <w:rsid w:val="00690B8A"/>
    <w:rsid w:val="00693AEE"/>
    <w:rsid w:val="006B1A1E"/>
    <w:rsid w:val="006D0B2F"/>
    <w:rsid w:val="006D1DFA"/>
    <w:rsid w:val="006D506B"/>
    <w:rsid w:val="006E3C90"/>
    <w:rsid w:val="006E57E2"/>
    <w:rsid w:val="006F7C89"/>
    <w:rsid w:val="00704B61"/>
    <w:rsid w:val="00741598"/>
    <w:rsid w:val="00742A8D"/>
    <w:rsid w:val="007552A9"/>
    <w:rsid w:val="00761858"/>
    <w:rsid w:val="00767D59"/>
    <w:rsid w:val="00776E97"/>
    <w:rsid w:val="00780FD7"/>
    <w:rsid w:val="00783C46"/>
    <w:rsid w:val="007912AD"/>
    <w:rsid w:val="00792BF0"/>
    <w:rsid w:val="007A1F28"/>
    <w:rsid w:val="007A2E34"/>
    <w:rsid w:val="007A393E"/>
    <w:rsid w:val="007A6132"/>
    <w:rsid w:val="007B0824"/>
    <w:rsid w:val="007B13CD"/>
    <w:rsid w:val="007E01DA"/>
    <w:rsid w:val="007F087F"/>
    <w:rsid w:val="008116D9"/>
    <w:rsid w:val="008303B8"/>
    <w:rsid w:val="00833DCE"/>
    <w:rsid w:val="00842418"/>
    <w:rsid w:val="008508AD"/>
    <w:rsid w:val="00855D06"/>
    <w:rsid w:val="00860523"/>
    <w:rsid w:val="008639DC"/>
    <w:rsid w:val="00871D34"/>
    <w:rsid w:val="00872944"/>
    <w:rsid w:val="00897D75"/>
    <w:rsid w:val="008B270C"/>
    <w:rsid w:val="008C3D3D"/>
    <w:rsid w:val="008D2067"/>
    <w:rsid w:val="008D4131"/>
    <w:rsid w:val="008E048F"/>
    <w:rsid w:val="008E188B"/>
    <w:rsid w:val="008E29BA"/>
    <w:rsid w:val="008E3CB7"/>
    <w:rsid w:val="008F1932"/>
    <w:rsid w:val="008F294D"/>
    <w:rsid w:val="00921062"/>
    <w:rsid w:val="0093083E"/>
    <w:rsid w:val="00932006"/>
    <w:rsid w:val="00937A74"/>
    <w:rsid w:val="00940FE3"/>
    <w:rsid w:val="00943946"/>
    <w:rsid w:val="0096351E"/>
    <w:rsid w:val="00966ECF"/>
    <w:rsid w:val="009727A3"/>
    <w:rsid w:val="00987774"/>
    <w:rsid w:val="00992C93"/>
    <w:rsid w:val="009A0FDC"/>
    <w:rsid w:val="009A11E8"/>
    <w:rsid w:val="009E4E62"/>
    <w:rsid w:val="009F5220"/>
    <w:rsid w:val="009F7C4D"/>
    <w:rsid w:val="00A15234"/>
    <w:rsid w:val="00A15560"/>
    <w:rsid w:val="00A16AE1"/>
    <w:rsid w:val="00A201AB"/>
    <w:rsid w:val="00A30A9D"/>
    <w:rsid w:val="00A31C8B"/>
    <w:rsid w:val="00A33E94"/>
    <w:rsid w:val="00A61FD8"/>
    <w:rsid w:val="00A7595C"/>
    <w:rsid w:val="00A82DCA"/>
    <w:rsid w:val="00A845DC"/>
    <w:rsid w:val="00A97AEE"/>
    <w:rsid w:val="00AB74AB"/>
    <w:rsid w:val="00AC5CF6"/>
    <w:rsid w:val="00AD6AF0"/>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B7002"/>
    <w:rsid w:val="00BD4196"/>
    <w:rsid w:val="00BF22CA"/>
    <w:rsid w:val="00C10DF3"/>
    <w:rsid w:val="00C26032"/>
    <w:rsid w:val="00C265B0"/>
    <w:rsid w:val="00C321B5"/>
    <w:rsid w:val="00C345E1"/>
    <w:rsid w:val="00C57466"/>
    <w:rsid w:val="00C977BA"/>
    <w:rsid w:val="00CB6E35"/>
    <w:rsid w:val="00CD10C7"/>
    <w:rsid w:val="00CE1A46"/>
    <w:rsid w:val="00CF253F"/>
    <w:rsid w:val="00CF56B4"/>
    <w:rsid w:val="00CF6DEE"/>
    <w:rsid w:val="00D06D1F"/>
    <w:rsid w:val="00D20F09"/>
    <w:rsid w:val="00D22636"/>
    <w:rsid w:val="00D323AC"/>
    <w:rsid w:val="00D36666"/>
    <w:rsid w:val="00D40FD9"/>
    <w:rsid w:val="00D417AE"/>
    <w:rsid w:val="00D53769"/>
    <w:rsid w:val="00D70775"/>
    <w:rsid w:val="00D85C13"/>
    <w:rsid w:val="00D91BE3"/>
    <w:rsid w:val="00D94AFC"/>
    <w:rsid w:val="00DB5C33"/>
    <w:rsid w:val="00DB70AE"/>
    <w:rsid w:val="00DB7231"/>
    <w:rsid w:val="00DD5071"/>
    <w:rsid w:val="00DD5C39"/>
    <w:rsid w:val="00DE26AF"/>
    <w:rsid w:val="00DE7DB7"/>
    <w:rsid w:val="00E00A0A"/>
    <w:rsid w:val="00E065F6"/>
    <w:rsid w:val="00E07F57"/>
    <w:rsid w:val="00E319D3"/>
    <w:rsid w:val="00E32434"/>
    <w:rsid w:val="00E50BCE"/>
    <w:rsid w:val="00E61292"/>
    <w:rsid w:val="00E76309"/>
    <w:rsid w:val="00E77C4D"/>
    <w:rsid w:val="00E81D01"/>
    <w:rsid w:val="00EA5628"/>
    <w:rsid w:val="00EB1147"/>
    <w:rsid w:val="00EC1F8A"/>
    <w:rsid w:val="00ED338F"/>
    <w:rsid w:val="00EE45D8"/>
    <w:rsid w:val="00EF7079"/>
    <w:rsid w:val="00F004CD"/>
    <w:rsid w:val="00F13155"/>
    <w:rsid w:val="00F22EDA"/>
    <w:rsid w:val="00F3224D"/>
    <w:rsid w:val="00F33E0E"/>
    <w:rsid w:val="00F3497C"/>
    <w:rsid w:val="00F45C26"/>
    <w:rsid w:val="00F56422"/>
    <w:rsid w:val="00F5664C"/>
    <w:rsid w:val="00F60D99"/>
    <w:rsid w:val="00FB76C6"/>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787951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3591</Words>
  <Characters>18290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2018-06-29T13:52:00Z</dcterms:created>
  <dcterms:modified xsi:type="dcterms:W3CDTF">2018-06-29T13:52:00Z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