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321B5" w:rsidRPr="00F5664C" w:rsidRDefault="00510529" w:rsidP="000860D9">
      <w:pPr>
        <w:jc w:val="center"/>
        <w:rPr>
          <w:rFonts w:ascii="Book Antiqua" w:hAnsi="Book Antiqua" w:cs="Arial"/>
          <w:sz w:val="16"/>
          <w:szCs w:val="16"/>
        </w:rPr>
      </w:pPr>
      <w:r>
        <w:rPr>
          <w:noProof/>
        </w:rPr>
        <w:drawing>
          <wp:inline distT="0" distB="0" distL="0" distR="0">
            <wp:extent cx="1043940" cy="906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3940" cy="906780"/>
                    </a:xfrm>
                    <a:prstGeom prst="rect">
                      <a:avLst/>
                    </a:prstGeom>
                    <a:noFill/>
                    <a:ln>
                      <a:noFill/>
                    </a:ln>
                  </pic:spPr>
                </pic:pic>
              </a:graphicData>
            </a:graphic>
          </wp:inline>
        </w:drawing>
      </w:r>
    </w:p>
    <w:p w:rsidR="00D94AFC" w:rsidRPr="00F5664C" w:rsidRDefault="00D94AFC">
      <w:pPr>
        <w:rPr>
          <w:rFonts w:ascii="Book Antiqua" w:hAnsi="Book Antiqua" w:cs="Arial"/>
          <w:sz w:val="16"/>
          <w:szCs w:val="16"/>
        </w:rPr>
      </w:pPr>
    </w:p>
    <w:p w:rsidR="00D94AFC" w:rsidRPr="00F5664C" w:rsidRDefault="00D94AFC">
      <w:pPr>
        <w:rPr>
          <w:rFonts w:ascii="Book Antiqua" w:hAnsi="Book Antiqua" w:cs="Arial"/>
        </w:rPr>
      </w:pPr>
    </w:p>
    <w:p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rsidR="007B0824" w:rsidRPr="00FD6DB8" w:rsidRDefault="00C321B5" w:rsidP="00B626FA">
      <w:pPr>
        <w:tabs>
          <w:tab w:val="right" w:pos="9639"/>
        </w:tabs>
        <w:rPr>
          <w:rFonts w:ascii="Book Antiqua" w:hAnsi="Book Antiqua" w:cs="Arial"/>
          <w:caps/>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FD6DB8" w:rsidRPr="00FD6DB8">
        <w:rPr>
          <w:rFonts w:ascii="Book Antiqua" w:hAnsi="Book Antiqua" w:cs="Arial"/>
          <w:caps/>
        </w:rPr>
        <w:t>HU/10649/2016</w:t>
      </w:r>
      <w:bookmarkEnd w:id="0"/>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rPr>
      </w:pPr>
    </w:p>
    <w:p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rsidR="00C345E1" w:rsidRPr="00F5664C" w:rsidRDefault="00C345E1" w:rsidP="00C345E1">
      <w:pPr>
        <w:jc w:val="center"/>
        <w:rPr>
          <w:rFonts w:ascii="Book Antiqua" w:hAnsi="Book Antiqua" w:cs="Arial"/>
          <w:b/>
          <w:u w:val="single"/>
        </w:rPr>
      </w:pPr>
    </w:p>
    <w:p w:rsidR="00C345E1" w:rsidRPr="00F5664C" w:rsidRDefault="00C345E1" w:rsidP="00C345E1">
      <w:pPr>
        <w:jc w:val="center"/>
        <w:rPr>
          <w:rFonts w:ascii="Book Antiqua" w:hAnsi="Book Antiqua" w:cs="Arial"/>
          <w:b/>
          <w:u w:val="single"/>
        </w:rPr>
      </w:pPr>
    </w:p>
    <w:tbl>
      <w:tblPr>
        <w:tblW w:w="10008" w:type="dxa"/>
        <w:tblLook w:val="01E0" w:firstRow="1" w:lastRow="1" w:firstColumn="1" w:lastColumn="1" w:noHBand="0" w:noVBand="0"/>
      </w:tblPr>
      <w:tblGrid>
        <w:gridCol w:w="6048"/>
        <w:gridCol w:w="3960"/>
      </w:tblGrid>
      <w:tr w:rsidR="00D22636" w:rsidRPr="002939B1" w:rsidTr="002939B1">
        <w:tc>
          <w:tcPr>
            <w:tcW w:w="6048" w:type="dxa"/>
            <w:shd w:val="clear" w:color="auto" w:fill="auto"/>
          </w:tcPr>
          <w:p w:rsidR="00D22636" w:rsidRPr="002939B1" w:rsidRDefault="00D22636" w:rsidP="002939B1">
            <w:pPr>
              <w:jc w:val="both"/>
              <w:rPr>
                <w:rFonts w:ascii="Book Antiqua" w:hAnsi="Book Antiqua" w:cs="Arial"/>
                <w:b/>
              </w:rPr>
            </w:pPr>
            <w:r w:rsidRPr="002939B1">
              <w:rPr>
                <w:rFonts w:ascii="Book Antiqua" w:hAnsi="Book Antiqua" w:cs="Arial"/>
                <w:b/>
              </w:rPr>
              <w:t xml:space="preserve">Heard at </w:t>
            </w:r>
            <w:r w:rsidR="00FD6DB8" w:rsidRPr="002939B1">
              <w:rPr>
                <w:rFonts w:ascii="Book Antiqua" w:hAnsi="Book Antiqua" w:cs="Arial"/>
                <w:b/>
              </w:rPr>
              <w:t>Field House</w:t>
            </w:r>
          </w:p>
        </w:tc>
        <w:tc>
          <w:tcPr>
            <w:tcW w:w="3960" w:type="dxa"/>
            <w:shd w:val="clear" w:color="auto" w:fill="auto"/>
          </w:tcPr>
          <w:p w:rsidR="00D22636" w:rsidRPr="002939B1" w:rsidRDefault="00CF7E9F" w:rsidP="002939B1">
            <w:pPr>
              <w:jc w:val="both"/>
              <w:rPr>
                <w:rFonts w:ascii="Book Antiqua" w:hAnsi="Book Antiqua" w:cs="Arial"/>
                <w:b/>
              </w:rPr>
            </w:pPr>
            <w:r w:rsidRPr="002939B1">
              <w:rPr>
                <w:rFonts w:ascii="Book Antiqua" w:hAnsi="Book Antiqua" w:cs="Arial"/>
                <w:b/>
              </w:rPr>
              <w:t>Decision &amp; Reasons</w:t>
            </w:r>
            <w:r w:rsidR="00283659" w:rsidRPr="002939B1">
              <w:rPr>
                <w:rFonts w:ascii="Book Antiqua" w:hAnsi="Book Antiqua" w:cs="Arial"/>
                <w:b/>
              </w:rPr>
              <w:t xml:space="preserve"> Promulgated</w:t>
            </w:r>
          </w:p>
        </w:tc>
      </w:tr>
      <w:tr w:rsidR="00D22636" w:rsidRPr="002939B1" w:rsidTr="002939B1">
        <w:tc>
          <w:tcPr>
            <w:tcW w:w="6048" w:type="dxa"/>
            <w:shd w:val="clear" w:color="auto" w:fill="auto"/>
          </w:tcPr>
          <w:p w:rsidR="00D22636" w:rsidRPr="002939B1" w:rsidRDefault="00D22636" w:rsidP="002939B1">
            <w:pPr>
              <w:jc w:val="both"/>
              <w:rPr>
                <w:rFonts w:ascii="Book Antiqua" w:hAnsi="Book Antiqua" w:cs="Arial"/>
                <w:b/>
              </w:rPr>
            </w:pPr>
            <w:r w:rsidRPr="002939B1">
              <w:rPr>
                <w:rFonts w:ascii="Book Antiqua" w:hAnsi="Book Antiqua" w:cs="Arial"/>
                <w:b/>
              </w:rPr>
              <w:t xml:space="preserve">On </w:t>
            </w:r>
            <w:r w:rsidR="00FD6DB8" w:rsidRPr="002939B1">
              <w:rPr>
                <w:rFonts w:ascii="Book Antiqua" w:hAnsi="Book Antiqua" w:cs="Arial"/>
                <w:b/>
              </w:rPr>
              <w:t>12</w:t>
            </w:r>
            <w:r w:rsidR="00FD6DB8" w:rsidRPr="002939B1">
              <w:rPr>
                <w:rFonts w:ascii="Book Antiqua" w:hAnsi="Book Antiqua" w:cs="Arial"/>
                <w:b/>
                <w:vertAlign w:val="superscript"/>
              </w:rPr>
              <w:t>th</w:t>
            </w:r>
            <w:r w:rsidR="00FD6DB8" w:rsidRPr="002939B1">
              <w:rPr>
                <w:rFonts w:ascii="Book Antiqua" w:hAnsi="Book Antiqua" w:cs="Arial"/>
                <w:b/>
              </w:rPr>
              <w:t xml:space="preserve"> April 2018</w:t>
            </w:r>
          </w:p>
        </w:tc>
        <w:tc>
          <w:tcPr>
            <w:tcW w:w="3960" w:type="dxa"/>
            <w:shd w:val="clear" w:color="auto" w:fill="auto"/>
          </w:tcPr>
          <w:p w:rsidR="00D22636" w:rsidRPr="002939B1" w:rsidRDefault="00510529" w:rsidP="002939B1">
            <w:pPr>
              <w:jc w:val="both"/>
              <w:rPr>
                <w:rFonts w:ascii="Book Antiqua" w:hAnsi="Book Antiqua" w:cs="Arial"/>
                <w:b/>
              </w:rPr>
            </w:pPr>
            <w:r>
              <w:rPr>
                <w:rFonts w:ascii="Book Antiqua" w:hAnsi="Book Antiqua" w:cs="Arial"/>
                <w:b/>
              </w:rPr>
              <w:t>On 16</w:t>
            </w:r>
            <w:r w:rsidRPr="00510529">
              <w:rPr>
                <w:rFonts w:ascii="Book Antiqua" w:hAnsi="Book Antiqua" w:cs="Arial"/>
                <w:b/>
                <w:vertAlign w:val="superscript"/>
              </w:rPr>
              <w:t>th</w:t>
            </w:r>
            <w:r>
              <w:rPr>
                <w:rFonts w:ascii="Book Antiqua" w:hAnsi="Book Antiqua" w:cs="Arial"/>
                <w:b/>
              </w:rPr>
              <w:t xml:space="preserve"> May 2018</w:t>
            </w:r>
          </w:p>
        </w:tc>
      </w:tr>
      <w:tr w:rsidR="00D22636" w:rsidRPr="002939B1" w:rsidTr="002939B1">
        <w:tc>
          <w:tcPr>
            <w:tcW w:w="6048" w:type="dxa"/>
            <w:shd w:val="clear" w:color="auto" w:fill="auto"/>
          </w:tcPr>
          <w:p w:rsidR="00D22636" w:rsidRPr="002939B1" w:rsidRDefault="00D22636" w:rsidP="002939B1">
            <w:pPr>
              <w:jc w:val="both"/>
              <w:rPr>
                <w:rFonts w:ascii="Book Antiqua" w:hAnsi="Book Antiqua" w:cs="Arial"/>
                <w:b/>
              </w:rPr>
            </w:pPr>
          </w:p>
        </w:tc>
        <w:tc>
          <w:tcPr>
            <w:tcW w:w="3960" w:type="dxa"/>
            <w:shd w:val="clear" w:color="auto" w:fill="auto"/>
          </w:tcPr>
          <w:p w:rsidR="00D22636" w:rsidRPr="002939B1" w:rsidRDefault="00D22636" w:rsidP="002939B1">
            <w:pPr>
              <w:jc w:val="both"/>
              <w:rPr>
                <w:rFonts w:ascii="Book Antiqua" w:hAnsi="Book Antiqua" w:cs="Arial"/>
                <w:b/>
              </w:rPr>
            </w:pPr>
          </w:p>
        </w:tc>
      </w:tr>
    </w:tbl>
    <w:p w:rsidR="00A15234" w:rsidRPr="00F5664C" w:rsidRDefault="00A15234" w:rsidP="00A15234">
      <w:pPr>
        <w:jc w:val="center"/>
        <w:rPr>
          <w:rFonts w:ascii="Book Antiqua" w:hAnsi="Book Antiqua" w:cs="Arial"/>
        </w:rPr>
      </w:pPr>
    </w:p>
    <w:p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rsidR="00A15234" w:rsidRPr="00F5664C" w:rsidRDefault="00A15234" w:rsidP="00A15234">
      <w:pPr>
        <w:jc w:val="center"/>
        <w:rPr>
          <w:rFonts w:ascii="Book Antiqua" w:hAnsi="Book Antiqua" w:cs="Arial"/>
          <w:b/>
        </w:rPr>
      </w:pPr>
    </w:p>
    <w:p w:rsidR="00A845DC" w:rsidRDefault="00241B28" w:rsidP="00A15234">
      <w:pPr>
        <w:jc w:val="center"/>
        <w:rPr>
          <w:rFonts w:ascii="Book Antiqua" w:hAnsi="Book Antiqua" w:cs="Arial"/>
          <w:b/>
        </w:rPr>
      </w:pPr>
      <w:r>
        <w:rPr>
          <w:rFonts w:ascii="Book Antiqua" w:hAnsi="Book Antiqua" w:cs="Arial"/>
          <w:b/>
        </w:rPr>
        <w:t>DEPUTY UPPER TRIBUNAL</w:t>
      </w:r>
      <w:r w:rsidR="00B16F58" w:rsidRPr="00F5664C">
        <w:rPr>
          <w:rFonts w:ascii="Book Antiqua" w:hAnsi="Book Antiqua" w:cs="Arial"/>
          <w:b/>
        </w:rPr>
        <w:t xml:space="preserve"> JUDGE </w:t>
      </w:r>
      <w:r w:rsidR="00D71973">
        <w:rPr>
          <w:rFonts w:ascii="Book Antiqua" w:hAnsi="Book Antiqua" w:cs="Arial"/>
          <w:b/>
        </w:rPr>
        <w:t>KELLY</w:t>
      </w:r>
    </w:p>
    <w:p w:rsidR="00B16F58" w:rsidRPr="00F5664C" w:rsidRDefault="00B16F58" w:rsidP="00A15234">
      <w:pPr>
        <w:jc w:val="center"/>
        <w:rPr>
          <w:rFonts w:ascii="Book Antiqua" w:hAnsi="Book Antiqua" w:cs="Arial"/>
          <w:b/>
        </w:rPr>
      </w:pPr>
    </w:p>
    <w:p w:rsidR="00E35642" w:rsidRDefault="00E35642" w:rsidP="00A15234">
      <w:pPr>
        <w:jc w:val="center"/>
        <w:rPr>
          <w:rFonts w:ascii="Book Antiqua" w:hAnsi="Book Antiqua" w:cs="Arial"/>
          <w:b/>
        </w:rPr>
      </w:pPr>
    </w:p>
    <w:p w:rsidR="00A845DC" w:rsidRPr="00F5664C" w:rsidRDefault="00A845DC" w:rsidP="00A15234">
      <w:pPr>
        <w:jc w:val="center"/>
        <w:rPr>
          <w:rFonts w:ascii="Book Antiqua" w:hAnsi="Book Antiqua" w:cs="Arial"/>
          <w:b/>
        </w:rPr>
      </w:pPr>
      <w:r w:rsidRPr="00F5664C">
        <w:rPr>
          <w:rFonts w:ascii="Book Antiqua" w:hAnsi="Book Antiqua" w:cs="Arial"/>
          <w:b/>
        </w:rPr>
        <w:t>Between</w:t>
      </w:r>
    </w:p>
    <w:p w:rsidR="00A845DC" w:rsidRPr="00F5664C" w:rsidRDefault="00A845DC" w:rsidP="00A15234">
      <w:pPr>
        <w:jc w:val="center"/>
        <w:rPr>
          <w:rFonts w:ascii="Book Antiqua" w:hAnsi="Book Antiqua" w:cs="Arial"/>
          <w:b/>
        </w:rPr>
      </w:pPr>
    </w:p>
    <w:p w:rsidR="00742A8D" w:rsidRDefault="00FD6DB8" w:rsidP="00742A8D">
      <w:pPr>
        <w:jc w:val="center"/>
        <w:rPr>
          <w:rFonts w:ascii="Book Antiqua" w:hAnsi="Book Antiqua" w:cs="Arial"/>
          <w:b/>
          <w:caps/>
        </w:rPr>
      </w:pPr>
      <w:r>
        <w:rPr>
          <w:rFonts w:ascii="Book Antiqua" w:hAnsi="Book Antiqua" w:cs="Arial"/>
          <w:b/>
          <w:caps/>
        </w:rPr>
        <w:t>Mr Kofi Asamoah</w:t>
      </w:r>
    </w:p>
    <w:p w:rsidR="00CF7E9F" w:rsidRDefault="00D044DC" w:rsidP="00CF7E9F">
      <w:pPr>
        <w:jc w:val="center"/>
        <w:rPr>
          <w:rFonts w:ascii="Book Antiqua" w:hAnsi="Book Antiqua" w:cs="Arial"/>
          <w:b/>
          <w:caps/>
        </w:rPr>
      </w:pPr>
      <w:r>
        <w:rPr>
          <w:rFonts w:ascii="Book Antiqua" w:hAnsi="Book Antiqua" w:cs="Arial"/>
          <w:b/>
          <w:caps/>
        </w:rPr>
        <w:t>(ANONYMITY DIRECTion not made</w:t>
      </w:r>
      <w:r w:rsidR="00CF7E9F" w:rsidRPr="00CF7E9F">
        <w:rPr>
          <w:rFonts w:ascii="Book Antiqua" w:hAnsi="Book Antiqua" w:cs="Arial"/>
          <w:b/>
          <w:caps/>
        </w:rPr>
        <w:t>)</w:t>
      </w:r>
    </w:p>
    <w:p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rsidR="00704B61" w:rsidRPr="00F5664C" w:rsidRDefault="00DD5071" w:rsidP="00704B61">
      <w:pPr>
        <w:jc w:val="center"/>
        <w:rPr>
          <w:rFonts w:ascii="Book Antiqua" w:hAnsi="Book Antiqua" w:cs="Arial"/>
          <w:b/>
        </w:rPr>
      </w:pPr>
      <w:r w:rsidRPr="00F5664C">
        <w:rPr>
          <w:rFonts w:ascii="Book Antiqua" w:hAnsi="Book Antiqua" w:cs="Arial"/>
          <w:b/>
        </w:rPr>
        <w:t>and</w:t>
      </w:r>
    </w:p>
    <w:p w:rsidR="00DD5071" w:rsidRPr="00F5664C" w:rsidRDefault="00DD5071" w:rsidP="00704B61">
      <w:pPr>
        <w:jc w:val="center"/>
        <w:rPr>
          <w:rFonts w:ascii="Book Antiqua" w:hAnsi="Book Antiqua" w:cs="Arial"/>
          <w:b/>
        </w:rPr>
      </w:pPr>
    </w:p>
    <w:p w:rsidR="00DD5071" w:rsidRPr="00F5664C" w:rsidRDefault="00DD5071" w:rsidP="00704B61">
      <w:pPr>
        <w:jc w:val="center"/>
        <w:rPr>
          <w:rFonts w:ascii="Book Antiqua" w:hAnsi="Book Antiqua" w:cs="Arial"/>
          <w:b/>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rsidR="00DD5071" w:rsidRPr="00F5664C" w:rsidRDefault="00DD5071" w:rsidP="00DD5071">
      <w:pPr>
        <w:rPr>
          <w:rFonts w:ascii="Book Antiqua" w:hAnsi="Book Antiqua" w:cs="Arial"/>
          <w:u w:val="single"/>
        </w:rPr>
      </w:pPr>
    </w:p>
    <w:p w:rsidR="00DD5071" w:rsidRPr="00F5664C" w:rsidRDefault="00DD5071" w:rsidP="00DD5071">
      <w:pPr>
        <w:rPr>
          <w:rFonts w:ascii="Book Antiqua" w:hAnsi="Book Antiqua" w:cs="Arial"/>
          <w:u w:val="single"/>
        </w:rPr>
      </w:pPr>
    </w:p>
    <w:p w:rsidR="00DD5071"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rsidR="00DE7DB7" w:rsidRPr="00FF5FE3" w:rsidRDefault="00DE7DB7" w:rsidP="00FF5FE3">
      <w:pPr>
        <w:tabs>
          <w:tab w:val="left" w:pos="2520"/>
        </w:tabs>
        <w:ind w:left="2520" w:hanging="2520"/>
        <w:rPr>
          <w:rFonts w:ascii="Courier New" w:hAnsi="Courier New" w:cs="Courier New"/>
        </w:rPr>
      </w:pPr>
      <w:r w:rsidRPr="00F5664C">
        <w:rPr>
          <w:rFonts w:ascii="Book Antiqua" w:hAnsi="Book Antiqua" w:cs="Arial"/>
        </w:rPr>
        <w:t>For the Appellant:</w:t>
      </w:r>
      <w:r w:rsidRPr="00F5664C">
        <w:rPr>
          <w:rFonts w:ascii="Book Antiqua" w:hAnsi="Book Antiqua" w:cs="Arial"/>
        </w:rPr>
        <w:tab/>
      </w:r>
      <w:r w:rsidR="00FF5FE3" w:rsidRPr="00FF5FE3">
        <w:rPr>
          <w:rFonts w:ascii="Book Antiqua" w:hAnsi="Book Antiqua" w:cs="Courier New"/>
        </w:rPr>
        <w:t xml:space="preserve">Mr Malik, Counsel, instructed by </w:t>
      </w:r>
      <w:proofErr w:type="spellStart"/>
      <w:r w:rsidR="00FF5FE3" w:rsidRPr="00FF5FE3">
        <w:rPr>
          <w:rFonts w:ascii="Book Antiqua" w:hAnsi="Book Antiqua" w:cs="Courier New"/>
        </w:rPr>
        <w:t>Danbar</w:t>
      </w:r>
      <w:proofErr w:type="spellEnd"/>
      <w:r w:rsidR="00FF5FE3" w:rsidRPr="00FF5FE3">
        <w:rPr>
          <w:rFonts w:ascii="Book Antiqua" w:hAnsi="Book Antiqua" w:cs="Courier New"/>
        </w:rPr>
        <w:t xml:space="preserve"> Solicitors</w:t>
      </w:r>
    </w:p>
    <w:p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00666049">
        <w:rPr>
          <w:rFonts w:ascii="Book Antiqua" w:hAnsi="Book Antiqua" w:cs="Arial"/>
        </w:rPr>
        <w:t xml:space="preserve"> </w:t>
      </w:r>
      <w:r w:rsidR="00666049">
        <w:rPr>
          <w:rFonts w:ascii="Book Antiqua" w:hAnsi="Book Antiqua" w:cs="Arial"/>
        </w:rPr>
        <w:tab/>
        <w:t xml:space="preserve">Mrs H </w:t>
      </w:r>
      <w:proofErr w:type="spellStart"/>
      <w:r w:rsidR="00666049">
        <w:rPr>
          <w:rFonts w:ascii="Book Antiqua" w:hAnsi="Book Antiqua" w:cs="Arial"/>
        </w:rPr>
        <w:t>Abosie</w:t>
      </w:r>
      <w:proofErr w:type="spellEnd"/>
      <w:r w:rsidR="00666049">
        <w:rPr>
          <w:rFonts w:ascii="Book Antiqua" w:hAnsi="Book Antiqua" w:cs="Arial"/>
        </w:rPr>
        <w:t>, Senior Home Office Presenting Officer</w:t>
      </w:r>
    </w:p>
    <w:p w:rsidR="00DE7DB7" w:rsidRPr="00F5664C" w:rsidRDefault="00DE7DB7" w:rsidP="00402B9E">
      <w:pPr>
        <w:tabs>
          <w:tab w:val="left" w:pos="2520"/>
        </w:tabs>
        <w:jc w:val="center"/>
        <w:rPr>
          <w:rFonts w:ascii="Book Antiqua" w:hAnsi="Book Antiqua" w:cs="Arial"/>
        </w:rPr>
      </w:pPr>
    </w:p>
    <w:p w:rsidR="00DE7DB7" w:rsidRPr="00F5664C" w:rsidRDefault="00DE7DB7" w:rsidP="00402B9E">
      <w:pPr>
        <w:tabs>
          <w:tab w:val="left" w:pos="2520"/>
        </w:tabs>
        <w:jc w:val="center"/>
        <w:rPr>
          <w:rFonts w:ascii="Book Antiqua" w:hAnsi="Book Antiqua" w:cs="Arial"/>
        </w:rPr>
      </w:pPr>
    </w:p>
    <w:p w:rsidR="00DE7DB7" w:rsidRPr="00F5664C" w:rsidRDefault="00CF7E9F"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rsidR="00D371C7" w:rsidRDefault="00FA37F8" w:rsidP="0098128D">
      <w:pPr>
        <w:pStyle w:val="p"/>
      </w:pPr>
      <w:r>
        <w:t xml:space="preserve">This is an appeal by Mr Kofi Asamoah against </w:t>
      </w:r>
      <w:r w:rsidR="006E6AFB">
        <w:t>a</w:t>
      </w:r>
      <w:r>
        <w:t xml:space="preserve"> decision of Judge Jessica Pacey to dismiss his appeal against refusal of his application for leave to remain on grounds of long residence in the United Kingdom.  The application had been made under paragraph 276B of the Immigration Rules, that is to say, on the basis that he had </w:t>
      </w:r>
      <w:r>
        <w:lastRenderedPageBreak/>
        <w:t>resided in the United Kingdom</w:t>
      </w:r>
      <w:r w:rsidR="000D2914">
        <w:t xml:space="preserve"> </w:t>
      </w:r>
      <w:r>
        <w:t xml:space="preserve">lawfully for a </w:t>
      </w:r>
      <w:r w:rsidR="000D2914">
        <w:t xml:space="preserve">continuous </w:t>
      </w:r>
      <w:r>
        <w:t xml:space="preserve">period of ten years.  The appeal, </w:t>
      </w:r>
      <w:r w:rsidR="0098128D">
        <w:t xml:space="preserve">however, </w:t>
      </w:r>
      <w:r>
        <w:t xml:space="preserve">was restricted under Part 5 of the Nationality, Immigration and Asylum Act 2002 </w:t>
      </w:r>
      <w:r w:rsidR="00D044DC">
        <w:t>(</w:t>
      </w:r>
      <w:r>
        <w:t>as amended</w:t>
      </w:r>
      <w:r w:rsidR="00D044DC">
        <w:t>)</w:t>
      </w:r>
      <w:r>
        <w:t xml:space="preserve"> to the ground that the decision of the Respondent was unlawful under Section 6 of the Human Rights Act 1998 as being incompatible with his rights under Article 8 of the European Convention </w:t>
      </w:r>
      <w:r w:rsidR="0098128D">
        <w:t>of</w:t>
      </w:r>
      <w:r>
        <w:t xml:space="preserve"> Human Rights and Fundamental Freedoms</w:t>
      </w:r>
      <w:r w:rsidR="0098128D">
        <w:t>.</w:t>
      </w:r>
    </w:p>
    <w:p w:rsidR="0098128D" w:rsidRDefault="0098128D" w:rsidP="00F610A9">
      <w:pPr>
        <w:pStyle w:val="p"/>
      </w:pPr>
      <w:r>
        <w:t xml:space="preserve">The Appellant had originally entered the </w:t>
      </w:r>
      <w:smartTag w:uri="urn:schemas-microsoft-com:office:smarttags" w:element="country-region">
        <w:smartTag w:uri="urn:schemas-microsoft-com:office:smarttags" w:element="place">
          <w:r>
            <w:t>United Kingdom</w:t>
          </w:r>
        </w:smartTag>
      </w:smartTag>
      <w:r>
        <w:t xml:space="preserve"> on 2</w:t>
      </w:r>
      <w:r w:rsidRPr="0098128D">
        <w:rPr>
          <w:vertAlign w:val="superscript"/>
        </w:rPr>
        <w:t>nd</w:t>
      </w:r>
      <w:r>
        <w:t xml:space="preserve"> April 2005 as a working holidaymaker with leave to remain until 8</w:t>
      </w:r>
      <w:r w:rsidRPr="0098128D">
        <w:rPr>
          <w:vertAlign w:val="superscript"/>
        </w:rPr>
        <w:t>th</w:t>
      </w:r>
      <w:r>
        <w:t xml:space="preserve"> February 2007.  It was his case that shortly before that period of leave </w:t>
      </w:r>
      <w:r w:rsidR="000D2914">
        <w:t xml:space="preserve">had </w:t>
      </w:r>
      <w:r>
        <w:t>expired he</w:t>
      </w:r>
      <w:r w:rsidR="00D044DC">
        <w:t xml:space="preserve"> had</w:t>
      </w:r>
      <w:r>
        <w:t xml:space="preserve"> applied for further leave to remain.  It was ultimately accepted by the Sec</w:t>
      </w:r>
      <w:r w:rsidR="000D2914">
        <w:t>retary of State that his application had been</w:t>
      </w:r>
      <w:r>
        <w:t xml:space="preserve"> confused with</w:t>
      </w:r>
      <w:r w:rsidR="000D2914">
        <w:t xml:space="preserve"> that</w:t>
      </w:r>
      <w:r>
        <w:t xml:space="preserve"> another person sharing the same name</w:t>
      </w:r>
      <w:r w:rsidR="000D2914">
        <w:t>, and this</w:t>
      </w:r>
      <w:r>
        <w:t xml:space="preserve"> may</w:t>
      </w:r>
      <w:r w:rsidR="000D2914">
        <w:t xml:space="preserve"> have</w:t>
      </w:r>
      <w:r>
        <w:t xml:space="preserve"> account</w:t>
      </w:r>
      <w:r w:rsidR="000D2914">
        <w:t xml:space="preserve">ed for the fact that he had not received </w:t>
      </w:r>
      <w:r>
        <w:t>Notice of Refusal of that application.</w:t>
      </w:r>
    </w:p>
    <w:p w:rsidR="00F610A9" w:rsidRDefault="000D2914" w:rsidP="00F610A9">
      <w:pPr>
        <w:pStyle w:val="p"/>
      </w:pPr>
      <w:r>
        <w:t>The significance of this insofar</w:t>
      </w:r>
      <w:r w:rsidR="00F610A9">
        <w:t xml:space="preserve"> as his application under paragrap</w:t>
      </w:r>
      <w:r w:rsidR="00D044DC">
        <w:t>h 276B was concerned was that the Appellant</w:t>
      </w:r>
      <w:r w:rsidR="00F610A9">
        <w:t xml:space="preserve"> believed, rightly or wrongly, that his </w:t>
      </w:r>
      <w:r w:rsidR="00D044DC">
        <w:t xml:space="preserve">leave to remain had been extended pending the outcome of his application by operation of </w:t>
      </w:r>
      <w:r w:rsidR="00F610A9">
        <w:t>Section</w:t>
      </w:r>
      <w:r>
        <w:t xml:space="preserve"> 3C of </w:t>
      </w:r>
      <w:r w:rsidR="00D044DC">
        <w:t>the Immigration Act 1971</w:t>
      </w:r>
      <w:r>
        <w:t>.</w:t>
      </w:r>
      <w:r w:rsidR="00F610A9">
        <w:t xml:space="preserve">  It is not entirely clear to</w:t>
      </w:r>
      <w:r>
        <w:t xml:space="preserve"> me, and I am not sure if it was </w:t>
      </w:r>
      <w:r w:rsidR="00F610A9">
        <w:t>clear to the judge who decided this appeal, at what time precisely the</w:t>
      </w:r>
      <w:r>
        <w:t xml:space="preserve"> Appellant became aware that the</w:t>
      </w:r>
      <w:r w:rsidR="00F610A9">
        <w:t xml:space="preserve"> application </w:t>
      </w:r>
      <w:r>
        <w:t xml:space="preserve">he had </w:t>
      </w:r>
      <w:r w:rsidR="00F610A9">
        <w:t>made in 2007 had in fact been refused.  At all events, he made a further application for leave to remain in 2011.</w:t>
      </w:r>
    </w:p>
    <w:p w:rsidR="00F610A9" w:rsidRDefault="000D2914" w:rsidP="0055006A">
      <w:pPr>
        <w:pStyle w:val="p"/>
      </w:pPr>
      <w:r>
        <w:t>So</w:t>
      </w:r>
      <w:r w:rsidR="00F610A9">
        <w:t xml:space="preserve"> it was that t</w:t>
      </w:r>
      <w:r w:rsidR="00D044DC">
        <w:t>here was apparently a gap in the Appellant’s</w:t>
      </w:r>
      <w:r w:rsidR="00F610A9">
        <w:t xml:space="preserve"> lawful residence of up to four years between 200</w:t>
      </w:r>
      <w:r>
        <w:t>7</w:t>
      </w:r>
      <w:r w:rsidR="00F610A9">
        <w:t xml:space="preserve"> and 2011</w:t>
      </w:r>
      <w:r w:rsidR="0055006A">
        <w:t xml:space="preserve">.  I say that it was up </w:t>
      </w:r>
      <w:r>
        <w:t xml:space="preserve">to four years because </w:t>
      </w:r>
      <w:r w:rsidR="00D044DC">
        <w:t>it is</w:t>
      </w:r>
      <w:r>
        <w:t xml:space="preserve"> unclear when precisely the</w:t>
      </w:r>
      <w:r w:rsidR="0055006A">
        <w:t xml:space="preserve"> application </w:t>
      </w:r>
      <w:r w:rsidR="00D044DC">
        <w:t>he claims to have</w:t>
      </w:r>
      <w:r>
        <w:t xml:space="preserve"> </w:t>
      </w:r>
      <w:r w:rsidR="0055006A">
        <w:t>made in 2007 was refused and when</w:t>
      </w:r>
      <w:r>
        <w:t>,</w:t>
      </w:r>
      <w:r w:rsidR="0055006A">
        <w:t xml:space="preserve"> therefore</w:t>
      </w:r>
      <w:r>
        <w:t>,</w:t>
      </w:r>
      <w:r w:rsidR="0055006A">
        <w:t xml:space="preserve"> his leave to remain under Section 3C ended.</w:t>
      </w:r>
    </w:p>
    <w:p w:rsidR="0055006A" w:rsidRDefault="006E6AFB" w:rsidP="006E6AFB">
      <w:pPr>
        <w:pStyle w:val="p"/>
      </w:pPr>
      <w:r>
        <w:t>In reaching her decision</w:t>
      </w:r>
      <w:r w:rsidR="00D044DC">
        <w:t>,</w:t>
      </w:r>
      <w:r>
        <w:t xml:space="preserve"> Judge Pacey noted at paragraph 14 that the Presenting Officer had argued that the Appellant did not meet the requirements of paragraph 276ADE of the Immigration Rules.  The Appellant himself was unrepresented at the hearing in the First-tier Tribunal</w:t>
      </w:r>
      <w:r w:rsidR="000D2914">
        <w:t>,</w:t>
      </w:r>
      <w:r>
        <w:t xml:space="preserve"> and</w:t>
      </w:r>
      <w:r w:rsidR="000D2914">
        <w:t xml:space="preserve"> he</w:t>
      </w:r>
      <w:r>
        <w:t xml:space="preserve"> cannot therefore </w:t>
      </w:r>
      <w:r w:rsidR="000D2914">
        <w:t>be cri</w:t>
      </w:r>
      <w:r w:rsidR="00D044DC">
        <w:t>ticised</w:t>
      </w:r>
      <w:r w:rsidR="000D2914">
        <w:t xml:space="preserve"> for failing to address the judge in rela</w:t>
      </w:r>
      <w:r w:rsidR="00B451A2">
        <w:t>tion to those requirements for leave to remain.  This is a matter to which it will be necessary for me to</w:t>
      </w:r>
      <w:r>
        <w:t xml:space="preserve"> return.</w:t>
      </w:r>
    </w:p>
    <w:p w:rsidR="000E4E84" w:rsidRDefault="006E6AFB" w:rsidP="000E4E84">
      <w:pPr>
        <w:pStyle w:val="p"/>
      </w:pPr>
      <w:r>
        <w:t>Judge Pacey</w:t>
      </w:r>
      <w:r w:rsidR="00B451A2">
        <w:t xml:space="preserve"> did not specifically</w:t>
      </w:r>
      <w:r w:rsidR="000D2914">
        <w:t xml:space="preserve"> consider whether the appellant met </w:t>
      </w:r>
      <w:r w:rsidR="00B451A2">
        <w:t xml:space="preserve">any of </w:t>
      </w:r>
      <w:r w:rsidR="000D2914">
        <w:t>the</w:t>
      </w:r>
      <w:r w:rsidR="00B451A2">
        <w:t xml:space="preserve"> alternative requirements for leave to remain under</w:t>
      </w:r>
      <w:r w:rsidR="000D2914">
        <w:t xml:space="preserve"> </w:t>
      </w:r>
      <w:r w:rsidR="00B451A2">
        <w:t>paragraph</w:t>
      </w:r>
      <w:r w:rsidR="000D2914">
        <w:t xml:space="preserve"> 276ADE, but instead </w:t>
      </w:r>
      <w:r w:rsidR="00B451A2">
        <w:t>proceeded straight to her consideration of the</w:t>
      </w:r>
      <w:r>
        <w:t xml:space="preserve"> appeal under Article 8</w:t>
      </w:r>
      <w:r w:rsidR="000D2914">
        <w:t>,</w:t>
      </w:r>
      <w:r>
        <w:t xml:space="preserve"> outside the Imm</w:t>
      </w:r>
      <w:r w:rsidR="000D2914">
        <w:t>igration Rules.  She noted in</w:t>
      </w:r>
      <w:r>
        <w:t xml:space="preserve"> doing</w:t>
      </w:r>
      <w:r w:rsidR="000D2914">
        <w:t xml:space="preserve"> so</w:t>
      </w:r>
      <w:r>
        <w:t xml:space="preserve"> </w:t>
      </w:r>
      <w:r w:rsidR="000D2914">
        <w:t>(</w:t>
      </w:r>
      <w:r>
        <w:t>at paragraph 21</w:t>
      </w:r>
      <w:r w:rsidR="000D2914">
        <w:t>)</w:t>
      </w:r>
      <w:r>
        <w:t xml:space="preserve"> that there was very little evidence </w:t>
      </w:r>
      <w:r w:rsidR="000E4E84">
        <w:t xml:space="preserve">before her of any private life that the Appellant may have developed in the United Kingdom and that he had not called any witnesses to give oral testimony in that regard.  She also added, and I shall return to this because it was strictly </w:t>
      </w:r>
      <w:r w:rsidR="00B451A2">
        <w:t>speaking inaccurate, that neither had anybody</w:t>
      </w:r>
      <w:r w:rsidR="000E4E84">
        <w:t xml:space="preserve"> w</w:t>
      </w:r>
      <w:r w:rsidR="00B451A2">
        <w:t>ritten letters of support</w:t>
      </w:r>
      <w:r w:rsidR="000E4E84">
        <w:t>.</w:t>
      </w:r>
    </w:p>
    <w:p w:rsidR="000E4E84" w:rsidRDefault="000D2914" w:rsidP="000E4E84">
      <w:pPr>
        <w:pStyle w:val="p"/>
      </w:pPr>
      <w:r>
        <w:t>The judge</w:t>
      </w:r>
      <w:r w:rsidR="000E4E84">
        <w:t xml:space="preserve"> further noted, and this </w:t>
      </w:r>
      <w:r>
        <w:t>has not been challenged, that the appellant</w:t>
      </w:r>
      <w:r w:rsidR="000E4E84">
        <w:t xml:space="preserve"> no longer had any family life in the United Kingdom, given that his relationship with an EEA national spouse had ended.  </w:t>
      </w:r>
      <w:r>
        <w:t>She therefore concluded that in all the</w:t>
      </w:r>
      <w:r w:rsidR="000E4E84">
        <w:t xml:space="preserve"> </w:t>
      </w:r>
      <w:r w:rsidR="00B451A2">
        <w:t>circumstances</w:t>
      </w:r>
      <w:r w:rsidR="000E4E84">
        <w:t xml:space="preserve"> Article 8 was not engag</w:t>
      </w:r>
      <w:r>
        <w:t>ed. She nevertheless considered,</w:t>
      </w:r>
      <w:r w:rsidR="000E4E84">
        <w:t xml:space="preserve"> in the alternative</w:t>
      </w:r>
      <w:r w:rsidR="0075284C">
        <w:t>,</w:t>
      </w:r>
      <w:r w:rsidR="000E4E84">
        <w:t xml:space="preserve"> the </w:t>
      </w:r>
      <w:r w:rsidR="000E4E84">
        <w:lastRenderedPageBreak/>
        <w:t>possibility that it was</w:t>
      </w:r>
      <w:r w:rsidR="00B451A2">
        <w:t xml:space="preserve"> engaged</w:t>
      </w:r>
      <w:r w:rsidR="000E4E84">
        <w:t xml:space="preserve"> and</w:t>
      </w:r>
      <w:r w:rsidR="0075284C">
        <w:t xml:space="preserve"> thereafter</w:t>
      </w:r>
      <w:r w:rsidR="000E4E84">
        <w:t xml:space="preserve"> conduct</w:t>
      </w:r>
      <w:r w:rsidR="00B451A2">
        <w:t>ed an analysis as to whether the Appellant’s</w:t>
      </w:r>
      <w:r w:rsidR="000E4E84">
        <w:t xml:space="preserve"> removal </w:t>
      </w:r>
      <w:r w:rsidR="0075284C">
        <w:t>was proportionate in pursuit</w:t>
      </w:r>
      <w:r w:rsidR="000E4E84">
        <w:t xml:space="preserve"> of the legitimate aim of maintaining the economic wellbeing of the country through the consistent application of immigration controls.</w:t>
      </w:r>
    </w:p>
    <w:p w:rsidR="000E4E84" w:rsidRDefault="0075284C" w:rsidP="000E4E84">
      <w:pPr>
        <w:pStyle w:val="p"/>
      </w:pPr>
      <w:r>
        <w:t>The judge</w:t>
      </w:r>
      <w:r w:rsidR="000E4E84">
        <w:t xml:space="preserve"> said that she bore in mind the regrettable confusion by the Home O</w:t>
      </w:r>
      <w:r w:rsidR="00B451A2">
        <w:t>ffice (see above)</w:t>
      </w:r>
      <w:r w:rsidR="000E4E84">
        <w:t xml:space="preserve"> but she also reminded herself that the burden of proving the primary facts lay</w:t>
      </w:r>
      <w:r>
        <w:t xml:space="preserve"> with</w:t>
      </w:r>
      <w:r w:rsidR="00B451A2">
        <w:t xml:space="preserve"> the Appellant and proceeded</w:t>
      </w:r>
      <w:r>
        <w:t xml:space="preserve"> to make</w:t>
      </w:r>
      <w:r w:rsidR="000E4E84">
        <w:t xml:space="preserve"> a number of observations concerning the Appellant’s failure to prove, </w:t>
      </w:r>
      <w:r>
        <w:t>in her mind, that he had</w:t>
      </w:r>
      <w:r w:rsidR="000E4E84">
        <w:t xml:space="preserve"> ever made an application in 2007 for further leave to remain</w:t>
      </w:r>
      <w:r w:rsidR="00B451A2">
        <w:t>,</w:t>
      </w:r>
      <w:r w:rsidR="000E4E84">
        <w:t xml:space="preserve"> and/or </w:t>
      </w:r>
      <w:r>
        <w:t>that he ‘</w:t>
      </w:r>
      <w:r w:rsidR="000E4E84">
        <w:t>chased</w:t>
      </w:r>
      <w:r>
        <w:t>’</w:t>
      </w:r>
      <w:r w:rsidR="000E4E84">
        <w:t xml:space="preserve"> the Home Office for a decision.</w:t>
      </w:r>
    </w:p>
    <w:p w:rsidR="009D7E97" w:rsidRDefault="0075284C" w:rsidP="009D7E97">
      <w:pPr>
        <w:pStyle w:val="p"/>
      </w:pPr>
      <w:r>
        <w:t>The judge</w:t>
      </w:r>
      <w:r w:rsidR="000E4E84">
        <w:t xml:space="preserve"> attached </w:t>
      </w:r>
      <w:r>
        <w:t>significant weight to a reply the Appellant</w:t>
      </w:r>
      <w:r w:rsidR="000E4E84">
        <w:t xml:space="preserve"> had made during the course of his evidence</w:t>
      </w:r>
      <w:r>
        <w:t>, which was</w:t>
      </w:r>
      <w:r w:rsidR="000E4E84">
        <w:t xml:space="preserve"> to the effect that it had never been his intention to return to Ghana.  </w:t>
      </w:r>
      <w:r w:rsidR="009D7E97">
        <w:t>She not</w:t>
      </w:r>
      <w:r>
        <w:t>ed (at paragraph 28) a discrepancy</w:t>
      </w:r>
      <w:r w:rsidR="009D7E97">
        <w:t xml:space="preserve"> between his evidence at the hearing</w:t>
      </w:r>
      <w:r w:rsidR="00B451A2">
        <w:t xml:space="preserve"> -</w:t>
      </w:r>
      <w:r w:rsidR="009D7E97">
        <w:t xml:space="preserve"> that he had not worked whilst in the United Kingdom</w:t>
      </w:r>
      <w:r w:rsidR="00B451A2">
        <w:t xml:space="preserve"> - </w:t>
      </w:r>
      <w:r w:rsidR="009D7E97">
        <w:t>and HMRC documents showing that he had paid income tax in the United Kingdom.</w:t>
      </w:r>
    </w:p>
    <w:p w:rsidR="000E4E84" w:rsidRDefault="0075284C" w:rsidP="009D7E97">
      <w:pPr>
        <w:pStyle w:val="p"/>
      </w:pPr>
      <w:r>
        <w:t>The judge</w:t>
      </w:r>
      <w:r w:rsidR="009D7E97">
        <w:t xml:space="preserve"> concluded as follows:</w:t>
      </w:r>
    </w:p>
    <w:p w:rsidR="00D371C7" w:rsidRPr="00E35642" w:rsidRDefault="009D7E97" w:rsidP="00E35642">
      <w:pPr>
        <w:pStyle w:val="qn"/>
        <w:spacing w:before="120"/>
        <w:ind w:right="567"/>
        <w:rPr>
          <w:sz w:val="22"/>
          <w:szCs w:val="22"/>
        </w:rPr>
      </w:pPr>
      <w:r w:rsidRPr="00E35642">
        <w:rPr>
          <w:sz w:val="22"/>
          <w:szCs w:val="22"/>
        </w:rPr>
        <w:t>“29.</w:t>
      </w:r>
      <w:r w:rsidRPr="00E35642">
        <w:rPr>
          <w:sz w:val="22"/>
          <w:szCs w:val="22"/>
        </w:rPr>
        <w:tab/>
        <w:t>In the balancing exercise, then, factors in favour of the public interest outweigh those in the Appellant’s favour.</w:t>
      </w:r>
    </w:p>
    <w:p w:rsidR="00D371C7" w:rsidRPr="00E35642" w:rsidRDefault="009D7E97" w:rsidP="00E35642">
      <w:pPr>
        <w:pStyle w:val="qn"/>
        <w:spacing w:before="120"/>
        <w:ind w:right="567"/>
        <w:rPr>
          <w:sz w:val="22"/>
          <w:szCs w:val="22"/>
        </w:rPr>
      </w:pPr>
      <w:r w:rsidRPr="00E35642">
        <w:rPr>
          <w:sz w:val="22"/>
          <w:szCs w:val="22"/>
        </w:rPr>
        <w:t>30.</w:t>
      </w:r>
      <w:r w:rsidRPr="00E35642">
        <w:rPr>
          <w:sz w:val="22"/>
          <w:szCs w:val="22"/>
        </w:rPr>
        <w:tab/>
        <w:t>In considering the public interest when dealing with proportionality I have had regard to Section 117 of the 2002 Act and have taken full account of the Secretary of State’s view of the state’s obligations under Article 8 of the European Convention set out in the Immigration Rules.</w:t>
      </w:r>
    </w:p>
    <w:p w:rsidR="00D371C7" w:rsidRPr="00E35642" w:rsidRDefault="009D7E97" w:rsidP="00E35642">
      <w:pPr>
        <w:pStyle w:val="qn"/>
        <w:spacing w:before="120"/>
        <w:ind w:right="567"/>
        <w:rPr>
          <w:sz w:val="22"/>
          <w:szCs w:val="22"/>
        </w:rPr>
      </w:pPr>
      <w:r w:rsidRPr="00E35642">
        <w:rPr>
          <w:sz w:val="22"/>
          <w:szCs w:val="22"/>
        </w:rPr>
        <w:t>31.</w:t>
      </w:r>
      <w:r w:rsidRPr="00E35642">
        <w:rPr>
          <w:sz w:val="22"/>
          <w:szCs w:val="22"/>
        </w:rPr>
        <w:tab/>
        <w:t>I</w:t>
      </w:r>
      <w:r w:rsidR="00694C16" w:rsidRPr="00E35642">
        <w:rPr>
          <w:sz w:val="22"/>
          <w:szCs w:val="22"/>
        </w:rPr>
        <w:t>n</w:t>
      </w:r>
      <w:r w:rsidRPr="00E35642">
        <w:rPr>
          <w:sz w:val="22"/>
          <w:szCs w:val="22"/>
        </w:rPr>
        <w:t xml:space="preserve"> particular, I take account of Section 117</w:t>
      </w:r>
      <w:proofErr w:type="gramStart"/>
      <w:r w:rsidRPr="00E35642">
        <w:rPr>
          <w:sz w:val="22"/>
          <w:szCs w:val="22"/>
        </w:rPr>
        <w:t>B(</w:t>
      </w:r>
      <w:proofErr w:type="gramEnd"/>
      <w:r w:rsidRPr="00E35642">
        <w:rPr>
          <w:sz w:val="22"/>
          <w:szCs w:val="22"/>
        </w:rPr>
        <w:t>4) since I do not accept that the Appellant made an in time application in 2007 I do not accept that he had any leave, even Section 3C leave between early 8</w:t>
      </w:r>
      <w:r w:rsidRPr="00E35642">
        <w:rPr>
          <w:sz w:val="22"/>
          <w:szCs w:val="22"/>
          <w:vertAlign w:val="superscript"/>
        </w:rPr>
        <w:t>th</w:t>
      </w:r>
      <w:r w:rsidRPr="00E35642">
        <w:rPr>
          <w:sz w:val="22"/>
          <w:szCs w:val="22"/>
        </w:rPr>
        <w:t xml:space="preserve"> February 2007 and 10</w:t>
      </w:r>
      <w:r w:rsidRPr="00E35642">
        <w:rPr>
          <w:sz w:val="22"/>
          <w:szCs w:val="22"/>
          <w:vertAlign w:val="superscript"/>
        </w:rPr>
        <w:t>th</w:t>
      </w:r>
      <w:r w:rsidRPr="00E35642">
        <w:rPr>
          <w:sz w:val="22"/>
          <w:szCs w:val="22"/>
        </w:rPr>
        <w:t xml:space="preserve"> May 2011 when he made an application under the Immigration (EEA) Regulations.</w:t>
      </w:r>
    </w:p>
    <w:p w:rsidR="00D371C7" w:rsidRPr="00E35642" w:rsidRDefault="009D7E97" w:rsidP="00E35642">
      <w:pPr>
        <w:pStyle w:val="qn"/>
        <w:spacing w:before="120"/>
        <w:ind w:right="567"/>
        <w:rPr>
          <w:sz w:val="22"/>
          <w:szCs w:val="22"/>
        </w:rPr>
      </w:pPr>
      <w:r w:rsidRPr="00E35642">
        <w:rPr>
          <w:sz w:val="22"/>
          <w:szCs w:val="22"/>
        </w:rPr>
        <w:t>32.</w:t>
      </w:r>
      <w:r w:rsidRPr="00E35642">
        <w:rPr>
          <w:sz w:val="22"/>
          <w:szCs w:val="22"/>
        </w:rPr>
        <w:tab/>
        <w:t xml:space="preserve">On the balance of </w:t>
      </w:r>
      <w:proofErr w:type="gramStart"/>
      <w:r w:rsidRPr="00E35642">
        <w:rPr>
          <w:sz w:val="22"/>
          <w:szCs w:val="22"/>
        </w:rPr>
        <w:t>probabilities</w:t>
      </w:r>
      <w:proofErr w:type="gramEnd"/>
      <w:r w:rsidRPr="00E35642">
        <w:rPr>
          <w:sz w:val="22"/>
          <w:szCs w:val="22"/>
        </w:rPr>
        <w:t xml:space="preserve"> the Appellant has not discharged the burden</w:t>
      </w:r>
      <w:r>
        <w:t xml:space="preserve"> </w:t>
      </w:r>
      <w:r w:rsidRPr="00E35642">
        <w:rPr>
          <w:sz w:val="22"/>
          <w:szCs w:val="22"/>
        </w:rPr>
        <w:t>of proof.”</w:t>
      </w:r>
    </w:p>
    <w:p w:rsidR="00D371C7" w:rsidRDefault="009D7E97" w:rsidP="009D7E97">
      <w:pPr>
        <w:pStyle w:val="un"/>
      </w:pPr>
      <w:r>
        <w:t>She then went on to give notice of her decision to dismiss the appeal on human rights grounds.</w:t>
      </w:r>
    </w:p>
    <w:p w:rsidR="001E01B2" w:rsidRDefault="009D7E97" w:rsidP="001E01B2">
      <w:pPr>
        <w:pStyle w:val="p"/>
      </w:pPr>
      <w:r>
        <w:t>Permission to appeal has been granted to argue all the grounds, which, it has to be</w:t>
      </w:r>
      <w:r w:rsidR="00B451A2">
        <w:t xml:space="preserve"> said, are lengthy.</w:t>
      </w:r>
      <w:r>
        <w:t xml:space="preserve"> I shall</w:t>
      </w:r>
      <w:r w:rsidR="00B451A2">
        <w:t xml:space="preserve"> therefore</w:t>
      </w:r>
      <w:r>
        <w:t xml:space="preserve"> attempt very much to summarise </w:t>
      </w:r>
      <w:r w:rsidR="001E01B2">
        <w:t>them.</w:t>
      </w:r>
    </w:p>
    <w:p w:rsidR="009D7E97" w:rsidRDefault="00B451A2" w:rsidP="001E01B2">
      <w:pPr>
        <w:pStyle w:val="p"/>
      </w:pPr>
      <w:r>
        <w:t>Firstly, it is said that the judge</w:t>
      </w:r>
      <w:r w:rsidR="00FF5FE3">
        <w:t xml:space="preserve"> made a substantial error of fact amounting to an error of law in noting in her introductory paragraphs that the Appellant had come to the United Kingdom in 1995 when in fact he did not come until 2005.  However, it i</w:t>
      </w:r>
      <w:r w:rsidR="0075284C">
        <w:t>s accepted by Mr Malik, who represented the Appellant before me</w:t>
      </w:r>
      <w:r w:rsidR="00FF5FE3">
        <w:t xml:space="preserve">, </w:t>
      </w:r>
      <w:r w:rsidR="001E01B2">
        <w:t>that that was not in any sense material to the outcome of the decision.  Indeed, had she been right to say</w:t>
      </w:r>
      <w:r w:rsidR="0075284C">
        <w:t xml:space="preserve"> that</w:t>
      </w:r>
      <w:r>
        <w:t xml:space="preserve"> the Appellant had come to the United Kingdom</w:t>
      </w:r>
      <w:r w:rsidR="001E01B2">
        <w:t xml:space="preserve"> in 1995</w:t>
      </w:r>
      <w:r w:rsidR="0075284C">
        <w:t>,</w:t>
      </w:r>
      <w:r w:rsidR="001E01B2">
        <w:t xml:space="preserve"> then he would likely have </w:t>
      </w:r>
      <w:r w:rsidR="001E01B2">
        <w:lastRenderedPageBreak/>
        <w:t xml:space="preserve">succeeded under a different paragraph of the </w:t>
      </w:r>
      <w:r w:rsidR="0075284C">
        <w:t>Immigration Rules.  As it is, the error</w:t>
      </w:r>
      <w:r w:rsidR="001E01B2">
        <w:t xml:space="preserve"> is wholly immaterial.</w:t>
      </w:r>
    </w:p>
    <w:p w:rsidR="00733696" w:rsidRDefault="001E01B2" w:rsidP="001606DE">
      <w:pPr>
        <w:pStyle w:val="p"/>
      </w:pPr>
      <w:r>
        <w:t>Secondly, in finding t</w:t>
      </w:r>
      <w:r w:rsidR="0075284C">
        <w:t>hat his claim</w:t>
      </w:r>
      <w:r w:rsidR="00B451A2">
        <w:t xml:space="preserve"> not to have</w:t>
      </w:r>
      <w:r>
        <w:t xml:space="preserve"> worked in the United Kingdom was inconsistent with h</w:t>
      </w:r>
      <w:r w:rsidR="00B451A2">
        <w:t>is records with HMRC</w:t>
      </w:r>
      <w:r w:rsidR="0075284C">
        <w:t>,</w:t>
      </w:r>
      <w:r>
        <w:t xml:space="preserve"> it is said that the judge failed to id</w:t>
      </w:r>
      <w:r w:rsidR="00B451A2">
        <w:t>entify the documents</w:t>
      </w:r>
      <w:r>
        <w:t xml:space="preserve"> which revealed that inconsistency and</w:t>
      </w:r>
      <w:r w:rsidR="00B451A2">
        <w:t>, further, that she</w:t>
      </w:r>
      <w:r>
        <w:t xml:space="preserve"> had not given the Appellant an opportunity to provide an explanation.  I rej</w:t>
      </w:r>
      <w:r w:rsidR="001606DE">
        <w:t>ect that ground because (a)</w:t>
      </w:r>
      <w:r>
        <w:t xml:space="preserve"> the judge did not need to identify the page number of the document</w:t>
      </w:r>
      <w:r w:rsidR="001606DE">
        <w:t xml:space="preserve"> in the Appellant’s bundle given that</w:t>
      </w:r>
      <w:r>
        <w:t xml:space="preserve"> Mr Mali</w:t>
      </w:r>
      <w:r w:rsidR="001606DE">
        <w:t>k accepts th</w:t>
      </w:r>
      <w:r w:rsidR="00B451A2">
        <w:t>at it shows that the Appellant had paid Income Tax in the UK</w:t>
      </w:r>
      <w:r w:rsidR="001606DE">
        <w:t>, and (b)</w:t>
      </w:r>
      <w:r w:rsidR="00733696">
        <w:t xml:space="preserve"> according to the notes taken by the Presenting Officer</w:t>
      </w:r>
      <w:r w:rsidR="001606DE">
        <w:t>, the assertion that he had never worked whilst in the United Kingdom was one made</w:t>
      </w:r>
      <w:r w:rsidR="00733696">
        <w:t xml:space="preserve"> by the Appellant in the course o</w:t>
      </w:r>
      <w:r w:rsidR="001606DE">
        <w:t>f cross-examination.  Where a person spontaneously makes a factual assertion whilst giving his oral testimony, he cannot</w:t>
      </w:r>
      <w:r w:rsidR="00733696">
        <w:t xml:space="preserve"> afterwards be</w:t>
      </w:r>
      <w:r w:rsidR="001606DE">
        <w:t xml:space="preserve"> heard to complain that he did not have the opportunity to explain why that</w:t>
      </w:r>
      <w:r w:rsidR="00B451A2">
        <w:t xml:space="preserve"> assertion was inconsistent with</w:t>
      </w:r>
      <w:r w:rsidR="001606DE">
        <w:t xml:space="preserve"> other evidence upon which he relies</w:t>
      </w:r>
      <w:r w:rsidR="00733696">
        <w:t xml:space="preserve">. </w:t>
      </w:r>
      <w:r w:rsidR="001606DE">
        <w:t xml:space="preserve"> The position would of course have been different had he made </w:t>
      </w:r>
      <w:r w:rsidR="00B451A2">
        <w:t>an</w:t>
      </w:r>
      <w:r w:rsidR="001606DE">
        <w:t xml:space="preserve"> inconsistent statement in</w:t>
      </w:r>
      <w:r w:rsidR="00733696">
        <w:t xml:space="preserve"> a written statement</w:t>
      </w:r>
      <w:r w:rsidR="00B451A2">
        <w:t xml:space="preserve"> that was</w:t>
      </w:r>
      <w:r w:rsidR="001606DE">
        <w:t xml:space="preserve"> made in advance of the hearing</w:t>
      </w:r>
      <w:r w:rsidR="00733696">
        <w:t>.  In any event, it is difficult t</w:t>
      </w:r>
      <w:r w:rsidR="001606DE">
        <w:t xml:space="preserve">o see what this particular finding </w:t>
      </w:r>
      <w:r w:rsidR="00733696">
        <w:t xml:space="preserve">had to do with the issue </w:t>
      </w:r>
      <w:r w:rsidR="001606DE">
        <w:t>that the judge</w:t>
      </w:r>
      <w:r w:rsidR="00733696">
        <w:t xml:space="preserve"> had to decide</w:t>
      </w:r>
      <w:r w:rsidR="001606DE">
        <w:t xml:space="preserve"> concerning the Appellant’s private life</w:t>
      </w:r>
      <w:r w:rsidR="00733696">
        <w:t>.  It seems t</w:t>
      </w:r>
      <w:r w:rsidR="00B451A2">
        <w:t>o me to have been</w:t>
      </w:r>
      <w:r w:rsidR="001606DE">
        <w:t xml:space="preserve"> otiose</w:t>
      </w:r>
      <w:r w:rsidR="00733696">
        <w:t>.</w:t>
      </w:r>
    </w:p>
    <w:p w:rsidR="00733696" w:rsidRDefault="00733696" w:rsidP="00671A8E">
      <w:pPr>
        <w:pStyle w:val="p"/>
      </w:pPr>
      <w:r>
        <w:t xml:space="preserve">Thirdly, there is a general assertion in the grounds </w:t>
      </w:r>
      <w:r w:rsidR="001606DE">
        <w:t>(</w:t>
      </w:r>
      <w:r>
        <w:t>followed by</w:t>
      </w:r>
      <w:r w:rsidR="001606DE">
        <w:t xml:space="preserve"> citation of</w:t>
      </w:r>
      <w:r>
        <w:t xml:space="preserve"> a consi</w:t>
      </w:r>
      <w:r w:rsidR="001606DE">
        <w:t>derable amount of case law)</w:t>
      </w:r>
      <w:r>
        <w:t xml:space="preserve"> that the judge erred in failing to make clear credibility findings.</w:t>
      </w:r>
      <w:r w:rsidR="00B451A2">
        <w:t xml:space="preserve"> </w:t>
      </w:r>
      <w:r>
        <w:t>Mr Malik was</w:t>
      </w:r>
      <w:r w:rsidR="00B451A2">
        <w:t xml:space="preserve"> however</w:t>
      </w:r>
      <w:r>
        <w:t xml:space="preserve"> unable to point me to any particular part of the decision where there was any</w:t>
      </w:r>
      <w:r w:rsidR="00B451A2">
        <w:t xml:space="preserve"> supposed lack of clarity in</w:t>
      </w:r>
      <w:r>
        <w:t xml:space="preserve"> </w:t>
      </w:r>
      <w:r w:rsidR="00B451A2">
        <w:t>the judge’s findings.</w:t>
      </w:r>
      <w:r w:rsidR="00671A8E">
        <w:t xml:space="preserve"> I</w:t>
      </w:r>
      <w:r w:rsidR="00C94226">
        <w:t xml:space="preserve"> therefore</w:t>
      </w:r>
      <w:r w:rsidR="00671A8E">
        <w:t xml:space="preserve"> rejec</w:t>
      </w:r>
      <w:r w:rsidR="00C94226">
        <w:t>t this</w:t>
      </w:r>
      <w:r w:rsidR="00671A8E">
        <w:t xml:space="preserve"> ground.</w:t>
      </w:r>
    </w:p>
    <w:p w:rsidR="00671A8E" w:rsidRDefault="00671A8E" w:rsidP="00C94226">
      <w:pPr>
        <w:pStyle w:val="p"/>
      </w:pPr>
      <w:r>
        <w:t xml:space="preserve">Fourthly, criticism is made </w:t>
      </w:r>
      <w:r w:rsidR="00C94226">
        <w:t xml:space="preserve">(again, </w:t>
      </w:r>
      <w:r>
        <w:t>in considerable detail</w:t>
      </w:r>
      <w:r w:rsidR="00C94226">
        <w:t>) of</w:t>
      </w:r>
      <w:r>
        <w:t xml:space="preserve"> the judge’s finding that there had been a gap in the lawful residence of the </w:t>
      </w:r>
      <w:r w:rsidR="00C94226">
        <w:t xml:space="preserve">Appellant to which I referred during my introductory remarks. However, it </w:t>
      </w:r>
      <w:r>
        <w:t>seems to me that although the gap may not have been as great as the judge assumed</w:t>
      </w:r>
      <w:r w:rsidR="00C94226">
        <w:t>,</w:t>
      </w:r>
      <w:r>
        <w:t xml:space="preserve"> it was accepted by the Appellant that there had been</w:t>
      </w:r>
      <w:r w:rsidR="00C94226">
        <w:t xml:space="preserve"> such a gap</w:t>
      </w:r>
      <w:r>
        <w:t>.  What the Appellant sought to do, both in written representations to the Secretary of State and indeed to the judge at the hearing o</w:t>
      </w:r>
      <w:r w:rsidR="00C94226">
        <w:t>f his appeal, was to explain what he believed to be the</w:t>
      </w:r>
      <w:r>
        <w:t xml:space="preserve"> m</w:t>
      </w:r>
      <w:r w:rsidR="00C94226">
        <w:t>itigating circumstances for how that</w:t>
      </w:r>
      <w:r>
        <w:t xml:space="preserve"> gap </w:t>
      </w:r>
      <w:r w:rsidR="00C94226">
        <w:t>arose. However,</w:t>
      </w:r>
      <w:r>
        <w:t xml:space="preserve"> that could not alter the</w:t>
      </w:r>
      <w:r w:rsidR="00B451A2">
        <w:t xml:space="preserve"> fact that he could not meet the requirements for</w:t>
      </w:r>
      <w:r>
        <w:t xml:space="preserve"> continuous lawf</w:t>
      </w:r>
      <w:r w:rsidR="00C94226">
        <w:t>ul residence under 276B, regardless of whether or not the judge accepted his</w:t>
      </w:r>
      <w:r>
        <w:t xml:space="preserve"> explanation</w:t>
      </w:r>
      <w:r w:rsidR="009D2410">
        <w:t xml:space="preserve"> for his inability to do so</w:t>
      </w:r>
      <w:r w:rsidR="00473BE3">
        <w:t>.</w:t>
      </w:r>
      <w:r w:rsidR="00C94226">
        <w:t xml:space="preserve"> A</w:t>
      </w:r>
      <w:r>
        <w:t>ny error the judge may have m</w:t>
      </w:r>
      <w:r w:rsidR="009D2410">
        <w:t>ade in that regard does not</w:t>
      </w:r>
      <w:r w:rsidR="00C94226">
        <w:t xml:space="preserve"> therefore</w:t>
      </w:r>
      <w:r w:rsidR="009D2410">
        <w:t xml:space="preserve"> seem</w:t>
      </w:r>
      <w:r>
        <w:t xml:space="preserve"> to have been material to the outcome of the appeal</w:t>
      </w:r>
      <w:r w:rsidR="00473BE3">
        <w:t>.</w:t>
      </w:r>
    </w:p>
    <w:p w:rsidR="00473BE3" w:rsidRPr="00473BE3" w:rsidRDefault="00C94226" w:rsidP="00473BE3">
      <w:pPr>
        <w:pStyle w:val="p"/>
      </w:pPr>
      <w:r>
        <w:t>I shall return to consider the fifth ground later given that this appears to me to be the strongest</w:t>
      </w:r>
      <w:r w:rsidR="00473BE3">
        <w:t>.</w:t>
      </w:r>
    </w:p>
    <w:p w:rsidR="00473BE3" w:rsidRDefault="00C94226" w:rsidP="00473BE3">
      <w:pPr>
        <w:pStyle w:val="p"/>
      </w:pPr>
      <w:r>
        <w:t>The sixth</w:t>
      </w:r>
      <w:r w:rsidR="00473BE3">
        <w:t xml:space="preserve"> ground is that the judge failed to attach weight to the delay in</w:t>
      </w:r>
      <w:r>
        <w:t xml:space="preserve"> the Respondent</w:t>
      </w:r>
      <w:r w:rsidR="009D2410">
        <w:t xml:space="preserve"> </w:t>
      </w:r>
      <w:r>
        <w:t>processing the</w:t>
      </w:r>
      <w:r w:rsidR="00473BE3">
        <w:t xml:space="preserve"> application</w:t>
      </w:r>
      <w:r w:rsidR="009D2410">
        <w:t xml:space="preserve"> the Appellant claims to have</w:t>
      </w:r>
      <w:r>
        <w:t xml:space="preserve"> made in 2007.  The difficulty with this argument</w:t>
      </w:r>
      <w:r w:rsidR="00473BE3">
        <w:t xml:space="preserve"> is that the judge was not satisfied on a balance of probabilities that he had ever made such an application.  That was a primary finding of fact which she was entitled to make and</w:t>
      </w:r>
      <w:r>
        <w:t>,</w:t>
      </w:r>
      <w:r w:rsidR="00473BE3">
        <w:t xml:space="preserve"> absent a finding that he had made such an </w:t>
      </w:r>
      <w:r w:rsidR="00473BE3">
        <w:lastRenderedPageBreak/>
        <w:t>application</w:t>
      </w:r>
      <w:r>
        <w:t>,</w:t>
      </w:r>
      <w:r w:rsidR="00473BE3">
        <w:t xml:space="preserve"> she could not conceivably attach weight to the</w:t>
      </w:r>
      <w:r>
        <w:t xml:space="preserve"> Respondent’s alleged</w:t>
      </w:r>
      <w:r w:rsidR="00473BE3">
        <w:t xml:space="preserve"> delay in proce</w:t>
      </w:r>
      <w:r>
        <w:t>ssing it. Moreover, even if he had made such an application, the judge found that the Appellant had contributed to the delay in failing to make early enquires as to its progress and/or outcome.</w:t>
      </w:r>
    </w:p>
    <w:p w:rsidR="00473BE3" w:rsidRDefault="00C94226" w:rsidP="00473BE3">
      <w:pPr>
        <w:pStyle w:val="p"/>
      </w:pPr>
      <w:r>
        <w:t>I therefore return to the fifth ground. This</w:t>
      </w:r>
      <w:r w:rsidR="00473BE3">
        <w:t xml:space="preserve"> undoubtedly has merit.  I mentioned at the outset that the only Ground of Appeal available to the Appellant was that the de</w:t>
      </w:r>
      <w:r>
        <w:t>cision was incompatible with the Appellant’s</w:t>
      </w:r>
      <w:r w:rsidR="00473BE3">
        <w:t xml:space="preserve"> right to private life under Article 8 of the Human Rights Convention</w:t>
      </w:r>
      <w:r>
        <w:t xml:space="preserve"> and thus unlawful under Section 6 of the Human Rights Act 1998</w:t>
      </w:r>
      <w:r w:rsidR="00473BE3">
        <w:t>.</w:t>
      </w:r>
    </w:p>
    <w:p w:rsidR="00473BE3" w:rsidRDefault="00473BE3" w:rsidP="00B85F57">
      <w:pPr>
        <w:pStyle w:val="p"/>
      </w:pPr>
      <w:r>
        <w:t xml:space="preserve">The Secretary of State’s </w:t>
      </w:r>
      <w:r w:rsidR="00B85F57">
        <w:t>view of the operation of Article 8 in privat</w:t>
      </w:r>
      <w:r w:rsidR="009D2410">
        <w:t>e life cases is embodied in paragraph 276ADE.  The Secretary of State views this</w:t>
      </w:r>
      <w:r w:rsidR="00B85F57">
        <w:t xml:space="preserve"> as a complete code for dealing with private </w:t>
      </w:r>
      <w:r w:rsidR="00C94226">
        <w:t>life cases, although it is of course open to a C</w:t>
      </w:r>
      <w:r w:rsidR="009D2410">
        <w:t>ourt or Tribunal to consider</w:t>
      </w:r>
      <w:r w:rsidR="00C94226">
        <w:t xml:space="preserve"> matter</w:t>
      </w:r>
      <w:r w:rsidR="009D2410">
        <w:t>s</w:t>
      </w:r>
      <w:r w:rsidR="00C94226">
        <w:t xml:space="preserve"> outside its scope where there are unusual and compelling circums</w:t>
      </w:r>
      <w:r w:rsidR="009D2410">
        <w:t>tances that do not fall</w:t>
      </w:r>
      <w:r w:rsidR="00C94226">
        <w:t xml:space="preserve"> within its contemplation</w:t>
      </w:r>
      <w:r w:rsidR="00C811CB">
        <w:t>.</w:t>
      </w:r>
      <w:r w:rsidR="00B85F57">
        <w:t xml:space="preserve">  Nevertheless, the first port of call in a private life case is always paragraph 276ADE.  As it is sometimes put, </w:t>
      </w:r>
      <w:r w:rsidR="00C811CB">
        <w:t xml:space="preserve">a private life claim under </w:t>
      </w:r>
      <w:r w:rsidR="00B85F57">
        <w:t>Article 8 should be viewed throu</w:t>
      </w:r>
      <w:r w:rsidR="00C811CB">
        <w:t>gh the lens of that paragraph</w:t>
      </w:r>
      <w:r w:rsidR="00B85F57">
        <w:t>.</w:t>
      </w:r>
    </w:p>
    <w:p w:rsidR="00B85F57" w:rsidRDefault="00AC4D6B" w:rsidP="004D0510">
      <w:pPr>
        <w:pStyle w:val="p"/>
      </w:pPr>
      <w:r w:rsidRPr="00AC4D6B">
        <w:t xml:space="preserve">As I </w:t>
      </w:r>
      <w:r>
        <w:t>mentioned earlier, the judge was specifically reminded of the need to look at paragraph 276ADE</w:t>
      </w:r>
      <w:r w:rsidR="00732B06">
        <w:t xml:space="preserve"> by the Presenting Officer.  What th</w:t>
      </w:r>
      <w:r w:rsidR="00C811CB">
        <w:t>e judge did, however, was merely to make a</w:t>
      </w:r>
      <w:r w:rsidR="00732B06">
        <w:t xml:space="preserve"> pa</w:t>
      </w:r>
      <w:r w:rsidR="00C811CB">
        <w:t>ssing reference to it by saying that she had,</w:t>
      </w:r>
      <w:r w:rsidR="00732B06">
        <w:t xml:space="preserve"> “taken full account of the SSHD’s view of the state’s obligations under Article 8 of the European Convention </w:t>
      </w:r>
      <w:r w:rsidR="009D2410">
        <w:t xml:space="preserve">[as] </w:t>
      </w:r>
      <w:r w:rsidR="00732B06">
        <w:t>set out i</w:t>
      </w:r>
      <w:r w:rsidR="00C811CB">
        <w:t>n the Immigration Rules”.  The mere assertion that she had taken account of the Secretary of States views as “set out in the Immigration Rules” was inadequate</w:t>
      </w:r>
      <w:r w:rsidR="00732B06">
        <w:t>.  What</w:t>
      </w:r>
      <w:r w:rsidR="00C811CB">
        <w:t xml:space="preserve"> the judge was required but failed to do was to apply the specific provisions of</w:t>
      </w:r>
      <w:r w:rsidR="00732B06">
        <w:t xml:space="preserve"> paragraph 276ADE(vi)</w:t>
      </w:r>
      <w:r w:rsidR="00C811CB">
        <w:t xml:space="preserve"> to the facts of the Appellant’s case as she found them.  The judge m</w:t>
      </w:r>
      <w:r w:rsidR="009D2410">
        <w:t>akes does not make</w:t>
      </w:r>
      <w:r w:rsidR="00C811CB">
        <w:t xml:space="preserve"> reference, for examples,</w:t>
      </w:r>
      <w:r w:rsidR="00732B06">
        <w:t xml:space="preserve"> to whether the Appellant would face </w:t>
      </w:r>
      <w:r w:rsidR="00C811CB">
        <w:t>“</w:t>
      </w:r>
      <w:r w:rsidR="00732B06">
        <w:t>very significant obstacles to his integration in the proposed country of return</w:t>
      </w:r>
      <w:r w:rsidR="00C811CB">
        <w:t>”</w:t>
      </w:r>
      <w:r w:rsidR="00732B06">
        <w:t>.</w:t>
      </w:r>
      <w:r w:rsidR="004D0510">
        <w:t xml:space="preserve">  </w:t>
      </w:r>
      <w:r w:rsidR="00732B06">
        <w:t>That was an err</w:t>
      </w:r>
      <w:r w:rsidR="00C811CB">
        <w:t>or of law</w:t>
      </w:r>
      <w:r w:rsidR="004D0510">
        <w:t>.</w:t>
      </w:r>
      <w:r w:rsidR="00C811CB">
        <w:t xml:space="preserve"> It is thus nece</w:t>
      </w:r>
      <w:r w:rsidR="009D2410">
        <w:t>ssary to look into this</w:t>
      </w:r>
      <w:r w:rsidR="00C811CB">
        <w:t xml:space="preserve"> appeal in a little more detail in order to see whe</w:t>
      </w:r>
      <w:r w:rsidR="009D2410">
        <w:t>ther it is appropriate</w:t>
      </w:r>
      <w:r w:rsidR="00C811CB">
        <w:t xml:space="preserve"> to set aside Judge Pacey’</w:t>
      </w:r>
      <w:r w:rsidR="009D2410">
        <w:t>s decision and</w:t>
      </w:r>
      <w:r w:rsidR="00C811CB">
        <w:t xml:space="preserve"> remake it.</w:t>
      </w:r>
    </w:p>
    <w:p w:rsidR="004D0510" w:rsidRDefault="00C811CB" w:rsidP="008F54D2">
      <w:pPr>
        <w:pStyle w:val="p"/>
      </w:pPr>
      <w:r>
        <w:t>At paragraph 13 of her</w:t>
      </w:r>
      <w:r w:rsidR="008F54D2" w:rsidRPr="008F54D2">
        <w:t xml:space="preserve"> decision</w:t>
      </w:r>
      <w:r>
        <w:t>, the judge noted that the Appellant had told her that he, “</w:t>
      </w:r>
      <w:r w:rsidR="008F54D2">
        <w:t>had family in Ghana, with whom he was in contact”.  On the face of it</w:t>
      </w:r>
      <w:r>
        <w:t>,</w:t>
      </w:r>
      <w:r w:rsidR="008F54D2">
        <w:t xml:space="preserve"> that might s</w:t>
      </w:r>
      <w:r>
        <w:t>uggest that there would be little standing in the way of the Appellant’s integration</w:t>
      </w:r>
      <w:r w:rsidR="008F54D2">
        <w:t xml:space="preserve"> upon return.</w:t>
      </w:r>
    </w:p>
    <w:p w:rsidR="00F46F12" w:rsidRPr="008F54D2" w:rsidRDefault="00C811CB" w:rsidP="00F46F12">
      <w:pPr>
        <w:pStyle w:val="p"/>
      </w:pPr>
      <w:r>
        <w:t xml:space="preserve">However, </w:t>
      </w:r>
      <w:r w:rsidR="008F54D2">
        <w:t>Mr Malik drew my attention to two supporting letters contained within the Appellant’s bundle of docume</w:t>
      </w:r>
      <w:r>
        <w:t>nts.  The judge was thus wrong to suggest that</w:t>
      </w:r>
      <w:r w:rsidR="008F54D2">
        <w:t xml:space="preserve"> there were no such letters.  At page 26 of the Appellant’s bundle is a letter from Mr Daniel </w:t>
      </w:r>
      <w:proofErr w:type="spellStart"/>
      <w:r w:rsidR="00C4447D">
        <w:t>Adu-Bediako</w:t>
      </w:r>
      <w:proofErr w:type="spellEnd"/>
      <w:r w:rsidR="009D2410">
        <w:t xml:space="preserve">. It is </w:t>
      </w:r>
      <w:r w:rsidR="00C4447D">
        <w:t>dated 16</w:t>
      </w:r>
      <w:r w:rsidR="00C4447D" w:rsidRPr="00C4447D">
        <w:rPr>
          <w:vertAlign w:val="superscript"/>
        </w:rPr>
        <w:t>th</w:t>
      </w:r>
      <w:r>
        <w:t xml:space="preserve"> May 2017 and</w:t>
      </w:r>
      <w:r w:rsidR="00C4447D">
        <w:t xml:space="preserve"> </w:t>
      </w:r>
      <w:r w:rsidR="009D2410">
        <w:t xml:space="preserve">is </w:t>
      </w:r>
      <w:r w:rsidR="00C4447D">
        <w:t xml:space="preserve">addressed </w:t>
      </w:r>
      <w:r>
        <w:t>“</w:t>
      </w:r>
      <w:r w:rsidR="00C4447D">
        <w:t>to whom it may concern</w:t>
      </w:r>
      <w:r>
        <w:t>”.  In summary it says as follows. Its author</w:t>
      </w:r>
      <w:r w:rsidR="00C4447D">
        <w:t xml:space="preserve"> has known Mr </w:t>
      </w:r>
      <w:r w:rsidR="00D71108">
        <w:t>Kofi for over ten years. Mr Kofi</w:t>
      </w:r>
      <w:r w:rsidR="00C4447D">
        <w:t xml:space="preserve"> is a responsible individual who always takes pride</w:t>
      </w:r>
      <w:r w:rsidR="00D71108">
        <w:t xml:space="preserve"> in helping friends and family and</w:t>
      </w:r>
      <w:r>
        <w:t xml:space="preserve"> he has </w:t>
      </w:r>
      <w:r w:rsidR="00C4447D">
        <w:t xml:space="preserve">been </w:t>
      </w:r>
      <w:r w:rsidR="00F46F12">
        <w:t>an active member of the community and church member of the local church in High Wycombe.  He is a law-abiding citizen who does not involve himself in criminal activities.  He is hardworking and</w:t>
      </w:r>
      <w:r w:rsidR="00D71108">
        <w:t>,</w:t>
      </w:r>
      <w:r w:rsidR="00F46F12">
        <w:t xml:space="preserve"> in the view of </w:t>
      </w:r>
      <w:r w:rsidR="00F46F12" w:rsidRPr="00F46F12">
        <w:t xml:space="preserve">Mr </w:t>
      </w:r>
      <w:proofErr w:type="spellStart"/>
      <w:r w:rsidR="00F46F12" w:rsidRPr="00F46F12">
        <w:t>Adu-Bediako</w:t>
      </w:r>
      <w:proofErr w:type="spellEnd"/>
      <w:r w:rsidR="00D71108">
        <w:t xml:space="preserve">, the </w:t>
      </w:r>
      <w:r w:rsidR="00D71108">
        <w:lastRenderedPageBreak/>
        <w:t>Appellant</w:t>
      </w:r>
      <w:r w:rsidR="00F46F12">
        <w:t xml:space="preserve"> is an outstanding p</w:t>
      </w:r>
      <w:r w:rsidR="00D71108">
        <w:t>erson.  The letter</w:t>
      </w:r>
      <w:r w:rsidR="00F46F12">
        <w:t xml:space="preserve"> is</w:t>
      </w:r>
      <w:r w:rsidR="00D71108">
        <w:t xml:space="preserve"> thus primarily a character reference. However, contrary to the finding of Judge Pacey, it does establish that the </w:t>
      </w:r>
      <w:r w:rsidR="009D2410">
        <w:t>Appellant</w:t>
      </w:r>
      <w:r w:rsidR="00D71108">
        <w:t xml:space="preserve"> has</w:t>
      </w:r>
      <w:r w:rsidR="00F46F12">
        <w:t xml:space="preserve"> ties to the United Kingdom.</w:t>
      </w:r>
    </w:p>
    <w:p w:rsidR="001A0895" w:rsidRDefault="00F46F12" w:rsidP="00D21EC2">
      <w:pPr>
        <w:pStyle w:val="p"/>
      </w:pPr>
      <w:r>
        <w:t>Of more significance to t</w:t>
      </w:r>
      <w:r w:rsidR="00D71108">
        <w:t>he enquiry that the judge was required to undertake was a letter, dated the 15</w:t>
      </w:r>
      <w:r w:rsidR="00D71108" w:rsidRPr="00D71108">
        <w:rPr>
          <w:vertAlign w:val="superscript"/>
        </w:rPr>
        <w:t>th</w:t>
      </w:r>
      <w:r w:rsidR="00D71108">
        <w:t xml:space="preserve"> April 2017,</w:t>
      </w:r>
      <w:r>
        <w:t xml:space="preserve"> from one </w:t>
      </w:r>
      <w:r w:rsidR="00D71108">
        <w:t>‘</w:t>
      </w:r>
      <w:r w:rsidR="0040084E">
        <w:t xml:space="preserve">John </w:t>
      </w:r>
      <w:proofErr w:type="spellStart"/>
      <w:r w:rsidR="0040084E">
        <w:t>Obeng</w:t>
      </w:r>
      <w:proofErr w:type="spellEnd"/>
      <w:r w:rsidR="00D71108">
        <w:t>’ (page 28 of the Appellant’s bundle of documents).</w:t>
      </w:r>
      <w:r w:rsidR="0040084E">
        <w:t xml:space="preserve">  It begins by referring to a telephone conversation that he had had with the Appellant</w:t>
      </w:r>
      <w:r w:rsidR="00D71108">
        <w:t xml:space="preserve"> during</w:t>
      </w:r>
      <w:r w:rsidR="0040084E">
        <w:t xml:space="preserve"> the previous weekend in which the Appellant apparently indicat</w:t>
      </w:r>
      <w:r w:rsidR="009D2410">
        <w:t>ed that he was at that time</w:t>
      </w:r>
      <w:r w:rsidR="00D71108">
        <w:t xml:space="preserve"> intending</w:t>
      </w:r>
      <w:r w:rsidR="0040084E">
        <w:t xml:space="preserve"> to return to Ghana</w:t>
      </w:r>
      <w:r w:rsidR="001A0895">
        <w:t>.</w:t>
      </w:r>
    </w:p>
    <w:p w:rsidR="00D21EC2" w:rsidRPr="00D21EC2" w:rsidRDefault="0040084E" w:rsidP="00D21EC2">
      <w:pPr>
        <w:pStyle w:val="p"/>
      </w:pPr>
      <w:r>
        <w:t xml:space="preserve">Mr </w:t>
      </w:r>
      <w:proofErr w:type="spellStart"/>
      <w:r w:rsidRPr="0040084E">
        <w:t>Obeng</w:t>
      </w:r>
      <w:proofErr w:type="spellEnd"/>
      <w:r>
        <w:t xml:space="preserve"> says he would be pleased t</w:t>
      </w:r>
      <w:r w:rsidR="00D71108">
        <w:t>o see the Appellant</w:t>
      </w:r>
      <w:r>
        <w:t xml:space="preserve"> again after such a long time but cautions against his return for two reasons.  Firstly, the famil</w:t>
      </w:r>
      <w:r w:rsidR="00D71108">
        <w:t>y home where he used to live has</w:t>
      </w:r>
      <w:r>
        <w:t xml:space="preserve"> </w:t>
      </w:r>
      <w:r w:rsidR="00D71108">
        <w:t>been burnt to the ground as the result of</w:t>
      </w:r>
      <w:r>
        <w:t xml:space="preserve"> an electrical fault</w:t>
      </w:r>
      <w:r w:rsidR="00D71108">
        <w:t xml:space="preserve"> and most of his family have</w:t>
      </w:r>
      <w:r w:rsidR="00D21EC2">
        <w:t xml:space="preserve"> therefore relocated to different towns</w:t>
      </w:r>
      <w:r w:rsidR="00D71108">
        <w:t xml:space="preserve">.  Mr </w:t>
      </w:r>
      <w:proofErr w:type="spellStart"/>
      <w:r w:rsidR="00D71108">
        <w:t>Obeng</w:t>
      </w:r>
      <w:proofErr w:type="spellEnd"/>
      <w:r w:rsidR="00D71108">
        <w:t xml:space="preserve"> accordingly suggest that the Appellant</w:t>
      </w:r>
      <w:r w:rsidR="00D21EC2">
        <w:t xml:space="preserve"> might find it diffic</w:t>
      </w:r>
      <w:r w:rsidR="00D71108">
        <w:t xml:space="preserve">ult to get shelter unless he has money to rent a place </w:t>
      </w:r>
      <w:r w:rsidR="00D21EC2">
        <w:t>which</w:t>
      </w:r>
      <w:r w:rsidR="00D71108">
        <w:t>, he adds,</w:t>
      </w:r>
      <w:r w:rsidR="00D21EC2">
        <w:t xml:space="preserve"> could be very expensive.</w:t>
      </w:r>
    </w:p>
    <w:p w:rsidR="008F54D2" w:rsidRDefault="00D71108" w:rsidP="00D21EC2">
      <w:pPr>
        <w:pStyle w:val="p"/>
      </w:pPr>
      <w:r>
        <w:t xml:space="preserve">Secondly, Mr </w:t>
      </w:r>
      <w:proofErr w:type="spellStart"/>
      <w:r>
        <w:t>Obeng</w:t>
      </w:r>
      <w:proofErr w:type="spellEnd"/>
      <w:r>
        <w:t xml:space="preserve"> says that</w:t>
      </w:r>
      <w:r w:rsidR="00D21EC2">
        <w:t xml:space="preserve"> the economic situation in Ghana is very bad at the moment.  On the </w:t>
      </w:r>
      <w:r>
        <w:t>tele</w:t>
      </w:r>
      <w:r w:rsidR="00D21EC2">
        <w:t>phone</w:t>
      </w:r>
      <w:r>
        <w:t>,</w:t>
      </w:r>
      <w:r w:rsidR="00D21EC2">
        <w:t xml:space="preserve"> the Appellant had apparently told him that he had no s</w:t>
      </w:r>
      <w:r>
        <w:t xml:space="preserve">avings and so Mr </w:t>
      </w:r>
      <w:proofErr w:type="spellStart"/>
      <w:r>
        <w:t>Obeng</w:t>
      </w:r>
      <w:proofErr w:type="spellEnd"/>
      <w:r>
        <w:t xml:space="preserve"> suggests</w:t>
      </w:r>
      <w:r w:rsidR="00D21EC2">
        <w:t xml:space="preserve"> that life would be difficult for him if he were to return to Ghana and that the economic pressures could affect his ment</w:t>
      </w:r>
      <w:r>
        <w:t xml:space="preserve">al wellbeing.  Mr </w:t>
      </w:r>
      <w:proofErr w:type="spellStart"/>
      <w:r>
        <w:t>Obeng</w:t>
      </w:r>
      <w:proofErr w:type="spellEnd"/>
      <w:r>
        <w:t xml:space="preserve"> stresses</w:t>
      </w:r>
      <w:r w:rsidR="00D21EC2">
        <w:t xml:space="preserve"> that he was not trying to dissuade the Appellant from returning to Ghana</w:t>
      </w:r>
      <w:r>
        <w:t>, but says that he has seen other people who have</w:t>
      </w:r>
      <w:r w:rsidR="00D21EC2">
        <w:t xml:space="preserve"> returned from Europe without proper planning</w:t>
      </w:r>
      <w:r>
        <w:t>,</w:t>
      </w:r>
      <w:r w:rsidR="00D21EC2">
        <w:t xml:space="preserve"> and some of them end up on the streets suffering from a mental health breakdown.</w:t>
      </w:r>
      <w:r w:rsidR="00241A44">
        <w:t xml:space="preserve">  </w:t>
      </w:r>
    </w:p>
    <w:p w:rsidR="001A0895" w:rsidRDefault="00D71108" w:rsidP="001A0895">
      <w:pPr>
        <w:pStyle w:val="p"/>
      </w:pPr>
      <w:r>
        <w:t>Does the above evidence demonstrate that the Appellant would face</w:t>
      </w:r>
      <w:r w:rsidR="00241A44" w:rsidRPr="00241A44">
        <w:t xml:space="preserve"> </w:t>
      </w:r>
      <w:r>
        <w:t>“very significant obstacles”</w:t>
      </w:r>
      <w:r w:rsidR="00241A44" w:rsidRPr="00241A44">
        <w:t xml:space="preserve"> to his integration</w:t>
      </w:r>
      <w:r>
        <w:t xml:space="preserve"> on return to Ghana</w:t>
      </w:r>
      <w:r w:rsidR="00241A44" w:rsidRPr="00241A44">
        <w:t xml:space="preserve">?  </w:t>
      </w:r>
      <w:r>
        <w:t>I conclude</w:t>
      </w:r>
      <w:r w:rsidR="00241A44">
        <w:t xml:space="preserve"> that it does no</w:t>
      </w:r>
      <w:r>
        <w:t xml:space="preserve">t.  Mr </w:t>
      </w:r>
      <w:proofErr w:type="spellStart"/>
      <w:r>
        <w:t>Obeng’s</w:t>
      </w:r>
      <w:proofErr w:type="spellEnd"/>
      <w:r>
        <w:t xml:space="preserve"> primary </w:t>
      </w:r>
      <w:r w:rsidR="009D2410">
        <w:t>concern</w:t>
      </w:r>
      <w:r>
        <w:t xml:space="preserve"> was that the Appellant;</w:t>
      </w:r>
      <w:r w:rsidR="00241A44">
        <w:t xml:space="preserve"> would find difficulty in returning to Ghana if he did not make adequate preparatio</w:t>
      </w:r>
      <w:r>
        <w:t>n given</w:t>
      </w:r>
      <w:r w:rsidR="00241A44">
        <w:t xml:space="preserve"> that the family home</w:t>
      </w:r>
      <w:r>
        <w:t>,</w:t>
      </w:r>
      <w:r w:rsidR="00241A44">
        <w:t xml:space="preserve"> which he had left to come to the United Kingdom</w:t>
      </w:r>
      <w:r>
        <w:t>,</w:t>
      </w:r>
      <w:r w:rsidR="00241A44">
        <w:t xml:space="preserve"> would no longer be available to him.  He doe</w:t>
      </w:r>
      <w:r w:rsidR="00D044DC">
        <w:t>s not, however, suggest that his</w:t>
      </w:r>
      <w:r w:rsidR="00241A44">
        <w:t xml:space="preserve"> family members, who apparently continue to reside in G</w:t>
      </w:r>
      <w:r w:rsidR="00D044DC">
        <w:t>hana and with whom</w:t>
      </w:r>
      <w:r w:rsidR="009D2410">
        <w:t xml:space="preserve"> the Appellant</w:t>
      </w:r>
      <w:r w:rsidR="00D044DC">
        <w:t xml:space="preserve"> apparently maintains contact</w:t>
      </w:r>
      <w:r w:rsidR="00241A44">
        <w:t xml:space="preserve">, would be unable or </w:t>
      </w:r>
      <w:r w:rsidR="00D044DC">
        <w:t>unwilling to assist in his resettlement</w:t>
      </w:r>
      <w:r w:rsidR="001A0895">
        <w:t>.</w:t>
      </w:r>
    </w:p>
    <w:p w:rsidR="00D21EC2" w:rsidRPr="00241A44" w:rsidRDefault="001A0895" w:rsidP="001A0895">
      <w:pPr>
        <w:pStyle w:val="p"/>
      </w:pPr>
      <w:r>
        <w:t>Thus, wi</w:t>
      </w:r>
      <w:r w:rsidR="00D044DC">
        <w:t xml:space="preserve">th proper planning and </w:t>
      </w:r>
      <w:r w:rsidR="009D2410">
        <w:t>by giving</w:t>
      </w:r>
      <w:r w:rsidR="00D044DC">
        <w:t xml:space="preserve"> advance notice to</w:t>
      </w:r>
      <w:r>
        <w:t xml:space="preserve"> his friends a</w:t>
      </w:r>
      <w:r w:rsidR="009D2410">
        <w:t>nd relatives in Ghana</w:t>
      </w:r>
      <w:r>
        <w:t xml:space="preserve"> of his pr</w:t>
      </w:r>
      <w:r w:rsidR="00D044DC">
        <w:t>oposed return, any</w:t>
      </w:r>
      <w:r>
        <w:t xml:space="preserve"> obstacles</w:t>
      </w:r>
      <w:r w:rsidR="009D2410">
        <w:t xml:space="preserve"> to his integration on return</w:t>
      </w:r>
      <w:r>
        <w:t xml:space="preserve"> could be overcome.</w:t>
      </w:r>
    </w:p>
    <w:p w:rsidR="001A0895" w:rsidRDefault="001A0895" w:rsidP="001A0895">
      <w:pPr>
        <w:pStyle w:val="p"/>
      </w:pPr>
      <w:r>
        <w:t>I</w:t>
      </w:r>
      <w:r w:rsidR="00D044DC">
        <w:t xml:space="preserve"> therefore</w:t>
      </w:r>
      <w:r>
        <w:t xml:space="preserve"> conclude that</w:t>
      </w:r>
      <w:r w:rsidR="00D044DC">
        <w:t xml:space="preserve"> had the judge considered </w:t>
      </w:r>
      <w:r w:rsidR="00BB4CDA">
        <w:t>the matter, she would have been</w:t>
      </w:r>
      <w:r w:rsidR="00D044DC">
        <w:t xml:space="preserve"> bound to conclude that the Appellant did</w:t>
      </w:r>
      <w:r>
        <w:t xml:space="preserve"> not meet</w:t>
      </w:r>
      <w:r w:rsidR="00D044DC">
        <w:t xml:space="preserve"> the requirements of</w:t>
      </w:r>
      <w:r w:rsidR="009D2410">
        <w:t xml:space="preserve"> paragraph 276ADE(vi). Moreover, it </w:t>
      </w:r>
      <w:r w:rsidR="00D044DC">
        <w:t>was</w:t>
      </w:r>
      <w:r>
        <w:t xml:space="preserve"> not sug</w:t>
      </w:r>
      <w:r w:rsidR="00D044DC">
        <w:t>gested that the length of his</w:t>
      </w:r>
      <w:r>
        <w:t xml:space="preserve"> residen</w:t>
      </w:r>
      <w:r w:rsidR="009D2410">
        <w:t>ce</w:t>
      </w:r>
      <w:r w:rsidR="00D044DC">
        <w:t xml:space="preserve"> </w:t>
      </w:r>
      <w:r w:rsidR="009D2410">
        <w:t>(</w:t>
      </w:r>
      <w:r w:rsidR="00D044DC">
        <w:t xml:space="preserve">lawful </w:t>
      </w:r>
      <w:r w:rsidR="009D2410">
        <w:t>or unlawful)</w:t>
      </w:r>
      <w:r w:rsidR="00D044DC">
        <w:t xml:space="preserve"> was</w:t>
      </w:r>
      <w:r>
        <w:t xml:space="preserve"> such as to qualify him </w:t>
      </w:r>
      <w:r w:rsidR="00D044DC">
        <w:t xml:space="preserve">for leave to remain </w:t>
      </w:r>
      <w:r>
        <w:t>under any of the other subparagraphs</w:t>
      </w:r>
      <w:r w:rsidR="00D044DC">
        <w:t xml:space="preserve"> of 276ADE</w:t>
      </w:r>
      <w:r>
        <w:t>.</w:t>
      </w:r>
    </w:p>
    <w:p w:rsidR="001A0895" w:rsidRPr="00AC4D6B" w:rsidRDefault="00D044DC" w:rsidP="001A0895">
      <w:pPr>
        <w:pStyle w:val="p"/>
      </w:pPr>
      <w:r>
        <w:t>I therefore conclude that</w:t>
      </w:r>
      <w:r w:rsidR="001A0895">
        <w:t xml:space="preserve"> desp</w:t>
      </w:r>
      <w:r>
        <w:t>ite the judge’s error of law in failing first to consider the appeal under paragraph 276ADE</w:t>
      </w:r>
      <w:r w:rsidR="009D2410">
        <w:t xml:space="preserve"> of the Immigration Rules</w:t>
      </w:r>
      <w:r>
        <w:t xml:space="preserve"> before moving on to </w:t>
      </w:r>
      <w:r>
        <w:lastRenderedPageBreak/>
        <w:t xml:space="preserve">consider </w:t>
      </w:r>
      <w:r w:rsidR="009D2410">
        <w:t>it under Article 8, it would be inappropriate for me to exercise discretion by setting</w:t>
      </w:r>
      <w:r>
        <w:t xml:space="preserve"> aside her decision. I therefore dismiss the</w:t>
      </w:r>
      <w:r w:rsidR="001A0895">
        <w:t xml:space="preserve"> appeal.</w:t>
      </w:r>
    </w:p>
    <w:p w:rsidR="00E35642" w:rsidRDefault="00E35642" w:rsidP="00D371C7">
      <w:pPr>
        <w:spacing w:before="240"/>
        <w:jc w:val="both"/>
        <w:rPr>
          <w:rFonts w:ascii="Book Antiqua" w:hAnsi="Book Antiqua" w:cs="Arial"/>
          <w:b/>
          <w:u w:val="single"/>
        </w:rPr>
      </w:pPr>
    </w:p>
    <w:p w:rsidR="00CF7E9F" w:rsidRPr="00CF7E9F" w:rsidRDefault="00CF7E9F" w:rsidP="00D371C7">
      <w:pPr>
        <w:spacing w:before="240"/>
        <w:jc w:val="both"/>
        <w:rPr>
          <w:rFonts w:ascii="Book Antiqua" w:hAnsi="Book Antiqua" w:cs="Arial"/>
          <w:b/>
          <w:u w:val="single"/>
        </w:rPr>
      </w:pPr>
      <w:r w:rsidRPr="00CF7E9F">
        <w:rPr>
          <w:rFonts w:ascii="Book Antiqua" w:hAnsi="Book Antiqua" w:cs="Arial"/>
          <w:b/>
          <w:u w:val="single"/>
        </w:rPr>
        <w:t>Notice of Decision</w:t>
      </w:r>
    </w:p>
    <w:p w:rsidR="00CF7E9F" w:rsidRPr="00CF7E9F" w:rsidRDefault="00CF7E9F" w:rsidP="00CF7E9F">
      <w:pPr>
        <w:jc w:val="both"/>
        <w:rPr>
          <w:rFonts w:ascii="Book Antiqua" w:hAnsi="Book Antiqua" w:cs="Arial"/>
        </w:rPr>
      </w:pPr>
    </w:p>
    <w:p w:rsidR="00CF7E9F" w:rsidRPr="00CF7E9F" w:rsidRDefault="00CF7E9F" w:rsidP="00CF7E9F">
      <w:pPr>
        <w:jc w:val="both"/>
        <w:rPr>
          <w:rFonts w:ascii="Book Antiqua" w:hAnsi="Book Antiqua" w:cs="Arial"/>
        </w:rPr>
      </w:pPr>
      <w:r w:rsidRPr="00CF7E9F">
        <w:rPr>
          <w:rFonts w:ascii="Book Antiqua" w:hAnsi="Book Antiqua" w:cs="Arial"/>
        </w:rPr>
        <w:t>The appeal is</w:t>
      </w:r>
      <w:r w:rsidR="00D044DC">
        <w:rPr>
          <w:rFonts w:ascii="Book Antiqua" w:hAnsi="Book Antiqua" w:cs="Arial"/>
        </w:rPr>
        <w:t xml:space="preserve"> dismissed</w:t>
      </w:r>
    </w:p>
    <w:p w:rsidR="00CF7E9F" w:rsidRPr="00CF7E9F" w:rsidRDefault="00CF7E9F" w:rsidP="00CF7E9F">
      <w:pPr>
        <w:jc w:val="both"/>
        <w:rPr>
          <w:rFonts w:ascii="Book Antiqua" w:hAnsi="Book Antiqua" w:cs="Arial"/>
        </w:rPr>
      </w:pPr>
    </w:p>
    <w:p w:rsidR="00CF7E9F" w:rsidRPr="00CF7E9F" w:rsidRDefault="00CF7E9F" w:rsidP="00CF7E9F">
      <w:pPr>
        <w:jc w:val="both"/>
        <w:rPr>
          <w:rFonts w:ascii="Book Antiqua" w:hAnsi="Book Antiqua" w:cs="Arial"/>
        </w:rPr>
      </w:pPr>
      <w:r w:rsidRPr="00CF7E9F">
        <w:rPr>
          <w:rFonts w:ascii="Book Antiqua" w:hAnsi="Book Antiqua" w:cs="Arial"/>
        </w:rPr>
        <w:t>No anonymity direction is made.</w:t>
      </w:r>
    </w:p>
    <w:p w:rsidR="00CF7E9F" w:rsidRPr="00CF7E9F" w:rsidRDefault="00CF7E9F" w:rsidP="00CF7E9F">
      <w:pPr>
        <w:jc w:val="both"/>
        <w:rPr>
          <w:rFonts w:ascii="Book Antiqua" w:hAnsi="Book Antiqua" w:cs="Arial"/>
        </w:rPr>
      </w:pPr>
    </w:p>
    <w:p w:rsidR="00CF7E9F" w:rsidRPr="00F5664C" w:rsidRDefault="00CF7E9F" w:rsidP="000369F5">
      <w:pPr>
        <w:tabs>
          <w:tab w:val="left" w:pos="2520"/>
        </w:tabs>
        <w:jc w:val="both"/>
        <w:rPr>
          <w:rFonts w:ascii="Book Antiqua" w:hAnsi="Book Antiqua" w:cs="Arial"/>
        </w:rPr>
      </w:pPr>
    </w:p>
    <w:p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666049">
        <w:rPr>
          <w:rFonts w:ascii="Book Antiqua" w:hAnsi="Book Antiqua" w:cs="Arial"/>
        </w:rPr>
        <w:t>: 9</w:t>
      </w:r>
      <w:r w:rsidR="00666049" w:rsidRPr="00666049">
        <w:rPr>
          <w:rFonts w:ascii="Book Antiqua" w:hAnsi="Book Antiqua" w:cs="Arial"/>
          <w:vertAlign w:val="superscript"/>
        </w:rPr>
        <w:t>th</w:t>
      </w:r>
      <w:r w:rsidR="00666049">
        <w:rPr>
          <w:rFonts w:ascii="Book Antiqua" w:hAnsi="Book Antiqua" w:cs="Arial"/>
        </w:rPr>
        <w:t xml:space="preserve"> May </w:t>
      </w:r>
      <w:r w:rsidR="00D044DC">
        <w:rPr>
          <w:rFonts w:ascii="Book Antiqua" w:hAnsi="Book Antiqua" w:cs="Arial"/>
        </w:rPr>
        <w:t>2018</w:t>
      </w:r>
    </w:p>
    <w:p w:rsidR="001F2716" w:rsidRPr="00F5664C" w:rsidRDefault="001F2716" w:rsidP="000369F5">
      <w:pPr>
        <w:tabs>
          <w:tab w:val="left" w:pos="2520"/>
        </w:tabs>
        <w:jc w:val="both"/>
        <w:rPr>
          <w:rFonts w:ascii="Book Antiqua" w:hAnsi="Book Antiqua" w:cs="Arial"/>
        </w:rPr>
      </w:pPr>
    </w:p>
    <w:p w:rsidR="005B7789" w:rsidRPr="00F5664C" w:rsidRDefault="00C33F41" w:rsidP="000369F5">
      <w:pPr>
        <w:tabs>
          <w:tab w:val="left" w:pos="2520"/>
        </w:tabs>
        <w:jc w:val="both"/>
        <w:rPr>
          <w:rFonts w:ascii="Book Antiqua" w:hAnsi="Book Antiqua" w:cs="Arial"/>
        </w:rPr>
      </w:pPr>
      <w:r>
        <w:rPr>
          <w:rFonts w:ascii="Book Antiqua" w:hAnsi="Book Antiqua" w:cs="Arial"/>
        </w:rPr>
        <w:t>Deputy Upper Tribunal</w:t>
      </w:r>
      <w:r w:rsidR="00AC5CF6" w:rsidRPr="00F5664C">
        <w:rPr>
          <w:rFonts w:ascii="Book Antiqua" w:hAnsi="Book Antiqua" w:cs="Arial"/>
        </w:rPr>
        <w:t xml:space="preserve"> Judge</w:t>
      </w:r>
      <w:r w:rsidR="00B16F58" w:rsidRPr="00F5664C">
        <w:rPr>
          <w:rFonts w:ascii="Book Antiqua" w:hAnsi="Book Antiqua" w:cs="Arial"/>
        </w:rPr>
        <w:t xml:space="preserve"> </w:t>
      </w:r>
      <w:r w:rsidR="00D71973">
        <w:rPr>
          <w:rFonts w:ascii="Book Antiqua" w:hAnsi="Book Antiqua" w:cs="Arial"/>
        </w:rPr>
        <w:t>Kelly</w:t>
      </w:r>
      <w:r w:rsidR="00C321B5" w:rsidRPr="00F5664C">
        <w:rPr>
          <w:rFonts w:ascii="Book Antiqua" w:hAnsi="Book Antiqua" w:cs="Arial"/>
        </w:rPr>
        <w:t xml:space="preserve"> </w:t>
      </w:r>
    </w:p>
    <w:p w:rsidR="00C321B5" w:rsidRPr="00F5664C" w:rsidRDefault="00C321B5" w:rsidP="000369F5">
      <w:pPr>
        <w:tabs>
          <w:tab w:val="left" w:pos="2520"/>
        </w:tabs>
        <w:jc w:val="both"/>
        <w:rPr>
          <w:rFonts w:ascii="Book Antiqua" w:hAnsi="Book Antiqua" w:cs="Arial"/>
        </w:rPr>
      </w:pPr>
    </w:p>
    <w:p w:rsidR="005B7789" w:rsidRDefault="005B7789" w:rsidP="000369F5">
      <w:pPr>
        <w:tabs>
          <w:tab w:val="left" w:pos="2520"/>
        </w:tabs>
        <w:jc w:val="both"/>
        <w:rPr>
          <w:rFonts w:ascii="Book Antiqua" w:hAnsi="Book Antiqua" w:cs="Arial"/>
        </w:rPr>
      </w:pPr>
    </w:p>
    <w:p w:rsidR="005B7789" w:rsidRPr="00F5664C" w:rsidRDefault="005B7789" w:rsidP="005B7789">
      <w:pPr>
        <w:rPr>
          <w:rFonts w:ascii="Book Antiqua" w:hAnsi="Book Antiqua" w:cs="Arial"/>
        </w:rPr>
      </w:pPr>
    </w:p>
    <w:sectPr w:rsidR="005B7789" w:rsidRPr="00F5664C" w:rsidSect="00E35642">
      <w:headerReference w:type="default" r:id="rId8"/>
      <w:footerReference w:type="default" r:id="rId9"/>
      <w:headerReference w:type="first" r:id="rId10"/>
      <w:footerReference w:type="first" r:id="rId11"/>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2857" w:rsidRDefault="00732857">
      <w:r>
        <w:separator/>
      </w:r>
    </w:p>
  </w:endnote>
  <w:endnote w:type="continuationSeparator" w:id="0">
    <w:p w:rsidR="00732857" w:rsidRDefault="00732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2D1" w:rsidRPr="00F5664C" w:rsidRDefault="00FA52D1"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8B27BE">
      <w:rPr>
        <w:rStyle w:val="PageNumber"/>
        <w:rFonts w:ascii="Book Antiqua" w:hAnsi="Book Antiqua" w:cs="Arial"/>
        <w:noProof/>
        <w:sz w:val="16"/>
        <w:szCs w:val="16"/>
      </w:rPr>
      <w:t>7</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2D1" w:rsidRPr="00F5664C" w:rsidRDefault="00FA52D1" w:rsidP="00842418">
    <w:pPr>
      <w:jc w:val="center"/>
      <w:rPr>
        <w:rFonts w:ascii="Book Antiqua" w:hAnsi="Book Antiqua" w:cs="Arial"/>
        <w:b/>
      </w:rPr>
    </w:pPr>
    <w:r w:rsidRPr="00F5664C">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2857" w:rsidRDefault="00732857">
      <w:r>
        <w:separator/>
      </w:r>
    </w:p>
  </w:footnote>
  <w:footnote w:type="continuationSeparator" w:id="0">
    <w:p w:rsidR="00732857" w:rsidRDefault="007328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2D1" w:rsidRPr="00FD6DB8" w:rsidRDefault="00FA52D1"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 xml:space="preserve">Appeal Number: </w:t>
    </w:r>
    <w:r w:rsidRPr="00FD6DB8">
      <w:rPr>
        <w:rFonts w:ascii="Book Antiqua" w:hAnsi="Book Antiqua" w:cs="Arial"/>
        <w:sz w:val="16"/>
        <w:szCs w:val="16"/>
      </w:rPr>
      <w:t>HU/10649/2016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A52D1" w:rsidRPr="00F5664C" w:rsidRDefault="00FA52D1">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5F668EC"/>
    <w:multiLevelType w:val="multilevel"/>
    <w:tmpl w:val="FCFCD9D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4D60EB8"/>
    <w:multiLevelType w:val="multilevel"/>
    <w:tmpl w:val="AB9AA9D6"/>
    <w:lvl w:ilvl="0">
      <w:start w:val="1"/>
      <w:numFmt w:val="decimal"/>
      <w:pStyle w:val="p"/>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60B6618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5"/>
  </w:num>
  <w:num w:numId="2">
    <w:abstractNumId w:val="14"/>
  </w:num>
  <w:num w:numId="3">
    <w:abstractNumId w:val="3"/>
  </w:num>
  <w:num w:numId="4">
    <w:abstractNumId w:val="10"/>
  </w:num>
  <w:num w:numId="5">
    <w:abstractNumId w:val="19"/>
  </w:num>
  <w:num w:numId="6">
    <w:abstractNumId w:val="11"/>
  </w:num>
  <w:num w:numId="7">
    <w:abstractNumId w:val="18"/>
  </w:num>
  <w:num w:numId="8">
    <w:abstractNumId w:val="8"/>
  </w:num>
  <w:num w:numId="9">
    <w:abstractNumId w:val="7"/>
  </w:num>
  <w:num w:numId="10">
    <w:abstractNumId w:val="17"/>
  </w:num>
  <w:num w:numId="11">
    <w:abstractNumId w:val="16"/>
  </w:num>
  <w:num w:numId="12">
    <w:abstractNumId w:val="2"/>
  </w:num>
  <w:num w:numId="13">
    <w:abstractNumId w:val="15"/>
  </w:num>
  <w:num w:numId="14">
    <w:abstractNumId w:val="0"/>
  </w:num>
  <w:num w:numId="15">
    <w:abstractNumId w:val="4"/>
  </w:num>
  <w:num w:numId="16">
    <w:abstractNumId w:val="6"/>
  </w:num>
  <w:num w:numId="17">
    <w:abstractNumId w:val="12"/>
  </w:num>
  <w:num w:numId="18">
    <w:abstractNumId w:val="9"/>
  </w:num>
  <w:num w:numId="19">
    <w:abstractNumId w:val="13"/>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567"/>
  <w:noPunctuationKerning/>
  <w:characterSpacingControl w:val="doNotCompress"/>
  <w:hdrShapeDefaults>
    <o:shapedefaults v:ext="edit" spidmax="51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57AD1A16-2965-4529-8B7D-202BFAC9FDAD}"/>
    <w:docVar w:name="dgnword-eventsink" w:val="447600208"/>
  </w:docVars>
  <w:rsids>
    <w:rsidRoot w:val="00EF7C8E"/>
    <w:rsid w:val="00000621"/>
    <w:rsid w:val="000036C2"/>
    <w:rsid w:val="00033D3D"/>
    <w:rsid w:val="000369F5"/>
    <w:rsid w:val="00042918"/>
    <w:rsid w:val="00071A7E"/>
    <w:rsid w:val="000746C0"/>
    <w:rsid w:val="00074D1D"/>
    <w:rsid w:val="000860D9"/>
    <w:rsid w:val="00092580"/>
    <w:rsid w:val="000D2914"/>
    <w:rsid w:val="000D5D94"/>
    <w:rsid w:val="000E4E84"/>
    <w:rsid w:val="001022B9"/>
    <w:rsid w:val="001165A7"/>
    <w:rsid w:val="00151BB7"/>
    <w:rsid w:val="001606DE"/>
    <w:rsid w:val="00167D3A"/>
    <w:rsid w:val="00175072"/>
    <w:rsid w:val="00184ACB"/>
    <w:rsid w:val="001A0895"/>
    <w:rsid w:val="001A1E2C"/>
    <w:rsid w:val="001C42FD"/>
    <w:rsid w:val="001E01B2"/>
    <w:rsid w:val="001F2716"/>
    <w:rsid w:val="0020133A"/>
    <w:rsid w:val="00207617"/>
    <w:rsid w:val="00241A44"/>
    <w:rsid w:val="00241B28"/>
    <w:rsid w:val="00280938"/>
    <w:rsid w:val="00283659"/>
    <w:rsid w:val="002939B1"/>
    <w:rsid w:val="002B6D27"/>
    <w:rsid w:val="002C4E73"/>
    <w:rsid w:val="002D68BF"/>
    <w:rsid w:val="00303C11"/>
    <w:rsid w:val="00336CBF"/>
    <w:rsid w:val="003546C8"/>
    <w:rsid w:val="003A37B1"/>
    <w:rsid w:val="003A7CF2"/>
    <w:rsid w:val="003C5CE5"/>
    <w:rsid w:val="003E267B"/>
    <w:rsid w:val="003E7CD1"/>
    <w:rsid w:val="0040084E"/>
    <w:rsid w:val="00402B9E"/>
    <w:rsid w:val="00405524"/>
    <w:rsid w:val="00423932"/>
    <w:rsid w:val="004249CB"/>
    <w:rsid w:val="0044127D"/>
    <w:rsid w:val="004448DB"/>
    <w:rsid w:val="00446C9A"/>
    <w:rsid w:val="00473BE3"/>
    <w:rsid w:val="00477193"/>
    <w:rsid w:val="004974CF"/>
    <w:rsid w:val="004A1848"/>
    <w:rsid w:val="004D0510"/>
    <w:rsid w:val="004E2E3D"/>
    <w:rsid w:val="00502B91"/>
    <w:rsid w:val="00507FEC"/>
    <w:rsid w:val="00510529"/>
    <w:rsid w:val="00510F0E"/>
    <w:rsid w:val="005479E1"/>
    <w:rsid w:val="0055006A"/>
    <w:rsid w:val="005570FD"/>
    <w:rsid w:val="005575EA"/>
    <w:rsid w:val="0057790C"/>
    <w:rsid w:val="00581391"/>
    <w:rsid w:val="00593795"/>
    <w:rsid w:val="005A75FF"/>
    <w:rsid w:val="005B7789"/>
    <w:rsid w:val="0065791C"/>
    <w:rsid w:val="00666049"/>
    <w:rsid w:val="00671A8E"/>
    <w:rsid w:val="0068180C"/>
    <w:rsid w:val="00690B8A"/>
    <w:rsid w:val="00694C16"/>
    <w:rsid w:val="006D1DFA"/>
    <w:rsid w:val="006D506B"/>
    <w:rsid w:val="006E2E54"/>
    <w:rsid w:val="006E3C90"/>
    <w:rsid w:val="006E6AFB"/>
    <w:rsid w:val="00704B61"/>
    <w:rsid w:val="007053A3"/>
    <w:rsid w:val="00732857"/>
    <w:rsid w:val="00732B06"/>
    <w:rsid w:val="00733696"/>
    <w:rsid w:val="00742A8D"/>
    <w:rsid w:val="00747430"/>
    <w:rsid w:val="00750E0C"/>
    <w:rsid w:val="0075284C"/>
    <w:rsid w:val="007552A9"/>
    <w:rsid w:val="00761858"/>
    <w:rsid w:val="00767D59"/>
    <w:rsid w:val="00776E97"/>
    <w:rsid w:val="00780FD7"/>
    <w:rsid w:val="007912AD"/>
    <w:rsid w:val="007A1F28"/>
    <w:rsid w:val="007B0824"/>
    <w:rsid w:val="008303B8"/>
    <w:rsid w:val="00833DCE"/>
    <w:rsid w:val="00842418"/>
    <w:rsid w:val="00871D34"/>
    <w:rsid w:val="00887BA0"/>
    <w:rsid w:val="008B270C"/>
    <w:rsid w:val="008B27BE"/>
    <w:rsid w:val="008C3D3D"/>
    <w:rsid w:val="008D4131"/>
    <w:rsid w:val="008F1932"/>
    <w:rsid w:val="008F294D"/>
    <w:rsid w:val="008F54D2"/>
    <w:rsid w:val="00921062"/>
    <w:rsid w:val="0093083E"/>
    <w:rsid w:val="0093786F"/>
    <w:rsid w:val="00966ECF"/>
    <w:rsid w:val="009727A3"/>
    <w:rsid w:val="0098128D"/>
    <w:rsid w:val="00987774"/>
    <w:rsid w:val="009A11E8"/>
    <w:rsid w:val="009A6191"/>
    <w:rsid w:val="009B09E2"/>
    <w:rsid w:val="009D2410"/>
    <w:rsid w:val="009D7E97"/>
    <w:rsid w:val="009E4E62"/>
    <w:rsid w:val="009F5220"/>
    <w:rsid w:val="009F7C4D"/>
    <w:rsid w:val="00A15234"/>
    <w:rsid w:val="00A201AB"/>
    <w:rsid w:val="00A31C8B"/>
    <w:rsid w:val="00A52710"/>
    <w:rsid w:val="00A845DC"/>
    <w:rsid w:val="00A97AEE"/>
    <w:rsid w:val="00AC4D6B"/>
    <w:rsid w:val="00AC5CF6"/>
    <w:rsid w:val="00B144FA"/>
    <w:rsid w:val="00B16F58"/>
    <w:rsid w:val="00B30648"/>
    <w:rsid w:val="00B32A76"/>
    <w:rsid w:val="00B3524D"/>
    <w:rsid w:val="00B40F69"/>
    <w:rsid w:val="00B451A2"/>
    <w:rsid w:val="00B46616"/>
    <w:rsid w:val="00B610E3"/>
    <w:rsid w:val="00B61205"/>
    <w:rsid w:val="00B617C4"/>
    <w:rsid w:val="00B626FA"/>
    <w:rsid w:val="00B7040A"/>
    <w:rsid w:val="00B85F57"/>
    <w:rsid w:val="00B96FA0"/>
    <w:rsid w:val="00BA7C9E"/>
    <w:rsid w:val="00BB4CDA"/>
    <w:rsid w:val="00BD4196"/>
    <w:rsid w:val="00BF22CA"/>
    <w:rsid w:val="00BF5BA8"/>
    <w:rsid w:val="00C1440A"/>
    <w:rsid w:val="00C26032"/>
    <w:rsid w:val="00C265B0"/>
    <w:rsid w:val="00C321B5"/>
    <w:rsid w:val="00C33F41"/>
    <w:rsid w:val="00C345E1"/>
    <w:rsid w:val="00C4447D"/>
    <w:rsid w:val="00C811CB"/>
    <w:rsid w:val="00C90E27"/>
    <w:rsid w:val="00C94226"/>
    <w:rsid w:val="00C977BA"/>
    <w:rsid w:val="00CA519C"/>
    <w:rsid w:val="00CB6E35"/>
    <w:rsid w:val="00CC4699"/>
    <w:rsid w:val="00CE1A46"/>
    <w:rsid w:val="00CF20DB"/>
    <w:rsid w:val="00CF253F"/>
    <w:rsid w:val="00CF56B4"/>
    <w:rsid w:val="00CF7E9F"/>
    <w:rsid w:val="00D044DC"/>
    <w:rsid w:val="00D159E8"/>
    <w:rsid w:val="00D20F09"/>
    <w:rsid w:val="00D21EC2"/>
    <w:rsid w:val="00D22636"/>
    <w:rsid w:val="00D22AE0"/>
    <w:rsid w:val="00D371C7"/>
    <w:rsid w:val="00D40FD9"/>
    <w:rsid w:val="00D53769"/>
    <w:rsid w:val="00D71108"/>
    <w:rsid w:val="00D71973"/>
    <w:rsid w:val="00D85C13"/>
    <w:rsid w:val="00D91BE3"/>
    <w:rsid w:val="00D94AFC"/>
    <w:rsid w:val="00DB70AE"/>
    <w:rsid w:val="00DB7231"/>
    <w:rsid w:val="00DD5071"/>
    <w:rsid w:val="00DD5C39"/>
    <w:rsid w:val="00DE26AF"/>
    <w:rsid w:val="00DE7DB7"/>
    <w:rsid w:val="00E00A0A"/>
    <w:rsid w:val="00E07F57"/>
    <w:rsid w:val="00E35642"/>
    <w:rsid w:val="00E50BCE"/>
    <w:rsid w:val="00E61292"/>
    <w:rsid w:val="00E72B54"/>
    <w:rsid w:val="00E75017"/>
    <w:rsid w:val="00E76309"/>
    <w:rsid w:val="00E77C4D"/>
    <w:rsid w:val="00E81D01"/>
    <w:rsid w:val="00EE45D8"/>
    <w:rsid w:val="00EF7666"/>
    <w:rsid w:val="00EF7C8E"/>
    <w:rsid w:val="00F004CD"/>
    <w:rsid w:val="00F22EDA"/>
    <w:rsid w:val="00F3224D"/>
    <w:rsid w:val="00F33E0E"/>
    <w:rsid w:val="00F46F12"/>
    <w:rsid w:val="00F5664C"/>
    <w:rsid w:val="00F610A9"/>
    <w:rsid w:val="00FA37F8"/>
    <w:rsid w:val="00FA52D1"/>
    <w:rsid w:val="00FB7E80"/>
    <w:rsid w:val="00FD6996"/>
    <w:rsid w:val="00FD6DB8"/>
    <w:rsid w:val="00FF0BFB"/>
    <w:rsid w:val="00FF5F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5121"/>
    <o:shapelayout v:ext="edit">
      <o:idmap v:ext="edit" data="1"/>
    </o:shapelayout>
  </w:shapeDefaults>
  <w:decimalSymbol w:val="."/>
  <w:listSeparator w:val=","/>
  <w14:docId w14:val="759BD2F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rsid w:val="005B7789"/>
    <w:rPr>
      <w:color w:val="0000FF"/>
      <w:u w:val="single"/>
    </w:rPr>
  </w:style>
  <w:style w:type="paragraph" w:customStyle="1" w:styleId="p">
    <w:name w:val="p"/>
    <w:basedOn w:val="Normal"/>
    <w:rsid w:val="00FA37F8"/>
    <w:pPr>
      <w:numPr>
        <w:numId w:val="3"/>
      </w:numPr>
      <w:spacing w:before="240"/>
      <w:jc w:val="both"/>
    </w:pPr>
    <w:rPr>
      <w:rFonts w:ascii="Book Antiqua" w:hAnsi="Book Antiqua" w:cs="Arial"/>
    </w:rPr>
  </w:style>
  <w:style w:type="paragraph" w:customStyle="1" w:styleId="q">
    <w:name w:val="q"/>
    <w:basedOn w:val="Normal"/>
    <w:rsid w:val="009D7E97"/>
    <w:pPr>
      <w:spacing w:before="240"/>
      <w:ind w:left="1134"/>
      <w:jc w:val="both"/>
    </w:pPr>
    <w:rPr>
      <w:rFonts w:ascii="Book Antiqua" w:hAnsi="Book Antiqua" w:cs="Arial"/>
    </w:rPr>
  </w:style>
  <w:style w:type="paragraph" w:customStyle="1" w:styleId="qn">
    <w:name w:val="qn"/>
    <w:basedOn w:val="p"/>
    <w:rsid w:val="009D7E97"/>
    <w:pPr>
      <w:numPr>
        <w:numId w:val="0"/>
      </w:numPr>
      <w:ind w:left="1701" w:hanging="567"/>
    </w:pPr>
  </w:style>
  <w:style w:type="paragraph" w:customStyle="1" w:styleId="un">
    <w:name w:val="un"/>
    <w:basedOn w:val="q"/>
    <w:rsid w:val="009D7E97"/>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2904</Words>
  <Characters>13844</Characters>
  <Application>Microsoft Office Word</Application>
  <DocSecurity>0</DocSecurity>
  <Lines>115</Lines>
  <Paragraphs>33</Paragraphs>
  <ScaleCrop>false</ScaleCrop>
  <Company/>
  <LinksUpToDate>false</LinksUpToDate>
  <CharactersWithSpaces>16715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2018-06-06T09:58:00Z</dcterms:created>
  <dcterms:modified xsi:type="dcterms:W3CDTF">2018-06-06T09:58:00Z</dcterms:modified>
</cp:coreProperties>
</file>