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8EF0C" w14:textId="279B642C" w:rsidR="00C757AA" w:rsidRPr="00AE6DDE" w:rsidRDefault="00231B99" w:rsidP="0050388A">
      <w:pPr>
        <w:jc w:val="center"/>
        <w:rPr>
          <w:rFonts w:ascii="Book Antiqua" w:hAnsi="Book Antiqua" w:cs="Arial"/>
          <w:caps/>
          <w:color w:val="000000"/>
          <w:sz w:val="16"/>
          <w:szCs w:val="16"/>
        </w:rPr>
      </w:pPr>
      <w:r>
        <w:rPr>
          <w:noProof/>
        </w:rPr>
        <w:drawing>
          <wp:inline distT="0" distB="0" distL="0" distR="0" wp14:anchorId="57E4C36F" wp14:editId="44FFE25A">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6FF77D64" w14:textId="77777777" w:rsidR="00C757AA" w:rsidRPr="00AE6DDE" w:rsidRDefault="00C757AA">
      <w:pPr>
        <w:rPr>
          <w:rFonts w:ascii="Book Antiqua" w:hAnsi="Book Antiqua" w:cs="Arial"/>
          <w:color w:val="000000"/>
        </w:rPr>
      </w:pPr>
    </w:p>
    <w:p w14:paraId="049263F6" w14:textId="77777777" w:rsidR="00C757AA" w:rsidRPr="002630D9" w:rsidRDefault="00C757AA" w:rsidP="002630D9">
      <w:pPr>
        <w:tabs>
          <w:tab w:val="right" w:pos="9720"/>
        </w:tabs>
        <w:spacing w:line="360" w:lineRule="auto"/>
        <w:ind w:right="-82"/>
        <w:rPr>
          <w:rFonts w:cs="Arial"/>
          <w:b/>
          <w:color w:val="000000"/>
        </w:rPr>
      </w:pPr>
      <w:smartTag w:uri="urn:schemas-microsoft-com:office:smarttags" w:element="PersonName">
        <w:r w:rsidRPr="002630D9">
          <w:rPr>
            <w:rFonts w:cs="Arial"/>
            <w:b/>
            <w:color w:val="000000"/>
          </w:rPr>
          <w:t>Upper Tribunal</w:t>
        </w:r>
      </w:smartTag>
      <w:r w:rsidRPr="002630D9">
        <w:rPr>
          <w:rFonts w:cs="Arial"/>
          <w:b/>
          <w:color w:val="000000"/>
        </w:rPr>
        <w:t xml:space="preserve"> </w:t>
      </w:r>
    </w:p>
    <w:p w14:paraId="7F1186F1" w14:textId="77777777" w:rsidR="00C757AA" w:rsidRDefault="00C757AA" w:rsidP="002630D9">
      <w:pPr>
        <w:tabs>
          <w:tab w:val="right" w:pos="9720"/>
        </w:tabs>
        <w:spacing w:line="360" w:lineRule="auto"/>
        <w:ind w:right="-82"/>
        <w:rPr>
          <w:rFonts w:cs="Arial"/>
          <w:b/>
          <w:color w:val="000000"/>
        </w:rPr>
      </w:pPr>
      <w:r w:rsidRPr="002630D9">
        <w:rPr>
          <w:rFonts w:cs="Arial"/>
          <w:b/>
          <w:color w:val="000000"/>
        </w:rPr>
        <w:t>(Immigration and Asylum Chamber)</w:t>
      </w:r>
      <w:r w:rsidRPr="002630D9">
        <w:rPr>
          <w:rFonts w:cs="Arial"/>
          <w:b/>
          <w:color w:val="000000"/>
        </w:rPr>
        <w:tab/>
      </w:r>
      <w:r>
        <w:rPr>
          <w:rFonts w:cs="Arial"/>
          <w:b/>
          <w:color w:val="000000"/>
        </w:rPr>
        <w:t>Appeal Number: HU/10981/2016</w:t>
      </w:r>
    </w:p>
    <w:p w14:paraId="5E72BCB1" w14:textId="04A40C1D" w:rsidR="00C757AA" w:rsidRPr="00025E48" w:rsidRDefault="00C757AA" w:rsidP="002630D9">
      <w:pPr>
        <w:tabs>
          <w:tab w:val="right" w:pos="9720"/>
        </w:tabs>
        <w:spacing w:line="360" w:lineRule="auto"/>
        <w:ind w:right="-82"/>
        <w:rPr>
          <w:rFonts w:cs="Arial"/>
          <w:b/>
          <w:color w:val="000000"/>
        </w:rPr>
      </w:pPr>
      <w:r>
        <w:rPr>
          <w:rFonts w:cs="Arial"/>
          <w:b/>
          <w:color w:val="000000"/>
        </w:rPr>
        <w:t xml:space="preserve">                                                                                                                                       </w:t>
      </w:r>
      <w:r w:rsidR="00D41E9C">
        <w:rPr>
          <w:rFonts w:cs="Arial"/>
          <w:b/>
          <w:color w:val="000000"/>
        </w:rPr>
        <w:t>H</w:t>
      </w:r>
      <w:r>
        <w:rPr>
          <w:rFonts w:cs="Arial"/>
          <w:b/>
          <w:color w:val="000000"/>
        </w:rPr>
        <w:t>U/10986/2016</w:t>
      </w:r>
    </w:p>
    <w:p w14:paraId="72BDB6ED" w14:textId="77777777" w:rsidR="00C757AA" w:rsidRPr="00025E48" w:rsidRDefault="00C757AA" w:rsidP="002630D9">
      <w:pPr>
        <w:spacing w:line="360" w:lineRule="auto"/>
        <w:jc w:val="center"/>
        <w:rPr>
          <w:rFonts w:cs="Arial"/>
          <w:b/>
          <w:color w:val="000000"/>
          <w:u w:val="single"/>
        </w:rPr>
      </w:pPr>
      <w:r w:rsidRPr="00025E48">
        <w:rPr>
          <w:rFonts w:cs="Arial"/>
          <w:b/>
          <w:color w:val="000000"/>
          <w:u w:val="single"/>
        </w:rPr>
        <w:t>THE IMMIGRATION ACTS</w:t>
      </w:r>
    </w:p>
    <w:p w14:paraId="731FA020" w14:textId="77777777" w:rsidR="00C757AA" w:rsidRPr="002630D9" w:rsidRDefault="00C757AA" w:rsidP="002630D9">
      <w:pPr>
        <w:spacing w:line="360" w:lineRule="auto"/>
        <w:jc w:val="center"/>
        <w:rPr>
          <w:rFonts w:cs="Arial"/>
          <w:b/>
          <w:u w:val="single"/>
        </w:rPr>
      </w:pPr>
    </w:p>
    <w:tbl>
      <w:tblPr>
        <w:tblW w:w="0" w:type="auto"/>
        <w:tblLook w:val="01E0" w:firstRow="1" w:lastRow="1" w:firstColumn="1" w:lastColumn="1" w:noHBand="0" w:noVBand="0"/>
      </w:tblPr>
      <w:tblGrid>
        <w:gridCol w:w="5740"/>
        <w:gridCol w:w="3898"/>
      </w:tblGrid>
      <w:tr w:rsidR="00C757AA" w:rsidRPr="002630D9" w14:paraId="2AF92CE1" w14:textId="77777777" w:rsidTr="00953E15">
        <w:tc>
          <w:tcPr>
            <w:tcW w:w="5868" w:type="dxa"/>
          </w:tcPr>
          <w:p w14:paraId="5065FFFC" w14:textId="77777777" w:rsidR="00C757AA" w:rsidRDefault="00C757AA" w:rsidP="002630D9">
            <w:pPr>
              <w:spacing w:line="360" w:lineRule="auto"/>
              <w:jc w:val="both"/>
              <w:rPr>
                <w:rFonts w:cs="Arial"/>
                <w:b/>
              </w:rPr>
            </w:pPr>
            <w:r w:rsidRPr="002630D9">
              <w:rPr>
                <w:rFonts w:cs="Arial"/>
                <w:b/>
              </w:rPr>
              <w:t xml:space="preserve">Heard at </w:t>
            </w:r>
            <w:r>
              <w:rPr>
                <w:rFonts w:cs="Arial"/>
                <w:b/>
              </w:rPr>
              <w:t>Field House</w:t>
            </w:r>
          </w:p>
          <w:p w14:paraId="1F4ED98C" w14:textId="543EF906" w:rsidR="00494FBC" w:rsidRPr="002630D9" w:rsidRDefault="00494FBC" w:rsidP="002630D9">
            <w:pPr>
              <w:spacing w:line="360" w:lineRule="auto"/>
              <w:jc w:val="both"/>
              <w:rPr>
                <w:rFonts w:cs="Arial"/>
                <w:b/>
              </w:rPr>
            </w:pPr>
            <w:r>
              <w:rPr>
                <w:rFonts w:cs="Arial"/>
                <w:b/>
              </w:rPr>
              <w:t>On 18 May 2018</w:t>
            </w:r>
          </w:p>
        </w:tc>
        <w:tc>
          <w:tcPr>
            <w:tcW w:w="3960" w:type="dxa"/>
          </w:tcPr>
          <w:p w14:paraId="730F0AAD" w14:textId="77777777" w:rsidR="00C757AA" w:rsidRDefault="00C757AA" w:rsidP="002630D9">
            <w:pPr>
              <w:spacing w:line="360" w:lineRule="auto"/>
              <w:jc w:val="both"/>
              <w:rPr>
                <w:rFonts w:cs="Arial"/>
                <w:b/>
                <w:color w:val="000000"/>
              </w:rPr>
            </w:pPr>
            <w:r w:rsidRPr="002630D9">
              <w:rPr>
                <w:rFonts w:cs="Arial"/>
                <w:b/>
                <w:color w:val="000000"/>
              </w:rPr>
              <w:t>Decision &amp; Reasons Promulgated</w:t>
            </w:r>
          </w:p>
          <w:p w14:paraId="2EFC9552" w14:textId="62F98AD0" w:rsidR="00494FBC" w:rsidRPr="002630D9" w:rsidRDefault="00494FBC" w:rsidP="002630D9">
            <w:pPr>
              <w:spacing w:line="360" w:lineRule="auto"/>
              <w:jc w:val="both"/>
              <w:rPr>
                <w:rFonts w:cs="Arial"/>
                <w:b/>
                <w:color w:val="000000"/>
              </w:rPr>
            </w:pPr>
            <w:r>
              <w:rPr>
                <w:rFonts w:cs="Arial"/>
                <w:b/>
                <w:color w:val="000000"/>
              </w:rPr>
              <w:t>On 23 May 2018</w:t>
            </w:r>
          </w:p>
        </w:tc>
      </w:tr>
      <w:tr w:rsidR="00C757AA" w:rsidRPr="002630D9" w14:paraId="71DD0A77" w14:textId="77777777" w:rsidTr="00953E15">
        <w:tc>
          <w:tcPr>
            <w:tcW w:w="5868" w:type="dxa"/>
          </w:tcPr>
          <w:p w14:paraId="343B6F28" w14:textId="764675D1" w:rsidR="00C757AA" w:rsidRPr="002630D9" w:rsidRDefault="00C757AA" w:rsidP="002630D9">
            <w:pPr>
              <w:spacing w:line="360" w:lineRule="auto"/>
              <w:jc w:val="both"/>
              <w:rPr>
                <w:rFonts w:cs="Arial"/>
                <w:b/>
              </w:rPr>
            </w:pPr>
          </w:p>
        </w:tc>
        <w:tc>
          <w:tcPr>
            <w:tcW w:w="3960" w:type="dxa"/>
          </w:tcPr>
          <w:p w14:paraId="67242CF1" w14:textId="77777777" w:rsidR="00C757AA" w:rsidRPr="002630D9" w:rsidRDefault="00C757AA" w:rsidP="002630D9">
            <w:pPr>
              <w:spacing w:line="360" w:lineRule="auto"/>
              <w:jc w:val="both"/>
              <w:rPr>
                <w:rFonts w:cs="Arial"/>
                <w:b/>
              </w:rPr>
            </w:pPr>
          </w:p>
        </w:tc>
      </w:tr>
      <w:tr w:rsidR="00C757AA" w:rsidRPr="002630D9" w14:paraId="70E65ABE" w14:textId="77777777" w:rsidTr="00953E15">
        <w:tc>
          <w:tcPr>
            <w:tcW w:w="5868" w:type="dxa"/>
          </w:tcPr>
          <w:p w14:paraId="47E76D2B" w14:textId="77777777" w:rsidR="00C757AA" w:rsidRPr="002630D9" w:rsidRDefault="00C757AA" w:rsidP="002630D9">
            <w:pPr>
              <w:spacing w:line="360" w:lineRule="auto"/>
              <w:jc w:val="both"/>
              <w:rPr>
                <w:rFonts w:cs="Arial"/>
                <w:b/>
              </w:rPr>
            </w:pPr>
          </w:p>
        </w:tc>
        <w:tc>
          <w:tcPr>
            <w:tcW w:w="3960" w:type="dxa"/>
          </w:tcPr>
          <w:p w14:paraId="1453E0DE" w14:textId="70053350" w:rsidR="00C757AA" w:rsidRPr="002630D9" w:rsidRDefault="00C757AA" w:rsidP="002630D9">
            <w:pPr>
              <w:spacing w:line="360" w:lineRule="auto"/>
              <w:jc w:val="both"/>
              <w:rPr>
                <w:rFonts w:cs="Arial"/>
                <w:b/>
              </w:rPr>
            </w:pPr>
          </w:p>
        </w:tc>
      </w:tr>
    </w:tbl>
    <w:p w14:paraId="7D3FD83E" w14:textId="77777777" w:rsidR="00C757AA" w:rsidRPr="0076667E" w:rsidRDefault="00C757AA" w:rsidP="002630D9">
      <w:pPr>
        <w:spacing w:line="360" w:lineRule="auto"/>
        <w:jc w:val="center"/>
        <w:rPr>
          <w:rFonts w:cs="Arial"/>
          <w:b/>
          <w:u w:val="single"/>
        </w:rPr>
      </w:pPr>
      <w:r w:rsidRPr="0076667E">
        <w:rPr>
          <w:rFonts w:cs="Arial"/>
          <w:b/>
          <w:u w:val="single"/>
        </w:rPr>
        <w:t>Before</w:t>
      </w:r>
    </w:p>
    <w:p w14:paraId="1557CB32" w14:textId="77777777" w:rsidR="00C757AA" w:rsidRPr="002630D9" w:rsidRDefault="00C757AA" w:rsidP="002630D9">
      <w:pPr>
        <w:spacing w:line="360" w:lineRule="auto"/>
        <w:jc w:val="center"/>
        <w:rPr>
          <w:rFonts w:cs="Arial"/>
          <w:b/>
          <w:color w:val="000000"/>
        </w:rPr>
      </w:pPr>
      <w:r w:rsidRPr="002630D9">
        <w:rPr>
          <w:rFonts w:cs="Arial"/>
          <w:b/>
          <w:color w:val="000000"/>
        </w:rPr>
        <w:t>UPPER TRIBUNAL JUDGE FINCH</w:t>
      </w:r>
    </w:p>
    <w:p w14:paraId="641AFCA0" w14:textId="77777777" w:rsidR="00C757AA" w:rsidRDefault="00C757AA" w:rsidP="002630D9">
      <w:pPr>
        <w:spacing w:line="360" w:lineRule="auto"/>
        <w:jc w:val="center"/>
        <w:rPr>
          <w:rFonts w:cs="Arial"/>
          <w:b/>
        </w:rPr>
      </w:pPr>
      <w:r w:rsidRPr="002630D9">
        <w:rPr>
          <w:rFonts w:cs="Arial"/>
          <w:b/>
        </w:rPr>
        <w:t>Between</w:t>
      </w:r>
    </w:p>
    <w:p w14:paraId="7D02C024" w14:textId="7A81B389" w:rsidR="00C757AA" w:rsidRDefault="00D41E9C" w:rsidP="002630D9">
      <w:pPr>
        <w:spacing w:line="360" w:lineRule="auto"/>
        <w:jc w:val="center"/>
        <w:rPr>
          <w:rFonts w:cs="Arial"/>
          <w:b/>
        </w:rPr>
      </w:pPr>
      <w:r>
        <w:rPr>
          <w:rFonts w:cs="Arial"/>
          <w:b/>
        </w:rPr>
        <w:t>BIJAYA RAI</w:t>
      </w:r>
    </w:p>
    <w:p w14:paraId="5CD1792B" w14:textId="71180E38" w:rsidR="00D41E9C" w:rsidRDefault="00D41E9C" w:rsidP="002630D9">
      <w:pPr>
        <w:spacing w:line="360" w:lineRule="auto"/>
        <w:jc w:val="center"/>
        <w:rPr>
          <w:rFonts w:cs="Arial"/>
          <w:b/>
        </w:rPr>
      </w:pPr>
      <w:r>
        <w:rPr>
          <w:rFonts w:cs="Arial"/>
          <w:b/>
        </w:rPr>
        <w:t>BABIN RAI</w:t>
      </w:r>
    </w:p>
    <w:p w14:paraId="6D922F52" w14:textId="45567598" w:rsidR="00C757AA" w:rsidRPr="00EE6411" w:rsidRDefault="00C757AA" w:rsidP="002630D9">
      <w:pPr>
        <w:spacing w:line="360" w:lineRule="auto"/>
        <w:jc w:val="center"/>
        <w:rPr>
          <w:rFonts w:cs="Arial"/>
          <w:b/>
          <w:u w:val="single"/>
        </w:rPr>
      </w:pPr>
      <w:r>
        <w:rPr>
          <w:rFonts w:cs="Arial"/>
          <w:b/>
        </w:rPr>
        <w:t xml:space="preserve">                                                                                                                                  </w:t>
      </w:r>
      <w:r w:rsidRPr="00EE6411">
        <w:rPr>
          <w:rFonts w:cs="Arial"/>
          <w:b/>
          <w:u w:val="single"/>
        </w:rPr>
        <w:t>Appellant</w:t>
      </w:r>
      <w:r w:rsidR="00D41E9C">
        <w:rPr>
          <w:rFonts w:cs="Arial"/>
          <w:b/>
          <w:u w:val="single"/>
        </w:rPr>
        <w:t>s</w:t>
      </w:r>
      <w:r w:rsidRPr="00EE6411">
        <w:rPr>
          <w:rFonts w:cs="Arial"/>
          <w:b/>
          <w:u w:val="single"/>
        </w:rPr>
        <w:t xml:space="preserve"> </w:t>
      </w:r>
    </w:p>
    <w:p w14:paraId="34B047B3" w14:textId="6324396D" w:rsidR="00C757AA" w:rsidRDefault="00D41E9C" w:rsidP="002630D9">
      <w:pPr>
        <w:spacing w:line="360" w:lineRule="auto"/>
        <w:jc w:val="center"/>
        <w:rPr>
          <w:rFonts w:cs="Arial"/>
          <w:b/>
        </w:rPr>
      </w:pPr>
      <w:r>
        <w:rPr>
          <w:rFonts w:cs="Arial"/>
          <w:b/>
        </w:rPr>
        <w:t>-and-</w:t>
      </w:r>
    </w:p>
    <w:p w14:paraId="7FBBE495" w14:textId="77777777" w:rsidR="00D41E9C" w:rsidRDefault="00D41E9C" w:rsidP="002630D9">
      <w:pPr>
        <w:spacing w:line="360" w:lineRule="auto"/>
        <w:jc w:val="center"/>
        <w:rPr>
          <w:rFonts w:cs="Arial"/>
          <w:b/>
        </w:rPr>
      </w:pPr>
    </w:p>
    <w:p w14:paraId="69BB7AF0" w14:textId="477FD464" w:rsidR="00C757AA" w:rsidRDefault="00D41E9C" w:rsidP="002630D9">
      <w:pPr>
        <w:spacing w:line="360" w:lineRule="auto"/>
        <w:jc w:val="center"/>
        <w:rPr>
          <w:rFonts w:cs="Arial"/>
          <w:b/>
        </w:rPr>
      </w:pPr>
      <w:r>
        <w:rPr>
          <w:rFonts w:cs="Arial"/>
          <w:b/>
        </w:rPr>
        <w:t>ENTRY CLEARANCE OFFICER, NEW DELHI</w:t>
      </w:r>
      <w:r w:rsidR="00C757AA" w:rsidRPr="002630D9">
        <w:rPr>
          <w:rFonts w:cs="Arial"/>
          <w:b/>
        </w:rPr>
        <w:t xml:space="preserve"> </w:t>
      </w:r>
    </w:p>
    <w:p w14:paraId="58682C04" w14:textId="5279BBFD" w:rsidR="00C757AA" w:rsidRPr="00EE6411" w:rsidRDefault="00C757AA" w:rsidP="002630D9">
      <w:pPr>
        <w:spacing w:line="360" w:lineRule="auto"/>
        <w:jc w:val="center"/>
        <w:rPr>
          <w:rFonts w:cs="Arial"/>
          <w:b/>
          <w:u w:val="single"/>
        </w:rPr>
      </w:pPr>
      <w:r>
        <w:rPr>
          <w:rFonts w:cs="Arial"/>
          <w:b/>
        </w:rPr>
        <w:t xml:space="preserve">                                                                                                                                     </w:t>
      </w:r>
      <w:r w:rsidR="00D41E9C">
        <w:rPr>
          <w:rFonts w:cs="Arial"/>
          <w:b/>
          <w:u w:val="single"/>
        </w:rPr>
        <w:t>Respondent</w:t>
      </w:r>
    </w:p>
    <w:p w14:paraId="2F6D85B2" w14:textId="77777777" w:rsidR="00C757AA" w:rsidRPr="002630D9" w:rsidRDefault="00C757AA" w:rsidP="002630D9">
      <w:pPr>
        <w:spacing w:line="360" w:lineRule="auto"/>
        <w:rPr>
          <w:rFonts w:cs="Arial"/>
        </w:rPr>
      </w:pPr>
      <w:r w:rsidRPr="002630D9">
        <w:rPr>
          <w:rFonts w:cs="Arial"/>
          <w:b/>
          <w:u w:val="single"/>
        </w:rPr>
        <w:t>Representation</w:t>
      </w:r>
      <w:r w:rsidRPr="002630D9">
        <w:rPr>
          <w:rFonts w:cs="Arial"/>
          <w:b/>
        </w:rPr>
        <w:t>:</w:t>
      </w:r>
      <w:r>
        <w:rPr>
          <w:rFonts w:cs="Arial"/>
          <w:b/>
        </w:rPr>
        <w:t xml:space="preserve"> </w:t>
      </w:r>
    </w:p>
    <w:p w14:paraId="17AEDB41" w14:textId="539D4B2B" w:rsidR="00C757AA" w:rsidRPr="002630D9" w:rsidRDefault="00C757AA" w:rsidP="002630D9">
      <w:pPr>
        <w:tabs>
          <w:tab w:val="left" w:pos="2520"/>
        </w:tabs>
        <w:spacing w:line="360" w:lineRule="auto"/>
        <w:rPr>
          <w:rFonts w:cs="Arial"/>
        </w:rPr>
      </w:pPr>
      <w:r w:rsidRPr="002630D9">
        <w:rPr>
          <w:rFonts w:cs="Arial"/>
        </w:rPr>
        <w:t>For the Appellant:</w:t>
      </w:r>
      <w:r w:rsidRPr="002630D9">
        <w:rPr>
          <w:rFonts w:cs="Arial"/>
        </w:rPr>
        <w:tab/>
      </w:r>
      <w:r>
        <w:rPr>
          <w:rFonts w:cs="Arial"/>
        </w:rPr>
        <w:tab/>
      </w:r>
      <w:r>
        <w:rPr>
          <w:rFonts w:cs="Arial"/>
        </w:rPr>
        <w:tab/>
      </w:r>
      <w:r w:rsidR="00D41E9C">
        <w:rPr>
          <w:rFonts w:cs="Arial"/>
        </w:rPr>
        <w:t xml:space="preserve">Mr. A. Jaffar, direct access </w:t>
      </w:r>
      <w:r w:rsidR="00405037">
        <w:rPr>
          <w:rFonts w:cs="Arial"/>
        </w:rPr>
        <w:t xml:space="preserve">counsel </w:t>
      </w:r>
      <w:r>
        <w:rPr>
          <w:rFonts w:cs="Arial"/>
        </w:rPr>
        <w:t xml:space="preserve">  </w:t>
      </w:r>
    </w:p>
    <w:p w14:paraId="2A1DFB12" w14:textId="2031DD53" w:rsidR="00C757AA" w:rsidRDefault="00C757AA" w:rsidP="002630D9">
      <w:pPr>
        <w:tabs>
          <w:tab w:val="left" w:pos="2520"/>
        </w:tabs>
        <w:spacing w:line="360" w:lineRule="auto"/>
        <w:rPr>
          <w:rFonts w:cs="Arial"/>
        </w:rPr>
      </w:pPr>
      <w:r w:rsidRPr="002630D9">
        <w:rPr>
          <w:rFonts w:cs="Arial"/>
        </w:rPr>
        <w:t>For the Respondent:</w:t>
      </w:r>
      <w:r w:rsidRPr="002630D9">
        <w:rPr>
          <w:rFonts w:cs="Arial"/>
        </w:rPr>
        <w:tab/>
      </w:r>
      <w:r>
        <w:rPr>
          <w:rFonts w:cs="Arial"/>
        </w:rPr>
        <w:t xml:space="preserve">              </w:t>
      </w:r>
      <w:r w:rsidR="00D41E9C">
        <w:rPr>
          <w:rFonts w:cs="Arial"/>
        </w:rPr>
        <w:t xml:space="preserve">Mr. L. </w:t>
      </w:r>
      <w:proofErr w:type="spellStart"/>
      <w:r w:rsidR="00D41E9C">
        <w:rPr>
          <w:rFonts w:cs="Arial"/>
        </w:rPr>
        <w:t>Tarlow</w:t>
      </w:r>
      <w:proofErr w:type="spellEnd"/>
      <w:r w:rsidR="00D41E9C">
        <w:rPr>
          <w:rFonts w:cs="Arial"/>
        </w:rPr>
        <w:t xml:space="preserve">, </w:t>
      </w:r>
      <w:r w:rsidR="00405037">
        <w:rPr>
          <w:rFonts w:cs="Arial"/>
        </w:rPr>
        <w:t>Home Office Presenting Officer</w:t>
      </w:r>
      <w:r>
        <w:rPr>
          <w:rFonts w:cs="Arial"/>
        </w:rPr>
        <w:t xml:space="preserve"> </w:t>
      </w:r>
    </w:p>
    <w:p w14:paraId="5B35ACB1" w14:textId="77777777" w:rsidR="00C757AA" w:rsidRPr="002630D9" w:rsidRDefault="00C757AA" w:rsidP="002630D9">
      <w:pPr>
        <w:tabs>
          <w:tab w:val="left" w:pos="2520"/>
        </w:tabs>
        <w:spacing w:line="360" w:lineRule="auto"/>
        <w:rPr>
          <w:rFonts w:cs="Arial"/>
        </w:rPr>
      </w:pPr>
    </w:p>
    <w:p w14:paraId="352EE342" w14:textId="77777777" w:rsidR="00C757AA" w:rsidRPr="002630D9" w:rsidRDefault="00C757AA" w:rsidP="002630D9">
      <w:pPr>
        <w:spacing w:line="360" w:lineRule="auto"/>
        <w:jc w:val="center"/>
        <w:rPr>
          <w:rFonts w:cs="Arial"/>
        </w:rPr>
      </w:pPr>
      <w:r w:rsidRPr="002630D9">
        <w:rPr>
          <w:rFonts w:cs="Arial"/>
          <w:b/>
          <w:u w:val="single"/>
        </w:rPr>
        <w:t>DECISION AND REASONS</w:t>
      </w:r>
    </w:p>
    <w:p w14:paraId="62D13676" w14:textId="77777777" w:rsidR="00C757AA" w:rsidRPr="00303BAF" w:rsidRDefault="00C757AA" w:rsidP="002630D9">
      <w:pPr>
        <w:spacing w:line="360" w:lineRule="auto"/>
        <w:jc w:val="both"/>
        <w:rPr>
          <w:rFonts w:cs="Arial"/>
          <w:b/>
        </w:rPr>
      </w:pPr>
      <w:r>
        <w:rPr>
          <w:rFonts w:cs="Arial"/>
          <w:b/>
        </w:rPr>
        <w:t xml:space="preserve">                                                                                                                                                                                                                                                                                                                                                                                                                                                            </w:t>
      </w:r>
    </w:p>
    <w:p w14:paraId="0F2344C1" w14:textId="2DAA1572" w:rsidR="00C757AA" w:rsidRDefault="00C757AA" w:rsidP="002630D9">
      <w:pPr>
        <w:spacing w:line="360" w:lineRule="auto"/>
        <w:jc w:val="both"/>
        <w:rPr>
          <w:rFonts w:cs="Arial"/>
          <w:b/>
        </w:rPr>
      </w:pPr>
      <w:r w:rsidRPr="009D341B">
        <w:rPr>
          <w:rFonts w:cs="Arial"/>
          <w:b/>
        </w:rPr>
        <w:t xml:space="preserve">BACKGROUND TO THE APPEAL </w:t>
      </w:r>
    </w:p>
    <w:p w14:paraId="71058B4E" w14:textId="7CBE27D1" w:rsidR="00405037" w:rsidRDefault="00405037" w:rsidP="002630D9">
      <w:pPr>
        <w:spacing w:line="360" w:lineRule="auto"/>
        <w:jc w:val="both"/>
        <w:rPr>
          <w:rFonts w:cs="Arial"/>
          <w:b/>
        </w:rPr>
      </w:pPr>
    </w:p>
    <w:p w14:paraId="52587024" w14:textId="1292BD1B" w:rsidR="00C757AA" w:rsidRPr="00D41E9C" w:rsidRDefault="00D41E9C" w:rsidP="00D41E9C">
      <w:pPr>
        <w:spacing w:line="360" w:lineRule="auto"/>
        <w:ind w:left="567" w:hanging="567"/>
        <w:jc w:val="both"/>
        <w:rPr>
          <w:rFonts w:cs="Arial"/>
          <w:b/>
        </w:rPr>
      </w:pPr>
      <w:r w:rsidRPr="00D41E9C">
        <w:rPr>
          <w:rFonts w:cs="Arial"/>
        </w:rPr>
        <w:t>1.</w:t>
      </w:r>
      <w:r>
        <w:rPr>
          <w:rFonts w:cs="Arial"/>
        </w:rPr>
        <w:tab/>
        <w:t>The 1</w:t>
      </w:r>
      <w:r w:rsidRPr="00D41E9C">
        <w:rPr>
          <w:rFonts w:cs="Arial"/>
          <w:vertAlign w:val="superscript"/>
        </w:rPr>
        <w:t>st</w:t>
      </w:r>
      <w:r>
        <w:rPr>
          <w:rFonts w:cs="Arial"/>
        </w:rPr>
        <w:t xml:space="preserve"> Appellant</w:t>
      </w:r>
      <w:r w:rsidR="00C757AA" w:rsidRPr="00D41E9C">
        <w:rPr>
          <w:rFonts w:cs="Arial"/>
        </w:rPr>
        <w:t>, who was born on 13 August 1985, and the 2</w:t>
      </w:r>
      <w:r w:rsidR="00C757AA" w:rsidRPr="00D41E9C">
        <w:rPr>
          <w:rFonts w:cs="Arial"/>
          <w:vertAlign w:val="superscript"/>
        </w:rPr>
        <w:t>nd</w:t>
      </w:r>
      <w:r w:rsidR="00C757AA" w:rsidRPr="00D41E9C">
        <w:rPr>
          <w:rFonts w:cs="Arial"/>
        </w:rPr>
        <w:t xml:space="preserve"> </w:t>
      </w:r>
      <w:r>
        <w:rPr>
          <w:rFonts w:cs="Arial"/>
        </w:rPr>
        <w:t>Appellant</w:t>
      </w:r>
      <w:r w:rsidR="00C757AA" w:rsidRPr="00D41E9C">
        <w:rPr>
          <w:rFonts w:cs="Arial"/>
        </w:rPr>
        <w:t xml:space="preserve">, who was born on 27 June 1986, are nationals of Nepal.  On 15 March 2016, they applied for entry clearance to </w:t>
      </w:r>
      <w:r w:rsidR="00C757AA" w:rsidRPr="00D41E9C">
        <w:rPr>
          <w:rFonts w:cs="Arial"/>
        </w:rPr>
        <w:lastRenderedPageBreak/>
        <w:t>join their parents for the purposes of settlement in the United Kingdom. Their applications were refused on 23 March 2016.</w:t>
      </w:r>
    </w:p>
    <w:p w14:paraId="25D30672" w14:textId="77777777" w:rsidR="00C757AA" w:rsidRDefault="00C757AA" w:rsidP="002630D9">
      <w:pPr>
        <w:spacing w:line="360" w:lineRule="auto"/>
        <w:ind w:left="567" w:hanging="567"/>
        <w:jc w:val="both"/>
        <w:rPr>
          <w:rFonts w:cs="Arial"/>
        </w:rPr>
      </w:pPr>
    </w:p>
    <w:p w14:paraId="2BAB1670" w14:textId="01D5E8DB" w:rsidR="00C757AA" w:rsidRDefault="00C757AA" w:rsidP="002630D9">
      <w:pPr>
        <w:spacing w:line="360" w:lineRule="auto"/>
        <w:ind w:left="567" w:hanging="567"/>
        <w:jc w:val="both"/>
        <w:rPr>
          <w:rFonts w:cs="Arial"/>
        </w:rPr>
      </w:pPr>
      <w:r>
        <w:rPr>
          <w:rFonts w:cs="Arial"/>
        </w:rPr>
        <w:t>2.</w:t>
      </w:r>
      <w:r>
        <w:rPr>
          <w:rFonts w:cs="Arial"/>
        </w:rPr>
        <w:tab/>
        <w:t xml:space="preserve">They appealed and First-tier Tribunal Judge Sweet allowed their appeals in a decision promulgated on 17 July 2017. First-tier Tribunal Judge Doyle granted the </w:t>
      </w:r>
      <w:r w:rsidR="00D41E9C">
        <w:rPr>
          <w:rFonts w:cs="Arial"/>
        </w:rPr>
        <w:t xml:space="preserve">Respondent </w:t>
      </w:r>
      <w:r>
        <w:rPr>
          <w:rFonts w:cs="Arial"/>
        </w:rPr>
        <w:t xml:space="preserve">permission to appeal on 10 January 2018.  </w:t>
      </w:r>
    </w:p>
    <w:p w14:paraId="5D88840D" w14:textId="77777777" w:rsidR="00C757AA" w:rsidRDefault="00C757AA" w:rsidP="002630D9">
      <w:pPr>
        <w:spacing w:line="360" w:lineRule="auto"/>
        <w:ind w:left="567" w:hanging="567"/>
        <w:jc w:val="both"/>
        <w:rPr>
          <w:rFonts w:cs="Arial"/>
        </w:rPr>
      </w:pPr>
    </w:p>
    <w:p w14:paraId="593EDDDC" w14:textId="77777777" w:rsidR="00C757AA" w:rsidRPr="009D341B" w:rsidRDefault="00C757AA" w:rsidP="002630D9">
      <w:pPr>
        <w:spacing w:line="360" w:lineRule="auto"/>
        <w:ind w:left="567" w:hanging="567"/>
        <w:jc w:val="both"/>
        <w:rPr>
          <w:rFonts w:cs="Arial"/>
          <w:b/>
        </w:rPr>
      </w:pPr>
      <w:r w:rsidRPr="009D341B">
        <w:rPr>
          <w:rFonts w:cs="Arial"/>
          <w:b/>
        </w:rPr>
        <w:t xml:space="preserve">ERROR OF LAW HEARING </w:t>
      </w:r>
    </w:p>
    <w:p w14:paraId="5BD2136B" w14:textId="77777777" w:rsidR="00C757AA" w:rsidRDefault="00C757AA" w:rsidP="002630D9">
      <w:pPr>
        <w:spacing w:line="360" w:lineRule="auto"/>
        <w:ind w:left="567" w:hanging="567"/>
        <w:jc w:val="both"/>
        <w:rPr>
          <w:rFonts w:cs="Arial"/>
        </w:rPr>
      </w:pPr>
    </w:p>
    <w:p w14:paraId="253FC930" w14:textId="51C06B79" w:rsidR="00C757AA" w:rsidRDefault="00C757AA" w:rsidP="002630D9">
      <w:pPr>
        <w:spacing w:line="360" w:lineRule="auto"/>
        <w:ind w:left="567" w:hanging="567"/>
        <w:jc w:val="both"/>
        <w:rPr>
          <w:rFonts w:cs="Arial"/>
        </w:rPr>
      </w:pPr>
      <w:r>
        <w:rPr>
          <w:rFonts w:cs="Arial"/>
        </w:rPr>
        <w:t>3.</w:t>
      </w:r>
      <w:r>
        <w:rPr>
          <w:rFonts w:cs="Arial"/>
        </w:rPr>
        <w:tab/>
      </w:r>
      <w:r w:rsidR="00405037">
        <w:rPr>
          <w:rFonts w:cs="Arial"/>
        </w:rPr>
        <w:t xml:space="preserve">At the error of law hearing on 14 March 2018, I set aside First-tier Tribunal Judge Sweet’s decision </w:t>
      </w:r>
      <w:r w:rsidR="00B8442D">
        <w:rPr>
          <w:rFonts w:cs="Arial"/>
        </w:rPr>
        <w:t xml:space="preserve">for lack of adequate reasoning </w:t>
      </w:r>
      <w:r w:rsidR="00405037">
        <w:rPr>
          <w:rFonts w:cs="Arial"/>
        </w:rPr>
        <w:t xml:space="preserve">and set the appeal down for a re-hearing in the Upper Tribunal and for both parties to make further oral submissions. </w:t>
      </w:r>
      <w:r>
        <w:rPr>
          <w:rFonts w:cs="Arial"/>
        </w:rPr>
        <w:t xml:space="preserve">Both </w:t>
      </w:r>
      <w:r w:rsidR="005259FB">
        <w:rPr>
          <w:rFonts w:cs="Arial"/>
        </w:rPr>
        <w:t xml:space="preserve">counsel for the Appellants and </w:t>
      </w:r>
      <w:r>
        <w:rPr>
          <w:rFonts w:cs="Arial"/>
        </w:rPr>
        <w:t xml:space="preserve">the Home Office Presenting Officer made oral submissions and I have referred to the content of these submissions, where relevant, in my decision below.  </w:t>
      </w:r>
    </w:p>
    <w:p w14:paraId="1B15FDB2" w14:textId="77777777" w:rsidR="00C757AA" w:rsidRDefault="00C757AA" w:rsidP="00590558">
      <w:pPr>
        <w:spacing w:line="360" w:lineRule="auto"/>
        <w:ind w:left="567" w:hanging="567"/>
        <w:jc w:val="both"/>
        <w:rPr>
          <w:rFonts w:cs="Arial"/>
          <w:b/>
        </w:rPr>
      </w:pPr>
    </w:p>
    <w:p w14:paraId="35B2658A" w14:textId="58DC5B1B" w:rsidR="00C757AA" w:rsidRDefault="005259FB" w:rsidP="005259FB">
      <w:pPr>
        <w:spacing w:line="360" w:lineRule="auto"/>
        <w:jc w:val="both"/>
        <w:rPr>
          <w:rFonts w:cs="Arial"/>
          <w:b/>
        </w:rPr>
      </w:pPr>
      <w:proofErr w:type="gramStart"/>
      <w:r>
        <w:rPr>
          <w:rFonts w:cs="Arial"/>
          <w:b/>
        </w:rPr>
        <w:t xml:space="preserve">DECISION </w:t>
      </w:r>
      <w:r w:rsidR="00C757AA" w:rsidRPr="009D341B">
        <w:rPr>
          <w:rFonts w:cs="Arial"/>
          <w:b/>
        </w:rPr>
        <w:t xml:space="preserve"> </w:t>
      </w:r>
      <w:r>
        <w:rPr>
          <w:rFonts w:cs="Arial"/>
          <w:b/>
        </w:rPr>
        <w:t>ON</w:t>
      </w:r>
      <w:proofErr w:type="gramEnd"/>
      <w:r>
        <w:rPr>
          <w:rFonts w:cs="Arial"/>
          <w:b/>
        </w:rPr>
        <w:t xml:space="preserve"> SUBSTANTIVE APPEAL KEPT IN THE UPPER TRIBUNAL </w:t>
      </w:r>
    </w:p>
    <w:p w14:paraId="17EE2ABD" w14:textId="77777777" w:rsidR="00C757AA" w:rsidRPr="00590558" w:rsidRDefault="00C757AA" w:rsidP="00590558">
      <w:pPr>
        <w:spacing w:line="360" w:lineRule="auto"/>
        <w:ind w:left="567" w:hanging="567"/>
        <w:jc w:val="both"/>
        <w:rPr>
          <w:rFonts w:cs="Arial"/>
          <w:b/>
        </w:rPr>
      </w:pPr>
    </w:p>
    <w:p w14:paraId="26EA52B4" w14:textId="49E151C7" w:rsidR="00C757AA" w:rsidRDefault="00C757AA" w:rsidP="009239B0">
      <w:pPr>
        <w:spacing w:line="360" w:lineRule="auto"/>
        <w:ind w:left="567" w:hanging="567"/>
        <w:jc w:val="both"/>
        <w:rPr>
          <w:rFonts w:cs="Arial"/>
        </w:rPr>
      </w:pPr>
      <w:r>
        <w:rPr>
          <w:rFonts w:cs="Arial"/>
        </w:rPr>
        <w:t>4.</w:t>
      </w:r>
      <w:r>
        <w:rPr>
          <w:rFonts w:cs="Arial"/>
        </w:rPr>
        <w:tab/>
        <w:t xml:space="preserve">The Appellants’ parents have been present and settled in the </w:t>
      </w:r>
      <w:smartTag w:uri="urn:schemas-microsoft-com:office:smarttags" w:element="country-region">
        <w:smartTag w:uri="urn:schemas-microsoft-com:office:smarttags" w:element="place">
          <w:r>
            <w:rPr>
              <w:rFonts w:cs="Arial"/>
            </w:rPr>
            <w:t>United Kingdom</w:t>
          </w:r>
        </w:smartTag>
      </w:smartTag>
      <w:r>
        <w:rPr>
          <w:rFonts w:cs="Arial"/>
        </w:rPr>
        <w:t xml:space="preserve"> since 12 June 2013. The </w:t>
      </w:r>
      <w:r w:rsidR="005259FB">
        <w:rPr>
          <w:rFonts w:cs="Arial"/>
        </w:rPr>
        <w:t>Appellant</w:t>
      </w:r>
      <w:r>
        <w:rPr>
          <w:rFonts w:cs="Arial"/>
        </w:rPr>
        <w:t xml:space="preserve">s’ father served in the Brigade of Gurkhas and retired on 7 May 1970. </w:t>
      </w:r>
    </w:p>
    <w:p w14:paraId="5F71D4A1" w14:textId="2CF718A1" w:rsidR="00D96BB1" w:rsidRDefault="00D96BB1" w:rsidP="009239B0">
      <w:pPr>
        <w:spacing w:line="360" w:lineRule="auto"/>
        <w:ind w:left="567" w:hanging="567"/>
        <w:jc w:val="both"/>
        <w:rPr>
          <w:rFonts w:cs="Arial"/>
        </w:rPr>
      </w:pPr>
    </w:p>
    <w:p w14:paraId="1E78A0CC" w14:textId="0D644E63" w:rsidR="00D96BB1" w:rsidRPr="00D96BB1" w:rsidRDefault="00D96BB1" w:rsidP="009239B0">
      <w:pPr>
        <w:spacing w:line="360" w:lineRule="auto"/>
        <w:ind w:left="567" w:hanging="567"/>
        <w:jc w:val="both"/>
        <w:rPr>
          <w:rFonts w:cs="Arial"/>
          <w:b/>
        </w:rPr>
      </w:pPr>
      <w:r>
        <w:rPr>
          <w:rFonts w:cs="Arial"/>
        </w:rPr>
        <w:t>5.</w:t>
      </w:r>
      <w:r>
        <w:rPr>
          <w:rFonts w:cs="Arial"/>
        </w:rPr>
        <w:tab/>
        <w:t xml:space="preserve">The Appellants applied </w:t>
      </w:r>
      <w:r w:rsidR="005259FB">
        <w:rPr>
          <w:rFonts w:cs="Arial"/>
        </w:rPr>
        <w:t xml:space="preserve">for leave to enter </w:t>
      </w:r>
      <w:r>
        <w:rPr>
          <w:rFonts w:cs="Arial"/>
        </w:rPr>
        <w:t>under section E-ECDR of Appendix FM of the Immigration Rules but w</w:t>
      </w:r>
      <w:r w:rsidR="005259FB">
        <w:rPr>
          <w:rFonts w:cs="Arial"/>
        </w:rPr>
        <w:t>ere</w:t>
      </w:r>
      <w:r>
        <w:rPr>
          <w:rFonts w:cs="Arial"/>
        </w:rPr>
        <w:t xml:space="preserve"> not able to meet </w:t>
      </w:r>
      <w:r w:rsidR="005259FB">
        <w:rPr>
          <w:rFonts w:cs="Arial"/>
        </w:rPr>
        <w:t>all the necessary entry requirements.</w:t>
      </w:r>
    </w:p>
    <w:p w14:paraId="06738628" w14:textId="77777777" w:rsidR="00C757AA" w:rsidRDefault="00C757AA" w:rsidP="009239B0">
      <w:pPr>
        <w:spacing w:line="360" w:lineRule="auto"/>
        <w:ind w:left="567" w:hanging="567"/>
        <w:jc w:val="both"/>
        <w:rPr>
          <w:rFonts w:cs="Arial"/>
        </w:rPr>
      </w:pPr>
    </w:p>
    <w:p w14:paraId="17676869" w14:textId="77777777" w:rsidR="005259FB" w:rsidRDefault="00D96BB1" w:rsidP="002B676E">
      <w:pPr>
        <w:spacing w:line="360" w:lineRule="auto"/>
        <w:ind w:left="567" w:hanging="567"/>
        <w:jc w:val="both"/>
        <w:rPr>
          <w:rFonts w:cs="Arial"/>
        </w:rPr>
      </w:pPr>
      <w:r>
        <w:rPr>
          <w:rFonts w:cs="Arial"/>
        </w:rPr>
        <w:t>6</w:t>
      </w:r>
      <w:r w:rsidR="00C757AA">
        <w:rPr>
          <w:rFonts w:cs="Arial"/>
        </w:rPr>
        <w:t>.</w:t>
      </w:r>
      <w:r w:rsidR="00C757AA">
        <w:rPr>
          <w:rFonts w:cs="Arial"/>
        </w:rPr>
        <w:tab/>
      </w:r>
      <w:r w:rsidR="005259FB">
        <w:rPr>
          <w:rFonts w:cs="Arial"/>
        </w:rPr>
        <w:t>However, t</w:t>
      </w:r>
      <w:r>
        <w:rPr>
          <w:rFonts w:cs="Arial"/>
        </w:rPr>
        <w:t>he Respondent</w:t>
      </w:r>
      <w:r w:rsidR="005259FB">
        <w:rPr>
          <w:rFonts w:cs="Arial"/>
        </w:rPr>
        <w:t xml:space="preserve"> has also </w:t>
      </w:r>
      <w:r>
        <w:rPr>
          <w:rFonts w:cs="Arial"/>
        </w:rPr>
        <w:t xml:space="preserve">published </w:t>
      </w:r>
      <w:r w:rsidR="005259FB">
        <w:rPr>
          <w:rFonts w:cs="Arial"/>
        </w:rPr>
        <w:t xml:space="preserve">relevant </w:t>
      </w:r>
      <w:r>
        <w:rPr>
          <w:rFonts w:cs="Arial"/>
        </w:rPr>
        <w:t>policy</w:t>
      </w:r>
      <w:r w:rsidR="005259FB">
        <w:rPr>
          <w:rFonts w:cs="Arial"/>
        </w:rPr>
        <w:t>, which is entitled</w:t>
      </w:r>
      <w:r>
        <w:rPr>
          <w:rFonts w:cs="Arial"/>
          <w:b/>
        </w:rPr>
        <w:t xml:space="preserve"> </w:t>
      </w:r>
      <w:r w:rsidR="00C757AA">
        <w:rPr>
          <w:rFonts w:cs="Arial"/>
        </w:rPr>
        <w:t xml:space="preserve">Annexe K – </w:t>
      </w:r>
      <w:r w:rsidR="00C757AA">
        <w:rPr>
          <w:rFonts w:cs="Arial"/>
          <w:i/>
        </w:rPr>
        <w:t xml:space="preserve">Adult Children of Former Gurkhas </w:t>
      </w:r>
      <w:r w:rsidR="00C757AA">
        <w:rPr>
          <w:rFonts w:cs="Arial"/>
        </w:rPr>
        <w:t>to BG 0</w:t>
      </w:r>
      <w:r w:rsidR="005259FB">
        <w:rPr>
          <w:rFonts w:cs="Arial"/>
        </w:rPr>
        <w:t xml:space="preserve">3.01.01, dated 22 January 2015. This </w:t>
      </w:r>
      <w:r w:rsidR="00C757AA">
        <w:rPr>
          <w:rFonts w:cs="Arial"/>
        </w:rPr>
        <w:t xml:space="preserve">provides that adult children of former Gurkhas may be granted settlement in the United Kingdom in certain circumstances. </w:t>
      </w:r>
      <w:r w:rsidR="005259FB">
        <w:rPr>
          <w:rFonts w:cs="Arial"/>
        </w:rPr>
        <w:t xml:space="preserve">Counsel for the Appellants took me to paragraph 9 of this policy which lists ten conditions that need to be met in order for settlement to be granted under this Policy. </w:t>
      </w:r>
    </w:p>
    <w:p w14:paraId="7D503BE7" w14:textId="77777777" w:rsidR="005259FB" w:rsidRDefault="005259FB" w:rsidP="002B676E">
      <w:pPr>
        <w:spacing w:line="360" w:lineRule="auto"/>
        <w:ind w:left="567" w:hanging="567"/>
        <w:jc w:val="both"/>
        <w:rPr>
          <w:rFonts w:cs="Arial"/>
        </w:rPr>
      </w:pPr>
    </w:p>
    <w:p w14:paraId="5AD67D24" w14:textId="091C5E62" w:rsidR="00FA57B6" w:rsidRDefault="005259FB" w:rsidP="002B676E">
      <w:pPr>
        <w:spacing w:line="360" w:lineRule="auto"/>
        <w:ind w:left="567" w:hanging="567"/>
        <w:jc w:val="both"/>
        <w:rPr>
          <w:rFonts w:cs="Arial"/>
        </w:rPr>
      </w:pPr>
      <w:r>
        <w:rPr>
          <w:rFonts w:cs="Arial"/>
        </w:rPr>
        <w:t>7.</w:t>
      </w:r>
      <w:r>
        <w:rPr>
          <w:rFonts w:cs="Arial"/>
        </w:rPr>
        <w:tab/>
      </w:r>
      <w:r w:rsidR="00FA57B6">
        <w:rPr>
          <w:rFonts w:cs="Arial"/>
        </w:rPr>
        <w:t>It was not disputed that the Appellant’s father had been granted settlement under the relevant discretionary arrangements or that the Appellants were related as claim</w:t>
      </w:r>
      <w:r w:rsidR="00B8442D">
        <w:rPr>
          <w:rFonts w:cs="Arial"/>
        </w:rPr>
        <w:t>ed</w:t>
      </w:r>
      <w:r w:rsidR="00FA57B6">
        <w:rPr>
          <w:rFonts w:cs="Arial"/>
        </w:rPr>
        <w:t xml:space="preserve"> and were still in Nepal. Therefore, they met the first three conditions.</w:t>
      </w:r>
    </w:p>
    <w:p w14:paraId="1A72BD78" w14:textId="77777777" w:rsidR="00FA57B6" w:rsidRDefault="00FA57B6" w:rsidP="002B676E">
      <w:pPr>
        <w:spacing w:line="360" w:lineRule="auto"/>
        <w:ind w:left="567" w:hanging="567"/>
        <w:jc w:val="both"/>
        <w:rPr>
          <w:rFonts w:cs="Arial"/>
        </w:rPr>
      </w:pPr>
    </w:p>
    <w:p w14:paraId="18EE59F1" w14:textId="64242858" w:rsidR="00C757AA" w:rsidRDefault="00FA57B6" w:rsidP="002B676E">
      <w:pPr>
        <w:spacing w:line="360" w:lineRule="auto"/>
        <w:ind w:left="567" w:hanging="567"/>
        <w:jc w:val="both"/>
        <w:rPr>
          <w:rFonts w:cs="Arial"/>
        </w:rPr>
      </w:pPr>
      <w:r>
        <w:rPr>
          <w:rFonts w:cs="Arial"/>
        </w:rPr>
        <w:lastRenderedPageBreak/>
        <w:t>8.</w:t>
      </w:r>
      <w:r>
        <w:rPr>
          <w:rFonts w:cs="Arial"/>
        </w:rPr>
        <w:tab/>
      </w:r>
      <w:r w:rsidR="005259FB">
        <w:rPr>
          <w:rFonts w:cs="Arial"/>
        </w:rPr>
        <w:t xml:space="preserve">The fourth condition is that an applicant is 18 years of age or over and </w:t>
      </w:r>
      <w:r w:rsidR="00C757AA">
        <w:rPr>
          <w:rFonts w:cs="Arial"/>
        </w:rPr>
        <w:t xml:space="preserve">30 years of age or under on the date of the application. </w:t>
      </w:r>
      <w:r w:rsidR="005259FB">
        <w:rPr>
          <w:rFonts w:cs="Arial"/>
        </w:rPr>
        <w:t>There has been some confusion over whether the Appellants were able to meet this requirement but by my calculation they were just able to qualify at the date of their applications, as they were 30 and 29 at that time.</w:t>
      </w:r>
      <w:r w:rsidR="00C757AA">
        <w:rPr>
          <w:rFonts w:cs="Arial"/>
        </w:rPr>
        <w:t xml:space="preserve"> </w:t>
      </w:r>
    </w:p>
    <w:p w14:paraId="7D860C0D" w14:textId="1A8945A3" w:rsidR="00FA57B6" w:rsidRDefault="00FA57B6" w:rsidP="002B676E">
      <w:pPr>
        <w:spacing w:line="360" w:lineRule="auto"/>
        <w:ind w:left="567" w:hanging="567"/>
        <w:jc w:val="both"/>
        <w:rPr>
          <w:rFonts w:cs="Arial"/>
        </w:rPr>
      </w:pPr>
    </w:p>
    <w:p w14:paraId="1F413BE2" w14:textId="2D8808F2" w:rsidR="00FA57B6" w:rsidRDefault="00FA57B6" w:rsidP="002B676E">
      <w:pPr>
        <w:spacing w:line="360" w:lineRule="auto"/>
        <w:ind w:left="567" w:hanging="567"/>
        <w:jc w:val="both"/>
        <w:rPr>
          <w:rFonts w:cs="Arial"/>
        </w:rPr>
      </w:pPr>
      <w:r>
        <w:rPr>
          <w:rFonts w:cs="Arial"/>
        </w:rPr>
        <w:t>9.</w:t>
      </w:r>
      <w:r>
        <w:rPr>
          <w:rFonts w:cs="Arial"/>
        </w:rPr>
        <w:tab/>
        <w:t xml:space="preserve">It was also not disputed that the Appellants had been born after their father was discharged from the Gurkha regiment for the purposes of the sixth condition or that the Appellants did not fall to be refused on grounds of suitability for the purposes of the tenth condition. </w:t>
      </w:r>
    </w:p>
    <w:p w14:paraId="56CBF2B8" w14:textId="303FF88A" w:rsidR="00FA57B6" w:rsidRDefault="00FA57B6" w:rsidP="002B676E">
      <w:pPr>
        <w:spacing w:line="360" w:lineRule="auto"/>
        <w:ind w:left="567" w:hanging="567"/>
        <w:jc w:val="both"/>
        <w:rPr>
          <w:rFonts w:cs="Arial"/>
        </w:rPr>
      </w:pPr>
    </w:p>
    <w:p w14:paraId="212EA286" w14:textId="71F9247A" w:rsidR="00FA57B6" w:rsidRDefault="00FA57B6" w:rsidP="002B676E">
      <w:pPr>
        <w:spacing w:line="360" w:lineRule="auto"/>
        <w:ind w:left="567" w:hanging="567"/>
        <w:jc w:val="both"/>
        <w:rPr>
          <w:rFonts w:cs="Arial"/>
        </w:rPr>
      </w:pPr>
      <w:r>
        <w:rPr>
          <w:rFonts w:cs="Arial"/>
        </w:rPr>
        <w:t>10.</w:t>
      </w:r>
      <w:r>
        <w:rPr>
          <w:rFonts w:cs="Arial"/>
        </w:rPr>
        <w:tab/>
        <w:t>In relation to the seventh condition which stated that the Respondent is satisfied that an application for settlement would have been made by the Appellant’s father before 2009 if the option to do so had been available. This was not directly addressed by the Entry Clearance Officer in his decision.  It was the Appellants’ evidence in her supplementary statement, dated 5 July 2017, that her husband had often said that it he had had the chance to settle in the United Kingdom when he was discharged</w:t>
      </w:r>
      <w:r w:rsidR="00AC4B11">
        <w:rPr>
          <w:rFonts w:cs="Arial"/>
        </w:rPr>
        <w:t>, which was in 1970, he would have taken up this chance. This evidence was not disputed by the Respondent.</w:t>
      </w:r>
    </w:p>
    <w:p w14:paraId="0AFD28E1" w14:textId="77777777" w:rsidR="00C757AA" w:rsidRDefault="00C757AA" w:rsidP="002B676E">
      <w:pPr>
        <w:spacing w:line="360" w:lineRule="auto"/>
        <w:ind w:left="567" w:hanging="567"/>
        <w:jc w:val="both"/>
        <w:rPr>
          <w:rFonts w:cs="Arial"/>
        </w:rPr>
      </w:pPr>
    </w:p>
    <w:p w14:paraId="3C574B37" w14:textId="5461F06E" w:rsidR="00C757AA" w:rsidRDefault="00AC4B11" w:rsidP="00B90226">
      <w:pPr>
        <w:spacing w:line="360" w:lineRule="auto"/>
        <w:ind w:left="567" w:hanging="567"/>
        <w:jc w:val="both"/>
        <w:rPr>
          <w:rFonts w:cs="Arial"/>
        </w:rPr>
      </w:pPr>
      <w:r>
        <w:rPr>
          <w:rFonts w:cs="Arial"/>
        </w:rPr>
        <w:t>11</w:t>
      </w:r>
      <w:r w:rsidR="00C757AA">
        <w:rPr>
          <w:rFonts w:cs="Arial"/>
        </w:rPr>
        <w:t>.</w:t>
      </w:r>
      <w:r w:rsidR="00C757AA">
        <w:rPr>
          <w:rFonts w:cs="Arial"/>
        </w:rPr>
        <w:tab/>
      </w:r>
      <w:r w:rsidR="0093770B">
        <w:rPr>
          <w:rFonts w:cs="Arial"/>
        </w:rPr>
        <w:t xml:space="preserve">The eighth condition is that they had not been living apart from the former Gurkha for more than two years on the date of the application. The Appellants accept that they have been </w:t>
      </w:r>
      <w:r w:rsidR="00C757AA">
        <w:rPr>
          <w:rFonts w:cs="Arial"/>
        </w:rPr>
        <w:t xml:space="preserve">living apart from their father </w:t>
      </w:r>
      <w:r w:rsidR="0093770B">
        <w:rPr>
          <w:rFonts w:cs="Arial"/>
        </w:rPr>
        <w:t xml:space="preserve">since 12 June 2013. Therefore, they had been living apart from him for more than two years at the time of their applications. </w:t>
      </w:r>
    </w:p>
    <w:p w14:paraId="0EA4E26E" w14:textId="668F43D1" w:rsidR="0093770B" w:rsidRDefault="0093770B" w:rsidP="00B90226">
      <w:pPr>
        <w:spacing w:line="360" w:lineRule="auto"/>
        <w:ind w:left="567" w:hanging="567"/>
        <w:jc w:val="both"/>
        <w:rPr>
          <w:rFonts w:cs="Arial"/>
        </w:rPr>
      </w:pPr>
    </w:p>
    <w:p w14:paraId="21298910" w14:textId="22908824" w:rsidR="0093770B" w:rsidRDefault="00AC4B11" w:rsidP="00B90226">
      <w:pPr>
        <w:spacing w:line="360" w:lineRule="auto"/>
        <w:ind w:left="567" w:hanging="567"/>
        <w:jc w:val="both"/>
        <w:rPr>
          <w:rFonts w:cs="Arial"/>
        </w:rPr>
      </w:pPr>
      <w:r>
        <w:rPr>
          <w:rFonts w:cs="Arial"/>
        </w:rPr>
        <w:t>12.</w:t>
      </w:r>
      <w:r>
        <w:rPr>
          <w:rFonts w:cs="Arial"/>
        </w:rPr>
        <w:tab/>
        <w:t>T</w:t>
      </w:r>
      <w:r w:rsidR="0093770B">
        <w:rPr>
          <w:rFonts w:cs="Arial"/>
        </w:rPr>
        <w:t xml:space="preserve">here is a “saving clause” in condition eight, </w:t>
      </w:r>
      <w:r>
        <w:rPr>
          <w:rFonts w:cs="Arial"/>
        </w:rPr>
        <w:t xml:space="preserve">which applies </w:t>
      </w:r>
      <w:r w:rsidR="0093770B">
        <w:rPr>
          <w:rFonts w:cs="Arial"/>
        </w:rPr>
        <w:t xml:space="preserve">where an applicant has been living apart </w:t>
      </w:r>
      <w:r w:rsidR="00FA57B6">
        <w:rPr>
          <w:rFonts w:cs="Arial"/>
        </w:rPr>
        <w:t xml:space="preserve">by reason of education or something similar (such that the family unit was maintained; albeit that the applicant lived away). </w:t>
      </w:r>
      <w:r>
        <w:rPr>
          <w:rFonts w:cs="Arial"/>
        </w:rPr>
        <w:t xml:space="preserve">The Appellants did not leave the family home to attend college but have remained there. As the Home Office Presenting Officer submitted their father left them in Nepal when he was granted entry clearance to come to the United Kingdom. </w:t>
      </w:r>
      <w:r w:rsidR="00B8442D">
        <w:rPr>
          <w:rFonts w:cs="Arial"/>
        </w:rPr>
        <w:t xml:space="preserve">As explained below, he had little choice in the matter once he and his wife and other son had been granted entry clearance but the Appellants had been refused entry clearance, as entry had to be made within a specified time.  It is arguable that this brought the Appellants within the “by reason of...something similar” definition in the policy. </w:t>
      </w:r>
    </w:p>
    <w:p w14:paraId="33228617" w14:textId="4E7EDD6C" w:rsidR="00AC4B11" w:rsidRDefault="00AC4B11" w:rsidP="00B90226">
      <w:pPr>
        <w:spacing w:line="360" w:lineRule="auto"/>
        <w:ind w:left="567" w:hanging="567"/>
        <w:jc w:val="both"/>
        <w:rPr>
          <w:rFonts w:cs="Arial"/>
        </w:rPr>
      </w:pPr>
    </w:p>
    <w:p w14:paraId="04AEE08E" w14:textId="04EA3ED7" w:rsidR="00FA57B6" w:rsidRPr="00F77A71" w:rsidRDefault="00B8442D" w:rsidP="00B90226">
      <w:pPr>
        <w:spacing w:line="360" w:lineRule="auto"/>
        <w:ind w:left="567" w:hanging="567"/>
        <w:jc w:val="both"/>
        <w:rPr>
          <w:rFonts w:cs="Arial"/>
        </w:rPr>
      </w:pPr>
      <w:r>
        <w:rPr>
          <w:rFonts w:cs="Arial"/>
        </w:rPr>
        <w:t>13</w:t>
      </w:r>
      <w:r w:rsidR="00FA57B6">
        <w:rPr>
          <w:rFonts w:cs="Arial"/>
        </w:rPr>
        <w:t>.</w:t>
      </w:r>
      <w:r w:rsidR="00FA57B6">
        <w:rPr>
          <w:rFonts w:cs="Arial"/>
        </w:rPr>
        <w:tab/>
      </w:r>
      <w:r w:rsidR="00AC4B11">
        <w:rPr>
          <w:rFonts w:cs="Arial"/>
        </w:rPr>
        <w:t>For the purposes of condition five</w:t>
      </w:r>
      <w:r>
        <w:rPr>
          <w:rFonts w:cs="Arial"/>
        </w:rPr>
        <w:t>,</w:t>
      </w:r>
      <w:r w:rsidR="00AC4B11">
        <w:rPr>
          <w:rFonts w:cs="Arial"/>
        </w:rPr>
        <w:t xml:space="preserve"> the Appellants also had to show that they were financially and emotionally dependent upon their father and mother. In relation to financial dependency, </w:t>
      </w:r>
      <w:r w:rsidR="00AC4B11">
        <w:rPr>
          <w:rFonts w:cs="Arial"/>
        </w:rPr>
        <w:lastRenderedPageBreak/>
        <w:t xml:space="preserve">the Respondent did not dispute that the Appellants continue to live in the family home in Nepal. </w:t>
      </w:r>
      <w:r>
        <w:rPr>
          <w:rFonts w:cs="Arial"/>
        </w:rPr>
        <w:t>In addition, t</w:t>
      </w:r>
      <w:r w:rsidR="00AC4B11">
        <w:rPr>
          <w:rFonts w:cs="Arial"/>
        </w:rPr>
        <w:t xml:space="preserve">he Respondent did not challenge the authenticity of the money transfer receipts showing money being sent to the Appellants by their parents on a regular basis. </w:t>
      </w:r>
      <w:r>
        <w:rPr>
          <w:rFonts w:cs="Arial"/>
        </w:rPr>
        <w:t>T</w:t>
      </w:r>
      <w:r w:rsidR="00AC4B11">
        <w:rPr>
          <w:rFonts w:cs="Arial"/>
        </w:rPr>
        <w:t xml:space="preserve">here were </w:t>
      </w:r>
      <w:r>
        <w:rPr>
          <w:rFonts w:cs="Arial"/>
        </w:rPr>
        <w:t xml:space="preserve">also </w:t>
      </w:r>
      <w:r w:rsidR="00AC4B11">
        <w:rPr>
          <w:rFonts w:cs="Arial"/>
        </w:rPr>
        <w:t xml:space="preserve">statements which indicated that the Appellant’s father’s pension was </w:t>
      </w:r>
      <w:r>
        <w:rPr>
          <w:rFonts w:cs="Arial"/>
        </w:rPr>
        <w:t xml:space="preserve">being paid in Nepal </w:t>
      </w:r>
      <w:r w:rsidR="00AC4B11">
        <w:rPr>
          <w:rFonts w:cs="Arial"/>
        </w:rPr>
        <w:t>and had been used to pay for the 1</w:t>
      </w:r>
      <w:r w:rsidR="00AC4B11" w:rsidRPr="00AC4B11">
        <w:rPr>
          <w:rFonts w:cs="Arial"/>
          <w:vertAlign w:val="superscript"/>
        </w:rPr>
        <w:t>st</w:t>
      </w:r>
      <w:r w:rsidR="00AC4B11">
        <w:rPr>
          <w:rFonts w:cs="Arial"/>
        </w:rPr>
        <w:t xml:space="preserve"> Appellant’s education. </w:t>
      </w:r>
      <w:r w:rsidR="00C0020C">
        <w:rPr>
          <w:rFonts w:cs="Arial"/>
        </w:rPr>
        <w:t xml:space="preserve">In addition, in her first witness statement, the Appellants’ mother stated that </w:t>
      </w:r>
      <w:r>
        <w:rPr>
          <w:rFonts w:cs="Arial"/>
        </w:rPr>
        <w:t>the 1</w:t>
      </w:r>
      <w:r w:rsidRPr="00B8442D">
        <w:rPr>
          <w:rFonts w:cs="Arial"/>
          <w:vertAlign w:val="superscript"/>
        </w:rPr>
        <w:t>st</w:t>
      </w:r>
      <w:r>
        <w:rPr>
          <w:rFonts w:cs="Arial"/>
        </w:rPr>
        <w:t xml:space="preserve"> Appellant </w:t>
      </w:r>
      <w:r w:rsidR="00C0020C">
        <w:rPr>
          <w:rFonts w:cs="Arial"/>
        </w:rPr>
        <w:t xml:space="preserve">was authorised to withdraw from the Brigade of Gurkha pension office in Nepal. This evidence was not challenged by the Home Office Presenting Officer. He </w:t>
      </w:r>
      <w:r w:rsidR="007F67D0">
        <w:rPr>
          <w:rFonts w:cs="Arial"/>
        </w:rPr>
        <w:t xml:space="preserve">submitted that the degree of financial dependence was unclear but he did not refer to any evidence to suggest that the Appellants had any other source of income. He </w:t>
      </w:r>
      <w:r w:rsidR="00C0020C">
        <w:rPr>
          <w:rFonts w:cs="Arial"/>
        </w:rPr>
        <w:t xml:space="preserve">also accepted that neither of the Appellants were in employment. </w:t>
      </w:r>
      <w:r w:rsidR="00F77A71">
        <w:rPr>
          <w:rFonts w:cs="Arial"/>
        </w:rPr>
        <w:t xml:space="preserve">I have also noted that the evidence suggested that the Appellants were not able to obtain employment in the village where they lived and, therefore, their dependency was one of necessity, which was similar to the situation in which the Appellant in </w:t>
      </w:r>
      <w:r w:rsidR="00F77A71">
        <w:rPr>
          <w:rFonts w:cs="Arial"/>
          <w:i/>
        </w:rPr>
        <w:t xml:space="preserve">Jitendra Rai v Entry Clearance Officer, New Delhi </w:t>
      </w:r>
      <w:r w:rsidR="00F77A71">
        <w:rPr>
          <w:rFonts w:cs="Arial"/>
        </w:rPr>
        <w:t xml:space="preserve">[2017] EWCA </w:t>
      </w:r>
      <w:proofErr w:type="spellStart"/>
      <w:r w:rsidR="00F77A71">
        <w:rPr>
          <w:rFonts w:cs="Arial"/>
        </w:rPr>
        <w:t>Civ</w:t>
      </w:r>
      <w:proofErr w:type="spellEnd"/>
      <w:r w:rsidR="00F77A71">
        <w:rPr>
          <w:rFonts w:cs="Arial"/>
        </w:rPr>
        <w:t xml:space="preserve"> 320 found himself. </w:t>
      </w:r>
    </w:p>
    <w:p w14:paraId="6EB1C37B" w14:textId="34A5430A" w:rsidR="00C0020C" w:rsidRDefault="00C0020C" w:rsidP="00B90226">
      <w:pPr>
        <w:spacing w:line="360" w:lineRule="auto"/>
        <w:ind w:left="567" w:hanging="567"/>
        <w:jc w:val="both"/>
        <w:rPr>
          <w:rFonts w:cs="Arial"/>
        </w:rPr>
      </w:pPr>
    </w:p>
    <w:p w14:paraId="4309AC20" w14:textId="34DBBDB9" w:rsidR="00C0020C" w:rsidRDefault="00C0020C" w:rsidP="00B90226">
      <w:pPr>
        <w:spacing w:line="360" w:lineRule="auto"/>
        <w:ind w:left="567" w:hanging="567"/>
        <w:jc w:val="both"/>
        <w:rPr>
          <w:rFonts w:cs="Arial"/>
        </w:rPr>
      </w:pPr>
      <w:r>
        <w:rPr>
          <w:rFonts w:cs="Arial"/>
        </w:rPr>
        <w:t>1</w:t>
      </w:r>
      <w:r w:rsidR="00B8442D">
        <w:rPr>
          <w:rFonts w:cs="Arial"/>
        </w:rPr>
        <w:t>4</w:t>
      </w:r>
      <w:r>
        <w:rPr>
          <w:rFonts w:cs="Arial"/>
        </w:rPr>
        <w:t>.</w:t>
      </w:r>
      <w:r>
        <w:rPr>
          <w:rFonts w:cs="Arial"/>
        </w:rPr>
        <w:tab/>
        <w:t xml:space="preserve">Taking this evidence into account in its entirety and applying a balance of probabilities, I find that the Appellants are financially dependent upon their parents. </w:t>
      </w:r>
    </w:p>
    <w:p w14:paraId="229C1693" w14:textId="591ABCD9" w:rsidR="00C0020C" w:rsidRDefault="00C0020C" w:rsidP="00B90226">
      <w:pPr>
        <w:spacing w:line="360" w:lineRule="auto"/>
        <w:ind w:left="567" w:hanging="567"/>
        <w:jc w:val="both"/>
        <w:rPr>
          <w:rFonts w:cs="Arial"/>
        </w:rPr>
      </w:pPr>
    </w:p>
    <w:p w14:paraId="71CBBA8E" w14:textId="60D5F09F" w:rsidR="00C0020C" w:rsidRDefault="00C0020C" w:rsidP="00B90226">
      <w:pPr>
        <w:spacing w:line="360" w:lineRule="auto"/>
        <w:ind w:left="567" w:hanging="567"/>
        <w:jc w:val="both"/>
        <w:rPr>
          <w:rFonts w:cs="Arial"/>
        </w:rPr>
      </w:pPr>
      <w:r>
        <w:rPr>
          <w:rFonts w:cs="Arial"/>
        </w:rPr>
        <w:t>1</w:t>
      </w:r>
      <w:r w:rsidR="00B8442D">
        <w:rPr>
          <w:rFonts w:cs="Arial"/>
        </w:rPr>
        <w:t>5</w:t>
      </w:r>
      <w:r>
        <w:rPr>
          <w:rFonts w:cs="Arial"/>
        </w:rPr>
        <w:t>.</w:t>
      </w:r>
      <w:r>
        <w:rPr>
          <w:rFonts w:cs="Arial"/>
        </w:rPr>
        <w:tab/>
        <w:t>In relation to emotional dependency, counsel for the Appellants relied on the content of the witness statements which indicated that the Appellants talked to one or more of their parents by telephone most days. The 1</w:t>
      </w:r>
      <w:r w:rsidRPr="00C0020C">
        <w:rPr>
          <w:rFonts w:cs="Arial"/>
          <w:vertAlign w:val="superscript"/>
        </w:rPr>
        <w:t>st</w:t>
      </w:r>
      <w:r>
        <w:rPr>
          <w:rFonts w:cs="Arial"/>
        </w:rPr>
        <w:t xml:space="preserve"> Appellant also explained that in their culture, families tended to live in extended family units and that she had never established her own independent family unit. She also stated that there was no one else she could turn to for support.  The 2</w:t>
      </w:r>
      <w:r w:rsidRPr="00C0020C">
        <w:rPr>
          <w:rFonts w:cs="Arial"/>
          <w:vertAlign w:val="superscript"/>
        </w:rPr>
        <w:t>nd</w:t>
      </w:r>
      <w:r>
        <w:rPr>
          <w:rFonts w:cs="Arial"/>
        </w:rPr>
        <w:t xml:space="preserve"> Appellant said in his statement that he missed his mother and father very much and was totally emotionally dependent upon them. </w:t>
      </w:r>
      <w:r w:rsidR="00465F44">
        <w:rPr>
          <w:rFonts w:cs="Arial"/>
        </w:rPr>
        <w:t xml:space="preserve"> The Appellants were also concerned about the frailty of their father’s health and depended on their mother for advice on a regular basis. </w:t>
      </w:r>
      <w:r>
        <w:rPr>
          <w:rFonts w:cs="Arial"/>
        </w:rPr>
        <w:t xml:space="preserve">This evidence was not challenged by the </w:t>
      </w:r>
      <w:r w:rsidR="007F67D0">
        <w:rPr>
          <w:rFonts w:cs="Arial"/>
        </w:rPr>
        <w:t>Home Office Presenting Officer and the Respondent has always accepted that the Appellants are unmarried and have yet to leave the family home in Nepal.</w:t>
      </w:r>
      <w:r w:rsidR="00341E14">
        <w:rPr>
          <w:rFonts w:cs="Arial"/>
        </w:rPr>
        <w:t xml:space="preserve"> As a consequence, the Appellants are entitled to entry under the Respondent’s published policy. </w:t>
      </w:r>
    </w:p>
    <w:p w14:paraId="53F6C27A" w14:textId="3C8FB1F7" w:rsidR="007F67D0" w:rsidRDefault="007F67D0" w:rsidP="00B90226">
      <w:pPr>
        <w:spacing w:line="360" w:lineRule="auto"/>
        <w:ind w:left="567" w:hanging="567"/>
        <w:jc w:val="both"/>
        <w:rPr>
          <w:rFonts w:cs="Arial"/>
        </w:rPr>
      </w:pPr>
    </w:p>
    <w:p w14:paraId="610C1C0D" w14:textId="49C12039" w:rsidR="007F67D0" w:rsidRDefault="007F67D0" w:rsidP="00B90226">
      <w:pPr>
        <w:spacing w:line="360" w:lineRule="auto"/>
        <w:ind w:left="567" w:hanging="567"/>
        <w:jc w:val="both"/>
        <w:rPr>
          <w:rFonts w:cs="Arial"/>
        </w:rPr>
      </w:pPr>
      <w:r>
        <w:rPr>
          <w:rFonts w:cs="Arial"/>
        </w:rPr>
        <w:t>1</w:t>
      </w:r>
      <w:r w:rsidR="00B8442D">
        <w:rPr>
          <w:rFonts w:cs="Arial"/>
        </w:rPr>
        <w:t>6</w:t>
      </w:r>
      <w:r>
        <w:rPr>
          <w:rFonts w:cs="Arial"/>
        </w:rPr>
        <w:t>.</w:t>
      </w:r>
      <w:r>
        <w:rPr>
          <w:rFonts w:cs="Arial"/>
        </w:rPr>
        <w:tab/>
        <w:t>I</w:t>
      </w:r>
      <w:r w:rsidR="00B8442D">
        <w:rPr>
          <w:rFonts w:cs="Arial"/>
        </w:rPr>
        <w:t xml:space="preserve">n the alternative I </w:t>
      </w:r>
      <w:r>
        <w:rPr>
          <w:rFonts w:cs="Arial"/>
        </w:rPr>
        <w:t xml:space="preserve">have </w:t>
      </w:r>
      <w:r w:rsidR="00341E14">
        <w:rPr>
          <w:rFonts w:cs="Arial"/>
        </w:rPr>
        <w:t xml:space="preserve">looked at </w:t>
      </w:r>
      <w:r>
        <w:rPr>
          <w:rFonts w:cs="Arial"/>
        </w:rPr>
        <w:t>the Appellants</w:t>
      </w:r>
      <w:r w:rsidR="00341E14">
        <w:rPr>
          <w:rFonts w:cs="Arial"/>
        </w:rPr>
        <w:t xml:space="preserve">’ entitlement </w:t>
      </w:r>
      <w:r>
        <w:rPr>
          <w:rFonts w:cs="Arial"/>
        </w:rPr>
        <w:t xml:space="preserve">to leave on the basis of their Article </w:t>
      </w:r>
      <w:r w:rsidR="00D96BB1">
        <w:rPr>
          <w:rFonts w:cs="Arial"/>
        </w:rPr>
        <w:t>8</w:t>
      </w:r>
      <w:r>
        <w:rPr>
          <w:rFonts w:cs="Arial"/>
        </w:rPr>
        <w:t xml:space="preserve"> rights</w:t>
      </w:r>
      <w:r w:rsidR="00341E14">
        <w:rPr>
          <w:rFonts w:cs="Arial"/>
        </w:rPr>
        <w:t xml:space="preserve"> outside the published policy</w:t>
      </w:r>
      <w:r>
        <w:rPr>
          <w:rFonts w:cs="Arial"/>
        </w:rPr>
        <w:t xml:space="preserve"> and bega</w:t>
      </w:r>
      <w:r w:rsidR="00341E14">
        <w:rPr>
          <w:rFonts w:cs="Arial"/>
        </w:rPr>
        <w:t>n by</w:t>
      </w:r>
      <w:r>
        <w:rPr>
          <w:rFonts w:cs="Arial"/>
        </w:rPr>
        <w:t xml:space="preserve"> considering whether they still enjoyed a family life with their parents for the purposes of Article 8.1 of the European Convention on Human Rights. The Home Office Presenting Officer sought to rely on paragraph 35 of Lord </w:t>
      </w:r>
      <w:r>
        <w:rPr>
          <w:rFonts w:cs="Arial"/>
        </w:rPr>
        <w:lastRenderedPageBreak/>
        <w:t>Justice Rix’</w:t>
      </w:r>
      <w:r w:rsidR="00341E14">
        <w:rPr>
          <w:rFonts w:cs="Arial"/>
        </w:rPr>
        <w:t>s judg</w:t>
      </w:r>
      <w:r>
        <w:rPr>
          <w:rFonts w:cs="Arial"/>
        </w:rPr>
        <w:t xml:space="preserve">ment in </w:t>
      </w:r>
      <w:r>
        <w:rPr>
          <w:rFonts w:cs="Arial"/>
          <w:i/>
        </w:rPr>
        <w:t xml:space="preserve">AAO v Entry Clearance Officer </w:t>
      </w:r>
      <w:r>
        <w:rPr>
          <w:rFonts w:cs="Arial"/>
        </w:rPr>
        <w:t xml:space="preserve">[2011] EWCA </w:t>
      </w:r>
      <w:proofErr w:type="spellStart"/>
      <w:r>
        <w:rPr>
          <w:rFonts w:cs="Arial"/>
        </w:rPr>
        <w:t>Civ</w:t>
      </w:r>
      <w:proofErr w:type="spellEnd"/>
      <w:r>
        <w:rPr>
          <w:rFonts w:cs="Arial"/>
        </w:rPr>
        <w:t xml:space="preserve"> 840</w:t>
      </w:r>
      <w:r w:rsidR="00341E14">
        <w:rPr>
          <w:rFonts w:cs="Arial"/>
        </w:rPr>
        <w:t>,</w:t>
      </w:r>
      <w:r>
        <w:rPr>
          <w:rFonts w:cs="Arial"/>
        </w:rPr>
        <w:t xml:space="preserve"> where he held that “it is established that family life will not normally exist between [parents and adult children] with</w:t>
      </w:r>
      <w:r w:rsidR="00341E14">
        <w:rPr>
          <w:rFonts w:cs="Arial"/>
        </w:rPr>
        <w:t>in</w:t>
      </w:r>
      <w:r>
        <w:rPr>
          <w:rFonts w:cs="Arial"/>
        </w:rPr>
        <w:t xml:space="preserve"> the meaning of article 8 at all in the absence of further elements or dependency which go beyond normal emotional ties”.</w:t>
      </w:r>
    </w:p>
    <w:p w14:paraId="2F14F4F6" w14:textId="52064088" w:rsidR="00901577" w:rsidRDefault="00901577" w:rsidP="00B90226">
      <w:pPr>
        <w:spacing w:line="360" w:lineRule="auto"/>
        <w:ind w:left="567" w:hanging="567"/>
        <w:jc w:val="both"/>
        <w:rPr>
          <w:rFonts w:cs="Arial"/>
        </w:rPr>
      </w:pPr>
    </w:p>
    <w:p w14:paraId="54E67FF7" w14:textId="7D37B290" w:rsidR="00901577" w:rsidRDefault="00901577" w:rsidP="00B90226">
      <w:pPr>
        <w:spacing w:line="360" w:lineRule="auto"/>
        <w:ind w:left="567" w:hanging="567"/>
        <w:jc w:val="both"/>
        <w:rPr>
          <w:rFonts w:cs="Arial"/>
        </w:rPr>
      </w:pPr>
      <w:r>
        <w:rPr>
          <w:rFonts w:cs="Arial"/>
        </w:rPr>
        <w:t>1</w:t>
      </w:r>
      <w:r w:rsidR="00341E14">
        <w:rPr>
          <w:rFonts w:cs="Arial"/>
        </w:rPr>
        <w:t>7</w:t>
      </w:r>
      <w:r>
        <w:rPr>
          <w:rFonts w:cs="Arial"/>
        </w:rPr>
        <w:t>.</w:t>
      </w:r>
      <w:r>
        <w:rPr>
          <w:rFonts w:cs="Arial"/>
        </w:rPr>
        <w:tab/>
        <w:t xml:space="preserve">In contrast, counsel for the Appellants relied on paragraph 17 of </w:t>
      </w:r>
      <w:r>
        <w:rPr>
          <w:rFonts w:cs="Arial"/>
          <w:i/>
        </w:rPr>
        <w:t xml:space="preserve">Jitendra Rai v Entry Clearance Officer, New Delhi </w:t>
      </w:r>
      <w:r>
        <w:rPr>
          <w:rFonts w:cs="Arial"/>
        </w:rPr>
        <w:t xml:space="preserve">[2017] EWCA </w:t>
      </w:r>
      <w:proofErr w:type="spellStart"/>
      <w:r>
        <w:rPr>
          <w:rFonts w:cs="Arial"/>
        </w:rPr>
        <w:t>Civ</w:t>
      </w:r>
      <w:proofErr w:type="spellEnd"/>
      <w:r>
        <w:rPr>
          <w:rFonts w:cs="Arial"/>
        </w:rPr>
        <w:t xml:space="preserve"> 320 where Lord Justice Lindblom </w:t>
      </w:r>
      <w:r w:rsidR="00803B91">
        <w:rPr>
          <w:rFonts w:cs="Arial"/>
        </w:rPr>
        <w:t>held at paragraph 17 that:</w:t>
      </w:r>
    </w:p>
    <w:p w14:paraId="1BA9C1E6" w14:textId="5A805511" w:rsidR="00803B91" w:rsidRDefault="00803B91" w:rsidP="00B90226">
      <w:pPr>
        <w:spacing w:line="360" w:lineRule="auto"/>
        <w:ind w:left="567" w:hanging="567"/>
        <w:jc w:val="both"/>
        <w:rPr>
          <w:rFonts w:cs="Arial"/>
        </w:rPr>
      </w:pPr>
    </w:p>
    <w:p w14:paraId="084C5614" w14:textId="141D5574" w:rsidR="00803B91" w:rsidRDefault="00803B91" w:rsidP="001C542D">
      <w:pPr>
        <w:spacing w:line="360" w:lineRule="auto"/>
        <w:ind w:left="1134"/>
        <w:jc w:val="both"/>
        <w:rPr>
          <w:rFonts w:cs="Arial"/>
        </w:rPr>
      </w:pPr>
      <w:r>
        <w:rPr>
          <w:rFonts w:cs="Arial"/>
        </w:rPr>
        <w:t xml:space="preserve">“In </w:t>
      </w:r>
      <w:proofErr w:type="spellStart"/>
      <w:r>
        <w:rPr>
          <w:rFonts w:cs="Arial"/>
          <w:i/>
        </w:rPr>
        <w:t>Kugathas</w:t>
      </w:r>
      <w:proofErr w:type="spellEnd"/>
      <w:r>
        <w:rPr>
          <w:rFonts w:cs="Arial"/>
          <w:i/>
        </w:rPr>
        <w:t xml:space="preserve"> v Secretary of State for the Home Department </w:t>
      </w:r>
      <w:r>
        <w:rPr>
          <w:rFonts w:cs="Arial"/>
        </w:rPr>
        <w:t xml:space="preserve">[2003] EWCA </w:t>
      </w:r>
      <w:proofErr w:type="spellStart"/>
      <w:r>
        <w:rPr>
          <w:rFonts w:cs="Arial"/>
        </w:rPr>
        <w:t>Civ</w:t>
      </w:r>
      <w:proofErr w:type="spellEnd"/>
      <w:r>
        <w:rPr>
          <w:rFonts w:cs="Arial"/>
        </w:rPr>
        <w:t xml:space="preserve"> 31 Sedley LJ said (in paragraph 17 of this judgment) that “if dependency is read down as meaning “support” in the personal sense, and if one adds, echoing the Strasbourg jurisprudence, “real” or “committed” or “effective” to the word “support” then it represents…the irreducible minimum of what family life means”.</w:t>
      </w:r>
    </w:p>
    <w:p w14:paraId="085F1C38" w14:textId="43CA43D2" w:rsidR="00803B91" w:rsidRDefault="00803B91" w:rsidP="00B90226">
      <w:pPr>
        <w:spacing w:line="360" w:lineRule="auto"/>
        <w:ind w:left="567" w:hanging="567"/>
        <w:jc w:val="both"/>
        <w:rPr>
          <w:rFonts w:cs="Arial"/>
        </w:rPr>
      </w:pPr>
    </w:p>
    <w:p w14:paraId="4198A0F6" w14:textId="159E1D37" w:rsidR="00803B91" w:rsidRDefault="00803B91" w:rsidP="00B90226">
      <w:pPr>
        <w:spacing w:line="360" w:lineRule="auto"/>
        <w:ind w:left="567" w:hanging="567"/>
        <w:jc w:val="both"/>
        <w:rPr>
          <w:rFonts w:cs="Arial"/>
        </w:rPr>
      </w:pPr>
      <w:r>
        <w:rPr>
          <w:rFonts w:cs="Arial"/>
        </w:rPr>
        <w:t>1</w:t>
      </w:r>
      <w:r w:rsidR="00341E14">
        <w:rPr>
          <w:rFonts w:cs="Arial"/>
        </w:rPr>
        <w:t>8</w:t>
      </w:r>
      <w:r>
        <w:rPr>
          <w:rFonts w:cs="Arial"/>
        </w:rPr>
        <w:t>.</w:t>
      </w:r>
      <w:r>
        <w:rPr>
          <w:rFonts w:cs="Arial"/>
        </w:rPr>
        <w:tab/>
        <w:t xml:space="preserve">Lord Justice Lindblom also </w:t>
      </w:r>
      <w:r w:rsidR="00341E14">
        <w:rPr>
          <w:rFonts w:cs="Arial"/>
        </w:rPr>
        <w:t xml:space="preserve">found </w:t>
      </w:r>
      <w:r>
        <w:rPr>
          <w:rFonts w:cs="Arial"/>
        </w:rPr>
        <w:t>later in the same paragraph that it was “not …essential that the members of the family should be in the same country”. He also noted in paragraph 18 that:</w:t>
      </w:r>
    </w:p>
    <w:p w14:paraId="118E9A4A" w14:textId="26C1B624" w:rsidR="00803B91" w:rsidRDefault="00803B91" w:rsidP="00B90226">
      <w:pPr>
        <w:spacing w:line="360" w:lineRule="auto"/>
        <w:ind w:left="567" w:hanging="567"/>
        <w:jc w:val="both"/>
        <w:rPr>
          <w:rFonts w:cs="Arial"/>
        </w:rPr>
      </w:pPr>
    </w:p>
    <w:p w14:paraId="707551D3" w14:textId="49502D44" w:rsidR="00803B91" w:rsidRDefault="00803B91" w:rsidP="001C542D">
      <w:pPr>
        <w:spacing w:line="360" w:lineRule="auto"/>
        <w:ind w:left="1134"/>
        <w:jc w:val="both"/>
        <w:rPr>
          <w:rFonts w:cs="Arial"/>
        </w:rPr>
      </w:pPr>
      <w:r>
        <w:rPr>
          <w:rFonts w:cs="Arial"/>
        </w:rPr>
        <w:t xml:space="preserve">“in </w:t>
      </w:r>
      <w:proofErr w:type="spellStart"/>
      <w:r>
        <w:rPr>
          <w:rFonts w:cs="Arial"/>
          <w:i/>
        </w:rPr>
        <w:t>Ghising</w:t>
      </w:r>
      <w:proofErr w:type="spellEnd"/>
      <w:r>
        <w:rPr>
          <w:rFonts w:cs="Arial"/>
          <w:i/>
        </w:rPr>
        <w:t xml:space="preserve"> (family life – adults – Gurkha policy) </w:t>
      </w:r>
      <w:r>
        <w:rPr>
          <w:rFonts w:cs="Arial"/>
        </w:rPr>
        <w:t xml:space="preserve">the Upper Tribunal accepted (in paragraph 56 of its determination) that the judgment in </w:t>
      </w:r>
      <w:proofErr w:type="spellStart"/>
      <w:r>
        <w:rPr>
          <w:rFonts w:cs="Arial"/>
          <w:i/>
        </w:rPr>
        <w:t>Kuguthas</w:t>
      </w:r>
      <w:proofErr w:type="spellEnd"/>
      <w:r>
        <w:rPr>
          <w:rFonts w:cs="Arial"/>
          <w:i/>
        </w:rPr>
        <w:t xml:space="preserve"> </w:t>
      </w:r>
      <w:r>
        <w:rPr>
          <w:rFonts w:cs="Arial"/>
        </w:rPr>
        <w:t>had been “interpreted to</w:t>
      </w:r>
      <w:r w:rsidR="00341E14">
        <w:rPr>
          <w:rFonts w:cs="Arial"/>
        </w:rPr>
        <w:t>o</w:t>
      </w:r>
      <w:r>
        <w:rPr>
          <w:rFonts w:cs="Arial"/>
        </w:rPr>
        <w:t xml:space="preserve"> restrictively in the past and ought to be read in the light of subsequent decisions of the domestic and Strasbourg courts”, and (in paragraph 60) that “some of the [Strasbourg] Court’s decisions indicate that family life between adult children and parents will readily be found, without evidence of exceptional dependence”.</w:t>
      </w:r>
    </w:p>
    <w:p w14:paraId="5CFA01E0" w14:textId="7E26CD3B" w:rsidR="00803B91" w:rsidRDefault="00803B91" w:rsidP="00B90226">
      <w:pPr>
        <w:spacing w:line="360" w:lineRule="auto"/>
        <w:ind w:left="567" w:hanging="567"/>
        <w:jc w:val="both"/>
        <w:rPr>
          <w:rFonts w:cs="Arial"/>
        </w:rPr>
      </w:pPr>
    </w:p>
    <w:p w14:paraId="319C4EFD" w14:textId="44554FDE" w:rsidR="00803B91" w:rsidRPr="00803B91" w:rsidRDefault="00341E14" w:rsidP="00B90226">
      <w:pPr>
        <w:spacing w:line="360" w:lineRule="auto"/>
        <w:ind w:left="567" w:hanging="567"/>
        <w:jc w:val="both"/>
        <w:rPr>
          <w:rFonts w:cs="Arial"/>
        </w:rPr>
      </w:pPr>
      <w:r>
        <w:rPr>
          <w:rFonts w:cs="Arial"/>
        </w:rPr>
        <w:t>19</w:t>
      </w:r>
      <w:r w:rsidR="00803B91">
        <w:rPr>
          <w:rFonts w:cs="Arial"/>
        </w:rPr>
        <w:t>.</w:t>
      </w:r>
      <w:r w:rsidR="00803B91">
        <w:rPr>
          <w:rFonts w:cs="Arial"/>
        </w:rPr>
        <w:tab/>
      </w:r>
      <w:r w:rsidR="00F77A71">
        <w:rPr>
          <w:rFonts w:cs="Arial"/>
        </w:rPr>
        <w:t>I prefer this exposition of the law on dependency in that it has given more detailed consideration to the law of the Strasbourg Court and also was located in a very similar case involving the family of an ex-Gurkha soldier. As a consequence, I find that the Appellants do enjoy a family life with their parents for the purposes of Article 8.1 of the ECHR, relying on them for accommodation and financial and emotional support and being unmarried.</w:t>
      </w:r>
      <w:r w:rsidR="00465F44">
        <w:rPr>
          <w:rFonts w:cs="Arial"/>
        </w:rPr>
        <w:t xml:space="preserve"> They are </w:t>
      </w:r>
      <w:r>
        <w:rPr>
          <w:rFonts w:cs="Arial"/>
        </w:rPr>
        <w:t xml:space="preserve">also </w:t>
      </w:r>
      <w:r w:rsidR="00465F44">
        <w:rPr>
          <w:rFonts w:cs="Arial"/>
        </w:rPr>
        <w:t>both still being supported in education by their parents in preparation for future careers</w:t>
      </w:r>
      <w:r>
        <w:rPr>
          <w:rFonts w:cs="Arial"/>
        </w:rPr>
        <w:t>,</w:t>
      </w:r>
      <w:r w:rsidR="00465F44">
        <w:rPr>
          <w:rFonts w:cs="Arial"/>
        </w:rPr>
        <w:t xml:space="preserve"> as was clear from the oral evidence given by their mother before the First-tier Tribunal. </w:t>
      </w:r>
      <w:r w:rsidR="00F77A71">
        <w:rPr>
          <w:rFonts w:cs="Arial"/>
        </w:rPr>
        <w:t xml:space="preserve"> </w:t>
      </w:r>
    </w:p>
    <w:p w14:paraId="2B206528" w14:textId="77777777" w:rsidR="007F67D0" w:rsidRDefault="007F67D0" w:rsidP="00B90226">
      <w:pPr>
        <w:spacing w:line="360" w:lineRule="auto"/>
        <w:ind w:left="567" w:hanging="567"/>
        <w:jc w:val="both"/>
        <w:rPr>
          <w:rFonts w:cs="Arial"/>
        </w:rPr>
      </w:pPr>
    </w:p>
    <w:p w14:paraId="770EB4CD" w14:textId="45881838" w:rsidR="00267512" w:rsidRPr="00465F44" w:rsidRDefault="00F77A71" w:rsidP="00B90226">
      <w:pPr>
        <w:spacing w:line="360" w:lineRule="auto"/>
        <w:ind w:left="567" w:hanging="567"/>
        <w:jc w:val="both"/>
        <w:rPr>
          <w:rFonts w:cs="Arial"/>
        </w:rPr>
      </w:pPr>
      <w:r>
        <w:rPr>
          <w:rFonts w:cs="Arial"/>
        </w:rPr>
        <w:lastRenderedPageBreak/>
        <w:t>2</w:t>
      </w:r>
      <w:r w:rsidR="00341E14">
        <w:rPr>
          <w:rFonts w:cs="Arial"/>
        </w:rPr>
        <w:t>0.</w:t>
      </w:r>
      <w:r w:rsidR="00341E14">
        <w:rPr>
          <w:rFonts w:cs="Arial"/>
        </w:rPr>
        <w:tab/>
        <w:t>I also d</w:t>
      </w:r>
      <w:r>
        <w:rPr>
          <w:rFonts w:cs="Arial"/>
        </w:rPr>
        <w:t xml:space="preserve">o not accept the submission made by the Home Office Presenting Officer that the Appellants’ parents had intentionally </w:t>
      </w:r>
      <w:r w:rsidR="00465F44">
        <w:rPr>
          <w:rFonts w:cs="Arial"/>
        </w:rPr>
        <w:t xml:space="preserve">separated from them when they decided to move to the United Kingdom. As was explained in paragraph 23 of </w:t>
      </w:r>
      <w:r w:rsidR="00465F44">
        <w:rPr>
          <w:rFonts w:cs="Arial"/>
          <w:i/>
        </w:rPr>
        <w:t xml:space="preserve">Jitendra Rai, </w:t>
      </w:r>
      <w:r w:rsidR="00465F44">
        <w:rPr>
          <w:rFonts w:cs="Arial"/>
        </w:rPr>
        <w:t>the Appellants</w:t>
      </w:r>
      <w:r w:rsidR="00341E14">
        <w:rPr>
          <w:rFonts w:cs="Arial"/>
        </w:rPr>
        <w:t>’</w:t>
      </w:r>
      <w:r w:rsidR="00465F44">
        <w:rPr>
          <w:rFonts w:cs="Arial"/>
        </w:rPr>
        <w:t xml:space="preserve"> parents could not delay their own entry into the United Kingdom once they and their younger son had been granted entry clearance</w:t>
      </w:r>
      <w:r w:rsidR="00341E14">
        <w:rPr>
          <w:rFonts w:cs="Arial"/>
        </w:rPr>
        <w:t>,</w:t>
      </w:r>
      <w:r w:rsidR="00465F44">
        <w:rPr>
          <w:rFonts w:cs="Arial"/>
        </w:rPr>
        <w:t xml:space="preserve"> as such clearance would lapse after two years pursuant to article 13(4)(a) of the Immigration (Leave to Enter and Remain) Order 2000. </w:t>
      </w:r>
    </w:p>
    <w:p w14:paraId="342621E7" w14:textId="35EF6E2A" w:rsidR="00267512" w:rsidRDefault="00267512" w:rsidP="00267512">
      <w:pPr>
        <w:spacing w:line="360" w:lineRule="auto"/>
        <w:ind w:left="567" w:hanging="567"/>
        <w:jc w:val="both"/>
        <w:rPr>
          <w:rFonts w:cs="Arial"/>
        </w:rPr>
      </w:pPr>
    </w:p>
    <w:p w14:paraId="19A9E43A" w14:textId="1BCA506F" w:rsidR="00267512" w:rsidRDefault="00465F44" w:rsidP="00267512">
      <w:pPr>
        <w:spacing w:line="360" w:lineRule="auto"/>
        <w:ind w:left="567" w:hanging="567"/>
        <w:jc w:val="both"/>
        <w:rPr>
          <w:rFonts w:cs="Arial"/>
        </w:rPr>
      </w:pPr>
      <w:r>
        <w:rPr>
          <w:rFonts w:cs="Arial"/>
        </w:rPr>
        <w:t>2</w:t>
      </w:r>
      <w:r w:rsidR="00341E14">
        <w:rPr>
          <w:rFonts w:cs="Arial"/>
        </w:rPr>
        <w:t>1</w:t>
      </w:r>
      <w:r w:rsidR="00267512">
        <w:rPr>
          <w:rFonts w:cs="Arial"/>
        </w:rPr>
        <w:t>.</w:t>
      </w:r>
      <w:r w:rsidR="00267512">
        <w:rPr>
          <w:rFonts w:cs="Arial"/>
        </w:rPr>
        <w:tab/>
        <w:t xml:space="preserve">The Court of Appeal </w:t>
      </w:r>
      <w:r w:rsidR="00341E14">
        <w:rPr>
          <w:rFonts w:cs="Arial"/>
        </w:rPr>
        <w:t xml:space="preserve">in </w:t>
      </w:r>
      <w:r w:rsidR="00341E14">
        <w:rPr>
          <w:rFonts w:cs="Arial"/>
          <w:i/>
        </w:rPr>
        <w:t xml:space="preserve">Jitendra Rai </w:t>
      </w:r>
      <w:r w:rsidR="00267512">
        <w:rPr>
          <w:rFonts w:cs="Arial"/>
        </w:rPr>
        <w:t xml:space="preserve">also found that the fact that parents had chosen to move to the United Kingdom did not negate the possibility of continuing family life.  In paragraph 18 Lord Justice </w:t>
      </w:r>
      <w:proofErr w:type="spellStart"/>
      <w:r w:rsidR="00267512">
        <w:rPr>
          <w:rFonts w:cs="Arial"/>
        </w:rPr>
        <w:t>Lindbolm</w:t>
      </w:r>
      <w:proofErr w:type="spellEnd"/>
      <w:r w:rsidR="00267512">
        <w:rPr>
          <w:rFonts w:cs="Arial"/>
        </w:rPr>
        <w:t xml:space="preserve"> noted that it was important not to interpret the case of </w:t>
      </w:r>
      <w:proofErr w:type="spellStart"/>
      <w:r w:rsidR="00267512">
        <w:rPr>
          <w:rFonts w:cs="Arial"/>
          <w:i/>
        </w:rPr>
        <w:t>Kugathas</w:t>
      </w:r>
      <w:proofErr w:type="spellEnd"/>
      <w:r w:rsidR="00267512">
        <w:rPr>
          <w:rFonts w:cs="Arial"/>
          <w:i/>
        </w:rPr>
        <w:t xml:space="preserve"> </w:t>
      </w:r>
      <w:proofErr w:type="gramStart"/>
      <w:r w:rsidR="00267512">
        <w:rPr>
          <w:rFonts w:cs="Arial"/>
        </w:rPr>
        <w:t>too  restrictively</w:t>
      </w:r>
      <w:proofErr w:type="gramEnd"/>
      <w:r w:rsidR="00267512">
        <w:rPr>
          <w:rFonts w:cs="Arial"/>
        </w:rPr>
        <w:t xml:space="preserve">. As Lord Dyson held at paragraph 45 of </w:t>
      </w:r>
      <w:r w:rsidR="00267512">
        <w:rPr>
          <w:rFonts w:cs="Arial"/>
          <w:i/>
        </w:rPr>
        <w:t xml:space="preserve">R (on the application of Gurung and others) v Secretary of State for the Home Department </w:t>
      </w:r>
      <w:r w:rsidR="00267512">
        <w:rPr>
          <w:rFonts w:cs="Arial"/>
        </w:rPr>
        <w:t>[2013] 1 WLR 2546 “the question whether an individual enjoys family life is one of fact and depends on a careful consideration of all the relevant facts of the particular case”.</w:t>
      </w:r>
    </w:p>
    <w:p w14:paraId="05BFB791" w14:textId="77777777" w:rsidR="00267512" w:rsidRDefault="00267512" w:rsidP="00B90226">
      <w:pPr>
        <w:spacing w:line="360" w:lineRule="auto"/>
        <w:ind w:left="567" w:hanging="567"/>
        <w:jc w:val="both"/>
        <w:rPr>
          <w:rFonts w:cs="Arial"/>
        </w:rPr>
      </w:pPr>
    </w:p>
    <w:p w14:paraId="0CDBE1D8" w14:textId="7BD6C701" w:rsidR="00773A75" w:rsidRDefault="00465F44" w:rsidP="00B90226">
      <w:pPr>
        <w:spacing w:line="360" w:lineRule="auto"/>
        <w:ind w:left="567" w:hanging="567"/>
        <w:jc w:val="both"/>
        <w:rPr>
          <w:rFonts w:cs="Arial"/>
        </w:rPr>
      </w:pPr>
      <w:r>
        <w:rPr>
          <w:rFonts w:cs="Arial"/>
        </w:rPr>
        <w:t>2</w:t>
      </w:r>
      <w:r w:rsidR="00341E14">
        <w:rPr>
          <w:rFonts w:cs="Arial"/>
        </w:rPr>
        <w:t>2</w:t>
      </w:r>
      <w:r w:rsidR="00773A75">
        <w:rPr>
          <w:rFonts w:cs="Arial"/>
        </w:rPr>
        <w:t>.</w:t>
      </w:r>
      <w:r w:rsidR="00C757AA">
        <w:rPr>
          <w:rFonts w:cs="Arial"/>
        </w:rPr>
        <w:tab/>
      </w:r>
      <w:r w:rsidR="00773A75">
        <w:rPr>
          <w:rFonts w:cs="Arial"/>
        </w:rPr>
        <w:t>In relation to considering whether refusing them entry clearance amounted to a proportionate breach of Article 8 of the ECHR for the purposes of Article 8.2, the Home Office Presenting Officer submitted that the Entry Clearance Officer was responsible for controlling immigration into the United Kingdom and, therefore, the proportionality assessment should not fall in the Appellants’ favour. He did not dispute that</w:t>
      </w:r>
      <w:r w:rsidR="00341E14">
        <w:rPr>
          <w:rFonts w:cs="Arial"/>
        </w:rPr>
        <w:t>,</w:t>
      </w:r>
      <w:r w:rsidR="00773A75">
        <w:rPr>
          <w:rFonts w:cs="Arial"/>
        </w:rPr>
        <w:t xml:space="preserve"> but for the delay in granting the Appellants’ father a right to enter, the Appellants would have qualified for settlement as his minor children or would have been born here and that this had been classified as an historic injustice. </w:t>
      </w:r>
    </w:p>
    <w:p w14:paraId="78E51F6D" w14:textId="77777777" w:rsidR="00773A75" w:rsidRDefault="00773A75" w:rsidP="00B90226">
      <w:pPr>
        <w:spacing w:line="360" w:lineRule="auto"/>
        <w:ind w:left="567" w:hanging="567"/>
        <w:jc w:val="both"/>
        <w:rPr>
          <w:rFonts w:cs="Arial"/>
        </w:rPr>
      </w:pPr>
    </w:p>
    <w:p w14:paraId="0C59B994" w14:textId="082D7F7A" w:rsidR="00C757AA" w:rsidRDefault="00341E14" w:rsidP="00B90226">
      <w:pPr>
        <w:spacing w:line="360" w:lineRule="auto"/>
        <w:ind w:left="567" w:hanging="567"/>
        <w:jc w:val="both"/>
        <w:rPr>
          <w:rFonts w:cs="Arial"/>
        </w:rPr>
      </w:pPr>
      <w:r>
        <w:rPr>
          <w:rFonts w:cs="Arial"/>
        </w:rPr>
        <w:t>23</w:t>
      </w:r>
      <w:r w:rsidR="00773A75">
        <w:rPr>
          <w:rFonts w:cs="Arial"/>
        </w:rPr>
        <w:t xml:space="preserve">. </w:t>
      </w:r>
      <w:r w:rsidR="00773A75">
        <w:rPr>
          <w:rFonts w:cs="Arial"/>
        </w:rPr>
        <w:tab/>
        <w:t>I have noted that i</w:t>
      </w:r>
      <w:r w:rsidR="00C757AA">
        <w:rPr>
          <w:rFonts w:cs="Arial"/>
        </w:rPr>
        <w:t xml:space="preserve">n head note (4) of </w:t>
      </w:r>
      <w:proofErr w:type="spellStart"/>
      <w:r w:rsidR="00C757AA">
        <w:rPr>
          <w:rFonts w:cs="Arial"/>
          <w:i/>
        </w:rPr>
        <w:t>Ghising</w:t>
      </w:r>
      <w:proofErr w:type="spellEnd"/>
      <w:r w:rsidR="00C757AA">
        <w:rPr>
          <w:rFonts w:cs="Arial"/>
          <w:i/>
        </w:rPr>
        <w:t xml:space="preserve"> and others (Ghurkhas/BOCs: historic wrong: weight) </w:t>
      </w:r>
      <w:r w:rsidR="00C757AA">
        <w:rPr>
          <w:rFonts w:cs="Arial"/>
        </w:rPr>
        <w:t>[2013] UKUT 567 (IAC)</w:t>
      </w:r>
      <w:r w:rsidR="00773A75">
        <w:rPr>
          <w:rFonts w:cs="Arial"/>
        </w:rPr>
        <w:t>, the Upper Tribunal concluded that</w:t>
      </w:r>
      <w:r w:rsidR="00C757AA">
        <w:rPr>
          <w:rFonts w:cs="Arial"/>
        </w:rPr>
        <w:t>:</w:t>
      </w:r>
    </w:p>
    <w:p w14:paraId="69310AC6" w14:textId="77777777" w:rsidR="00C757AA" w:rsidRDefault="00C757AA" w:rsidP="00B90226">
      <w:pPr>
        <w:spacing w:line="360" w:lineRule="auto"/>
        <w:ind w:left="567" w:hanging="567"/>
        <w:jc w:val="both"/>
        <w:rPr>
          <w:rFonts w:cs="Arial"/>
        </w:rPr>
      </w:pPr>
    </w:p>
    <w:p w14:paraId="19774DFC" w14:textId="47E00FCF" w:rsidR="00C757AA" w:rsidRDefault="00C757AA" w:rsidP="001C542D">
      <w:pPr>
        <w:spacing w:line="360" w:lineRule="auto"/>
        <w:ind w:left="1134"/>
        <w:jc w:val="both"/>
        <w:rPr>
          <w:rFonts w:cs="Arial"/>
        </w:rPr>
      </w:pPr>
      <w:bookmarkStart w:id="0" w:name="_GoBack"/>
      <w:bookmarkEnd w:id="0"/>
      <w:r>
        <w:rPr>
          <w:rFonts w:cs="Arial"/>
        </w:rPr>
        <w:t xml:space="preserve">“…where it is found that Article 8 is engaged and, but for the historic wrong, the Appellant would have been settled in the UK long ago, this will ordinarily determine the outcome of the Article 8 proportionality assessment in an Appellant’s favour, where the matters relied on by the Secretary of State/entry clearance officer consist solely of the public interest of maintaining a firm immigration control”. </w:t>
      </w:r>
    </w:p>
    <w:p w14:paraId="10F78049" w14:textId="77777777" w:rsidR="00C757AA" w:rsidRDefault="00C757AA" w:rsidP="00B90226">
      <w:pPr>
        <w:spacing w:line="360" w:lineRule="auto"/>
        <w:ind w:left="567" w:hanging="567"/>
        <w:jc w:val="both"/>
        <w:rPr>
          <w:rFonts w:cs="Arial"/>
        </w:rPr>
      </w:pPr>
    </w:p>
    <w:p w14:paraId="02012BCB" w14:textId="2F25A438" w:rsidR="00C757AA" w:rsidRDefault="00773A75" w:rsidP="00223E37">
      <w:pPr>
        <w:spacing w:line="360" w:lineRule="auto"/>
        <w:ind w:left="567" w:hanging="567"/>
        <w:jc w:val="both"/>
        <w:rPr>
          <w:rFonts w:cs="Arial"/>
        </w:rPr>
      </w:pPr>
      <w:r>
        <w:rPr>
          <w:rFonts w:cs="Arial"/>
        </w:rPr>
        <w:t>2</w:t>
      </w:r>
      <w:r w:rsidR="00341E14">
        <w:rPr>
          <w:rFonts w:cs="Arial"/>
        </w:rPr>
        <w:t>4</w:t>
      </w:r>
      <w:r>
        <w:rPr>
          <w:rFonts w:cs="Arial"/>
        </w:rPr>
        <w:t>.</w:t>
      </w:r>
      <w:r>
        <w:rPr>
          <w:rFonts w:cs="Arial"/>
        </w:rPr>
        <w:tab/>
        <w:t xml:space="preserve">I have also noted that there was no suggestion of any criminal offences or poor immigration history which may have counted against the Appellants in the proportionality balance.  As a </w:t>
      </w:r>
      <w:r>
        <w:rPr>
          <w:rFonts w:cs="Arial"/>
        </w:rPr>
        <w:lastRenderedPageBreak/>
        <w:t xml:space="preserve">consequence, I find that refusing them entry clearance amounted to a disproportionate breach of Article 8 of the European Convention on Human </w:t>
      </w:r>
      <w:r w:rsidR="00341E14">
        <w:rPr>
          <w:rFonts w:cs="Arial"/>
        </w:rPr>
        <w:t>Rights.</w:t>
      </w:r>
      <w:r>
        <w:rPr>
          <w:rFonts w:cs="Arial"/>
        </w:rPr>
        <w:t xml:space="preserve"> </w:t>
      </w:r>
      <w:r w:rsidR="00C757AA">
        <w:rPr>
          <w:rFonts w:cs="Arial"/>
        </w:rPr>
        <w:t xml:space="preserve"> </w:t>
      </w:r>
    </w:p>
    <w:p w14:paraId="5830E259" w14:textId="50D7B29F" w:rsidR="00C757AA" w:rsidRDefault="00C757AA" w:rsidP="008C12BC">
      <w:pPr>
        <w:spacing w:line="360" w:lineRule="auto"/>
        <w:ind w:left="567" w:hanging="567"/>
        <w:jc w:val="both"/>
        <w:rPr>
          <w:rFonts w:ascii="Book Antiqua" w:hAnsi="Book Antiqua" w:cs="Arial"/>
        </w:rPr>
      </w:pPr>
      <w:r>
        <w:rPr>
          <w:rFonts w:cs="Arial"/>
          <w:b/>
        </w:rPr>
        <w:tab/>
      </w:r>
      <w:r>
        <w:rPr>
          <w:rFonts w:cs="Arial"/>
          <w:b/>
        </w:rPr>
        <w:tab/>
      </w:r>
      <w:r>
        <w:rPr>
          <w:rFonts w:cs="Arial"/>
          <w:b/>
        </w:rPr>
        <w:tab/>
      </w:r>
      <w:r>
        <w:rPr>
          <w:rFonts w:cs="Arial"/>
          <w:b/>
        </w:rPr>
        <w:tab/>
      </w:r>
    </w:p>
    <w:p w14:paraId="66686152" w14:textId="77777777" w:rsidR="00C757AA" w:rsidRPr="00C027FD" w:rsidRDefault="00C757AA" w:rsidP="00026E39">
      <w:pPr>
        <w:ind w:left="567" w:hanging="567"/>
        <w:jc w:val="both"/>
        <w:rPr>
          <w:rFonts w:ascii="Book Antiqua" w:hAnsi="Book Antiqua" w:cs="Arial"/>
          <w:b/>
        </w:rPr>
      </w:pPr>
      <w:r w:rsidRPr="00C027FD">
        <w:rPr>
          <w:rFonts w:ascii="Book Antiqua" w:hAnsi="Book Antiqua" w:cs="Arial"/>
          <w:b/>
        </w:rPr>
        <w:t xml:space="preserve">DECISION </w:t>
      </w:r>
    </w:p>
    <w:p w14:paraId="4D6A83B2" w14:textId="77777777" w:rsidR="00C757AA" w:rsidRPr="00C027FD" w:rsidRDefault="00C757AA" w:rsidP="00026E39">
      <w:pPr>
        <w:ind w:left="567" w:hanging="567"/>
        <w:jc w:val="both"/>
        <w:rPr>
          <w:rFonts w:ascii="Book Antiqua" w:hAnsi="Book Antiqua" w:cs="Arial"/>
          <w:b/>
        </w:rPr>
      </w:pPr>
    </w:p>
    <w:p w14:paraId="2CF485A4" w14:textId="71129BDA" w:rsidR="00C757AA" w:rsidRPr="00231B99" w:rsidRDefault="00C757AA" w:rsidP="00231B99">
      <w:pPr>
        <w:ind w:left="567" w:hanging="567"/>
        <w:jc w:val="both"/>
        <w:rPr>
          <w:rFonts w:ascii="Book Antiqua" w:hAnsi="Book Antiqua" w:cs="Arial"/>
          <w:b/>
        </w:rPr>
      </w:pPr>
      <w:r>
        <w:rPr>
          <w:rFonts w:ascii="Book Antiqua" w:hAnsi="Book Antiqua" w:cs="Arial"/>
        </w:rPr>
        <w:t>(1)</w:t>
      </w:r>
      <w:r>
        <w:rPr>
          <w:rFonts w:ascii="Book Antiqua" w:hAnsi="Book Antiqua" w:cs="Arial"/>
        </w:rPr>
        <w:tab/>
        <w:t>The Appellants</w:t>
      </w:r>
      <w:r w:rsidR="00267512">
        <w:rPr>
          <w:rFonts w:ascii="Book Antiqua" w:hAnsi="Book Antiqua" w:cs="Arial"/>
        </w:rPr>
        <w:t>’</w:t>
      </w:r>
      <w:r>
        <w:rPr>
          <w:rFonts w:ascii="Book Antiqua" w:hAnsi="Book Antiqua" w:cs="Arial"/>
        </w:rPr>
        <w:t xml:space="preserve"> appeal</w:t>
      </w:r>
      <w:r w:rsidR="00231B99">
        <w:rPr>
          <w:rFonts w:ascii="Book Antiqua" w:hAnsi="Book Antiqua" w:cs="Arial"/>
        </w:rPr>
        <w:t>s are</w:t>
      </w:r>
      <w:r>
        <w:rPr>
          <w:rFonts w:ascii="Book Antiqua" w:hAnsi="Book Antiqua" w:cs="Arial"/>
        </w:rPr>
        <w:t xml:space="preserve"> allowed.          </w:t>
      </w:r>
    </w:p>
    <w:p w14:paraId="3BB7B1D4" w14:textId="77777777" w:rsidR="00C757AA" w:rsidRDefault="00C757AA" w:rsidP="00837D50">
      <w:pPr>
        <w:spacing w:line="360" w:lineRule="auto"/>
        <w:ind w:left="567" w:hanging="567"/>
        <w:jc w:val="both"/>
        <w:rPr>
          <w:rFonts w:ascii="Book Antiqua" w:hAnsi="Book Antiqua" w:cs="Arial"/>
        </w:rPr>
      </w:pPr>
    </w:p>
    <w:p w14:paraId="112DF646" w14:textId="77777777" w:rsidR="00C757AA" w:rsidRDefault="00C757AA" w:rsidP="00026E39">
      <w:pPr>
        <w:ind w:left="567" w:hanging="567"/>
        <w:jc w:val="both"/>
        <w:rPr>
          <w:rFonts w:ascii="Book Antiqua" w:hAnsi="Book Antiqua" w:cs="Arial"/>
        </w:rPr>
      </w:pPr>
    </w:p>
    <w:p w14:paraId="2B4D9041" w14:textId="77777777" w:rsidR="00C757AA" w:rsidRDefault="00C757AA" w:rsidP="00026E39">
      <w:pPr>
        <w:ind w:left="567" w:hanging="567"/>
        <w:jc w:val="both"/>
        <w:rPr>
          <w:rFonts w:ascii="Book Antiqua" w:hAnsi="Book Antiqua" w:cs="Arial"/>
        </w:rPr>
      </w:pPr>
    </w:p>
    <w:p w14:paraId="59A3E9A0" w14:textId="77777777" w:rsidR="00C757AA" w:rsidRPr="00725575" w:rsidRDefault="00C757AA" w:rsidP="00026E39">
      <w:pPr>
        <w:jc w:val="both"/>
        <w:rPr>
          <w:rFonts w:ascii="Lucida Handwriting" w:hAnsi="Lucida Handwriting" w:cs="Arial"/>
          <w:sz w:val="40"/>
        </w:rPr>
      </w:pPr>
      <w:r>
        <w:rPr>
          <w:rFonts w:ascii="Lucida Handwriting" w:hAnsi="Lucida Handwriting" w:cs="Arial"/>
          <w:sz w:val="40"/>
        </w:rPr>
        <w:t>Nadine Finch</w:t>
      </w:r>
    </w:p>
    <w:p w14:paraId="00467B11" w14:textId="77777777" w:rsidR="00C757AA" w:rsidRDefault="00C757AA" w:rsidP="00026E39">
      <w:pPr>
        <w:jc w:val="both"/>
        <w:rPr>
          <w:rFonts w:ascii="Book Antiqua" w:hAnsi="Book Antiqua" w:cs="Arial"/>
        </w:rPr>
      </w:pPr>
    </w:p>
    <w:p w14:paraId="2AEBE9C8" w14:textId="77777777" w:rsidR="00C757AA" w:rsidRPr="00162CB6" w:rsidRDefault="00C757AA" w:rsidP="00026E39">
      <w:pPr>
        <w:ind w:left="567" w:hanging="567"/>
        <w:jc w:val="both"/>
        <w:rPr>
          <w:rFonts w:ascii="Book Antiqua" w:hAnsi="Book Antiqua" w:cs="Arial"/>
        </w:rPr>
      </w:pPr>
    </w:p>
    <w:p w14:paraId="377476C0" w14:textId="79FF7890" w:rsidR="00C757AA" w:rsidRDefault="00C757A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1</w:t>
      </w:r>
      <w:r w:rsidR="00773A75">
        <w:rPr>
          <w:rFonts w:ascii="Book Antiqua" w:hAnsi="Book Antiqua" w:cs="Arial"/>
        </w:rPr>
        <w:t>8 May 2018</w:t>
      </w:r>
    </w:p>
    <w:p w14:paraId="09FC647E" w14:textId="77777777" w:rsidR="00C757AA" w:rsidRDefault="00C757AA" w:rsidP="00847259">
      <w:pPr>
        <w:jc w:val="both"/>
        <w:rPr>
          <w:rFonts w:ascii="Book Antiqua" w:hAnsi="Book Antiqua" w:cs="Arial"/>
        </w:rPr>
      </w:pPr>
    </w:p>
    <w:p w14:paraId="32A7E6DA" w14:textId="77777777" w:rsidR="00C757AA" w:rsidRDefault="00C757AA" w:rsidP="00847259">
      <w:pPr>
        <w:jc w:val="both"/>
        <w:rPr>
          <w:rFonts w:ascii="Book Antiqua" w:hAnsi="Book Antiqua" w:cs="Arial"/>
          <w:color w:val="000000"/>
        </w:rPr>
      </w:pPr>
      <w:r>
        <w:rPr>
          <w:rFonts w:ascii="Book Antiqua" w:hAnsi="Book Antiqua" w:cs="Arial"/>
          <w:color w:val="000000"/>
        </w:rPr>
        <w:t xml:space="preserve">Upper Tribunal Judge Finch </w:t>
      </w:r>
    </w:p>
    <w:p w14:paraId="6E50120F" w14:textId="77777777" w:rsidR="00C757AA" w:rsidRDefault="00C757AA" w:rsidP="00847259">
      <w:pPr>
        <w:jc w:val="both"/>
        <w:rPr>
          <w:rFonts w:ascii="Book Antiqua" w:hAnsi="Book Antiqua" w:cs="Arial"/>
          <w:color w:val="000000"/>
        </w:rPr>
      </w:pPr>
    </w:p>
    <w:p w14:paraId="10D1B3A0" w14:textId="77777777" w:rsidR="00C757AA" w:rsidRDefault="00C757AA" w:rsidP="00847259">
      <w:pPr>
        <w:jc w:val="both"/>
        <w:rPr>
          <w:rFonts w:ascii="Book Antiqua" w:hAnsi="Book Antiqua" w:cs="Arial"/>
          <w:color w:val="000000"/>
        </w:rPr>
      </w:pPr>
    </w:p>
    <w:sectPr w:rsidR="00C757A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EFCC1" w14:textId="77777777" w:rsidR="00A949CB" w:rsidRDefault="00A949CB">
      <w:r>
        <w:separator/>
      </w:r>
    </w:p>
  </w:endnote>
  <w:endnote w:type="continuationSeparator" w:id="0">
    <w:p w14:paraId="20AB16DF" w14:textId="77777777" w:rsidR="00A949CB" w:rsidRDefault="00A9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911934"/>
      <w:docPartObj>
        <w:docPartGallery w:val="Page Numbers (Bottom of Page)"/>
        <w:docPartUnique/>
      </w:docPartObj>
    </w:sdtPr>
    <w:sdtEndPr>
      <w:rPr>
        <w:noProof/>
      </w:rPr>
    </w:sdtEndPr>
    <w:sdtContent>
      <w:p w14:paraId="09151CE4" w14:textId="2FBEE230" w:rsidR="00395E4C" w:rsidRDefault="00395E4C">
        <w:pPr>
          <w:pStyle w:val="Footer"/>
          <w:jc w:val="center"/>
        </w:pPr>
        <w:r>
          <w:fldChar w:fldCharType="begin"/>
        </w:r>
        <w:r>
          <w:instrText xml:space="preserve"> PAGE   \* MERGEFORMAT </w:instrText>
        </w:r>
        <w:r>
          <w:fldChar w:fldCharType="separate"/>
        </w:r>
        <w:r w:rsidR="00602597">
          <w:rPr>
            <w:noProof/>
          </w:rPr>
          <w:t>7</w:t>
        </w:r>
        <w:r>
          <w:rPr>
            <w:noProof/>
          </w:rPr>
          <w:fldChar w:fldCharType="end"/>
        </w:r>
      </w:p>
    </w:sdtContent>
  </w:sdt>
  <w:p w14:paraId="56623EE5" w14:textId="77777777" w:rsidR="00395E4C" w:rsidRDefault="00395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9A6F1" w14:textId="4133AECB" w:rsidR="00C757AA" w:rsidRPr="009B7433" w:rsidRDefault="00C757AA" w:rsidP="00A82254">
    <w:pPr>
      <w:jc w:val="center"/>
      <w:rPr>
        <w:rFonts w:ascii="Book Antiqua" w:hAnsi="Book Antiqua" w:cs="Arial"/>
        <w:b/>
      </w:rPr>
    </w:pPr>
    <w:r w:rsidRPr="009B7433">
      <w:rPr>
        <w:rFonts w:ascii="Book Antiqua" w:hAnsi="Book Antiqua" w:cs="Arial"/>
        <w:b/>
        <w:spacing w:val="-6"/>
      </w:rPr>
      <w:t>©</w:t>
    </w:r>
    <w:r w:rsidR="007B7B5B">
      <w:rPr>
        <w:rFonts w:ascii="Book Antiqua" w:hAnsi="Book Antiqua" w:cs="Arial"/>
        <w:b/>
      </w:rPr>
      <w:t xml:space="preserve"> CROWN COPYRIGHT 2018</w:t>
    </w:r>
  </w:p>
  <w:p w14:paraId="7F86308E" w14:textId="77777777" w:rsidR="00C757AA" w:rsidRDefault="00C75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52AFD" w14:textId="77777777" w:rsidR="00A949CB" w:rsidRDefault="00A949CB">
      <w:r>
        <w:separator/>
      </w:r>
    </w:p>
  </w:footnote>
  <w:footnote w:type="continuationSeparator" w:id="0">
    <w:p w14:paraId="3682643A" w14:textId="77777777" w:rsidR="00A949CB" w:rsidRDefault="00A94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DA29" w14:textId="77777777" w:rsidR="00C757AA" w:rsidRDefault="00C757AA" w:rsidP="00A82254">
    <w:pPr>
      <w:rPr>
        <w:rFonts w:cs="Arial"/>
        <w:color w:val="000000"/>
        <w:sz w:val="16"/>
        <w:szCs w:val="16"/>
      </w:rPr>
    </w:pPr>
    <w:r w:rsidRPr="00A82254">
      <w:rPr>
        <w:rFonts w:ascii="Book Antiqua" w:hAnsi="Book Antiqua" w:cs="Arial"/>
        <w:caps/>
        <w:color w:val="000000"/>
        <w:sz w:val="16"/>
        <w:szCs w:val="16"/>
      </w:rPr>
      <w:t xml:space="preserve">IAC-AR-AR-V1 </w:t>
    </w:r>
    <w:r>
      <w:rPr>
        <w:rFonts w:ascii="Book Antiqua" w:hAnsi="Book Antiqua" w:cs="Arial"/>
        <w:caps/>
        <w:color w:val="000000"/>
        <w:sz w:val="16"/>
        <w:szCs w:val="16"/>
      </w:rPr>
      <w:t xml:space="preserve">                                                                                                                                                               </w:t>
    </w:r>
    <w:r w:rsidRPr="00A82254">
      <w:rPr>
        <w:rFonts w:cs="Arial"/>
        <w:color w:val="000000"/>
        <w:sz w:val="16"/>
        <w:szCs w:val="16"/>
      </w:rPr>
      <w:t xml:space="preserve">Appeal </w:t>
    </w:r>
    <w:proofErr w:type="spellStart"/>
    <w:r w:rsidRPr="00A82254">
      <w:rPr>
        <w:rFonts w:cs="Arial"/>
        <w:color w:val="000000"/>
        <w:sz w:val="16"/>
        <w:szCs w:val="16"/>
      </w:rPr>
      <w:t>Numbe</w:t>
    </w:r>
    <w:r>
      <w:rPr>
        <w:rFonts w:cs="Arial"/>
        <w:color w:val="000000"/>
        <w:sz w:val="16"/>
        <w:szCs w:val="16"/>
      </w:rPr>
      <w:t>r:HU</w:t>
    </w:r>
    <w:proofErr w:type="spellEnd"/>
    <w:r>
      <w:rPr>
        <w:rFonts w:cs="Arial"/>
        <w:color w:val="000000"/>
        <w:sz w:val="16"/>
        <w:szCs w:val="16"/>
      </w:rPr>
      <w:t>/10981/2016</w:t>
    </w:r>
  </w:p>
  <w:p w14:paraId="6F161023" w14:textId="77777777" w:rsidR="00C757AA" w:rsidRPr="00A82254" w:rsidRDefault="00C757AA" w:rsidP="00A82254">
    <w:pPr>
      <w:rPr>
        <w:rFonts w:cs="Arial"/>
        <w:color w:val="000000"/>
        <w:sz w:val="16"/>
        <w:szCs w:val="16"/>
      </w:rPr>
    </w:pPr>
    <w:r>
      <w:rPr>
        <w:rFonts w:cs="Arial"/>
        <w:color w:val="000000"/>
        <w:sz w:val="16"/>
        <w:szCs w:val="16"/>
      </w:rPr>
      <w:t xml:space="preserve">                                                                                                                                                                                                                      HU/10986/2016</w:t>
    </w:r>
  </w:p>
  <w:p w14:paraId="3C76063A" w14:textId="77777777" w:rsidR="00C757AA" w:rsidRDefault="00C75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0DB45266"/>
    <w:multiLevelType w:val="hybridMultilevel"/>
    <w:tmpl w:val="860AD4A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36C2"/>
    <w:rsid w:val="00005C5B"/>
    <w:rsid w:val="00011C5D"/>
    <w:rsid w:val="00013EFF"/>
    <w:rsid w:val="00016BC5"/>
    <w:rsid w:val="00025E48"/>
    <w:rsid w:val="00026E39"/>
    <w:rsid w:val="00033D3D"/>
    <w:rsid w:val="0003772C"/>
    <w:rsid w:val="00040A6C"/>
    <w:rsid w:val="000428C0"/>
    <w:rsid w:val="00045E7E"/>
    <w:rsid w:val="00052233"/>
    <w:rsid w:val="00060196"/>
    <w:rsid w:val="00062F02"/>
    <w:rsid w:val="00071A7E"/>
    <w:rsid w:val="000746C0"/>
    <w:rsid w:val="0007473F"/>
    <w:rsid w:val="00074D1D"/>
    <w:rsid w:val="00087721"/>
    <w:rsid w:val="00092580"/>
    <w:rsid w:val="00093D4D"/>
    <w:rsid w:val="000A3F67"/>
    <w:rsid w:val="000A5B67"/>
    <w:rsid w:val="000B024E"/>
    <w:rsid w:val="000B24F7"/>
    <w:rsid w:val="000B51C2"/>
    <w:rsid w:val="000B5402"/>
    <w:rsid w:val="000B6640"/>
    <w:rsid w:val="000C00D4"/>
    <w:rsid w:val="000C2CDE"/>
    <w:rsid w:val="000C3CB0"/>
    <w:rsid w:val="000C4CC2"/>
    <w:rsid w:val="000D4BC9"/>
    <w:rsid w:val="000D5D94"/>
    <w:rsid w:val="000F1A0E"/>
    <w:rsid w:val="00100617"/>
    <w:rsid w:val="00106C24"/>
    <w:rsid w:val="001107AD"/>
    <w:rsid w:val="00111206"/>
    <w:rsid w:val="00111800"/>
    <w:rsid w:val="0011268F"/>
    <w:rsid w:val="0011302C"/>
    <w:rsid w:val="00114C50"/>
    <w:rsid w:val="001165A7"/>
    <w:rsid w:val="00121A51"/>
    <w:rsid w:val="001222AE"/>
    <w:rsid w:val="00124BCD"/>
    <w:rsid w:val="001263DC"/>
    <w:rsid w:val="00135190"/>
    <w:rsid w:val="001430C7"/>
    <w:rsid w:val="0014653D"/>
    <w:rsid w:val="00151509"/>
    <w:rsid w:val="001521D5"/>
    <w:rsid w:val="001547DD"/>
    <w:rsid w:val="00161D7A"/>
    <w:rsid w:val="00162CB6"/>
    <w:rsid w:val="00166E37"/>
    <w:rsid w:val="00167D3A"/>
    <w:rsid w:val="00173946"/>
    <w:rsid w:val="00174D95"/>
    <w:rsid w:val="00176B08"/>
    <w:rsid w:val="00183704"/>
    <w:rsid w:val="001971C8"/>
    <w:rsid w:val="001A0D0D"/>
    <w:rsid w:val="001A19A9"/>
    <w:rsid w:val="001A2558"/>
    <w:rsid w:val="001A3082"/>
    <w:rsid w:val="001B091F"/>
    <w:rsid w:val="001B186A"/>
    <w:rsid w:val="001B2F75"/>
    <w:rsid w:val="001B768F"/>
    <w:rsid w:val="001C542D"/>
    <w:rsid w:val="001F245E"/>
    <w:rsid w:val="001F2716"/>
    <w:rsid w:val="00203467"/>
    <w:rsid w:val="00206D4A"/>
    <w:rsid w:val="00207617"/>
    <w:rsid w:val="00214E9A"/>
    <w:rsid w:val="0021618E"/>
    <w:rsid w:val="002165E3"/>
    <w:rsid w:val="00223E37"/>
    <w:rsid w:val="00224D49"/>
    <w:rsid w:val="0023134B"/>
    <w:rsid w:val="00231B99"/>
    <w:rsid w:val="002367B0"/>
    <w:rsid w:val="00236A9B"/>
    <w:rsid w:val="00237331"/>
    <w:rsid w:val="002376E5"/>
    <w:rsid w:val="00251A86"/>
    <w:rsid w:val="00253110"/>
    <w:rsid w:val="00253D70"/>
    <w:rsid w:val="00254DBC"/>
    <w:rsid w:val="00256EEF"/>
    <w:rsid w:val="002630D9"/>
    <w:rsid w:val="00264444"/>
    <w:rsid w:val="00264D85"/>
    <w:rsid w:val="00266099"/>
    <w:rsid w:val="00267512"/>
    <w:rsid w:val="00267EBB"/>
    <w:rsid w:val="00271A88"/>
    <w:rsid w:val="002809C0"/>
    <w:rsid w:val="00283659"/>
    <w:rsid w:val="00287C9C"/>
    <w:rsid w:val="002946D1"/>
    <w:rsid w:val="002A5013"/>
    <w:rsid w:val="002A78E2"/>
    <w:rsid w:val="002B676E"/>
    <w:rsid w:val="002C6BD4"/>
    <w:rsid w:val="002D083B"/>
    <w:rsid w:val="002D0E6D"/>
    <w:rsid w:val="002D68BF"/>
    <w:rsid w:val="002E7EA9"/>
    <w:rsid w:val="002F3633"/>
    <w:rsid w:val="002F6B98"/>
    <w:rsid w:val="002F7BBB"/>
    <w:rsid w:val="00300D36"/>
    <w:rsid w:val="00300EFA"/>
    <w:rsid w:val="00303BAF"/>
    <w:rsid w:val="00305F94"/>
    <w:rsid w:val="00321375"/>
    <w:rsid w:val="00322667"/>
    <w:rsid w:val="00335737"/>
    <w:rsid w:val="00336CBF"/>
    <w:rsid w:val="003405C8"/>
    <w:rsid w:val="00341E14"/>
    <w:rsid w:val="00343FE3"/>
    <w:rsid w:val="00352469"/>
    <w:rsid w:val="00353B0E"/>
    <w:rsid w:val="003546C8"/>
    <w:rsid w:val="003626A1"/>
    <w:rsid w:val="00363410"/>
    <w:rsid w:val="0037519F"/>
    <w:rsid w:val="00376618"/>
    <w:rsid w:val="00384748"/>
    <w:rsid w:val="003863F7"/>
    <w:rsid w:val="00390A01"/>
    <w:rsid w:val="00395C30"/>
    <w:rsid w:val="00395E4C"/>
    <w:rsid w:val="003A0375"/>
    <w:rsid w:val="003A7CF2"/>
    <w:rsid w:val="003C5CE5"/>
    <w:rsid w:val="003D3F1E"/>
    <w:rsid w:val="003D461D"/>
    <w:rsid w:val="003D549E"/>
    <w:rsid w:val="003E267B"/>
    <w:rsid w:val="003E7CC8"/>
    <w:rsid w:val="003E7CD1"/>
    <w:rsid w:val="003F4C61"/>
    <w:rsid w:val="00402B9E"/>
    <w:rsid w:val="00404B61"/>
    <w:rsid w:val="00405037"/>
    <w:rsid w:val="00415CC5"/>
    <w:rsid w:val="00420216"/>
    <w:rsid w:val="004249CB"/>
    <w:rsid w:val="00431935"/>
    <w:rsid w:val="00433ABB"/>
    <w:rsid w:val="0044127D"/>
    <w:rsid w:val="004435E1"/>
    <w:rsid w:val="00443BB9"/>
    <w:rsid w:val="00444316"/>
    <w:rsid w:val="004448DB"/>
    <w:rsid w:val="004458F2"/>
    <w:rsid w:val="00446305"/>
    <w:rsid w:val="00446C9A"/>
    <w:rsid w:val="0044726C"/>
    <w:rsid w:val="00447988"/>
    <w:rsid w:val="00451B2C"/>
    <w:rsid w:val="00451D01"/>
    <w:rsid w:val="00452F2B"/>
    <w:rsid w:val="0046060F"/>
    <w:rsid w:val="00464DE1"/>
    <w:rsid w:val="00465F44"/>
    <w:rsid w:val="004672C1"/>
    <w:rsid w:val="00471E3C"/>
    <w:rsid w:val="00477193"/>
    <w:rsid w:val="00484940"/>
    <w:rsid w:val="004931D1"/>
    <w:rsid w:val="00494FBC"/>
    <w:rsid w:val="004A00B4"/>
    <w:rsid w:val="004A1848"/>
    <w:rsid w:val="004A1985"/>
    <w:rsid w:val="004A34EE"/>
    <w:rsid w:val="004A6F4A"/>
    <w:rsid w:val="004B2449"/>
    <w:rsid w:val="004B5275"/>
    <w:rsid w:val="004B66BF"/>
    <w:rsid w:val="004B7E8C"/>
    <w:rsid w:val="004C5D11"/>
    <w:rsid w:val="004E1E3A"/>
    <w:rsid w:val="004E4717"/>
    <w:rsid w:val="004F3592"/>
    <w:rsid w:val="004F55F8"/>
    <w:rsid w:val="004F672C"/>
    <w:rsid w:val="005016E0"/>
    <w:rsid w:val="0050388A"/>
    <w:rsid w:val="005071E6"/>
    <w:rsid w:val="00507FEC"/>
    <w:rsid w:val="00510339"/>
    <w:rsid w:val="00510F0E"/>
    <w:rsid w:val="00511050"/>
    <w:rsid w:val="0051653A"/>
    <w:rsid w:val="00516A49"/>
    <w:rsid w:val="005171BD"/>
    <w:rsid w:val="005259FB"/>
    <w:rsid w:val="00537E50"/>
    <w:rsid w:val="005420FD"/>
    <w:rsid w:val="00543D39"/>
    <w:rsid w:val="00547222"/>
    <w:rsid w:val="005473D4"/>
    <w:rsid w:val="005479E1"/>
    <w:rsid w:val="00553E0A"/>
    <w:rsid w:val="00556B0D"/>
    <w:rsid w:val="005570FD"/>
    <w:rsid w:val="005575EA"/>
    <w:rsid w:val="005611D9"/>
    <w:rsid w:val="005630AD"/>
    <w:rsid w:val="0056365B"/>
    <w:rsid w:val="00565359"/>
    <w:rsid w:val="005661A7"/>
    <w:rsid w:val="0056624B"/>
    <w:rsid w:val="00571979"/>
    <w:rsid w:val="0057790C"/>
    <w:rsid w:val="00590558"/>
    <w:rsid w:val="00593795"/>
    <w:rsid w:val="00595102"/>
    <w:rsid w:val="00596130"/>
    <w:rsid w:val="005A6895"/>
    <w:rsid w:val="005A75FF"/>
    <w:rsid w:val="005B33B6"/>
    <w:rsid w:val="005B7413"/>
    <w:rsid w:val="005C2B9C"/>
    <w:rsid w:val="005C720F"/>
    <w:rsid w:val="005D0062"/>
    <w:rsid w:val="005D10AB"/>
    <w:rsid w:val="005E34E2"/>
    <w:rsid w:val="005E3B61"/>
    <w:rsid w:val="005F3EB4"/>
    <w:rsid w:val="005F7557"/>
    <w:rsid w:val="00601D8F"/>
    <w:rsid w:val="00602597"/>
    <w:rsid w:val="00602C67"/>
    <w:rsid w:val="00602FB3"/>
    <w:rsid w:val="0060435A"/>
    <w:rsid w:val="00604A30"/>
    <w:rsid w:val="00606611"/>
    <w:rsid w:val="00610B20"/>
    <w:rsid w:val="006203FD"/>
    <w:rsid w:val="0062078F"/>
    <w:rsid w:val="00627B05"/>
    <w:rsid w:val="0063325D"/>
    <w:rsid w:val="00636BB7"/>
    <w:rsid w:val="006408F7"/>
    <w:rsid w:val="00643D0C"/>
    <w:rsid w:val="00643F31"/>
    <w:rsid w:val="00646D54"/>
    <w:rsid w:val="006479DD"/>
    <w:rsid w:val="00652381"/>
    <w:rsid w:val="00653E97"/>
    <w:rsid w:val="006705BC"/>
    <w:rsid w:val="00672884"/>
    <w:rsid w:val="00684A74"/>
    <w:rsid w:val="00690B8A"/>
    <w:rsid w:val="00693BA8"/>
    <w:rsid w:val="006A19DA"/>
    <w:rsid w:val="006B3E15"/>
    <w:rsid w:val="006C0A52"/>
    <w:rsid w:val="006C2275"/>
    <w:rsid w:val="006C5055"/>
    <w:rsid w:val="006C7066"/>
    <w:rsid w:val="006D091B"/>
    <w:rsid w:val="006E47C4"/>
    <w:rsid w:val="006F2CF1"/>
    <w:rsid w:val="006F73F1"/>
    <w:rsid w:val="00701A03"/>
    <w:rsid w:val="00702B91"/>
    <w:rsid w:val="00703184"/>
    <w:rsid w:val="007038ED"/>
    <w:rsid w:val="00703BC3"/>
    <w:rsid w:val="00704B61"/>
    <w:rsid w:val="00705AFB"/>
    <w:rsid w:val="00724968"/>
    <w:rsid w:val="00725575"/>
    <w:rsid w:val="007276FF"/>
    <w:rsid w:val="00745C27"/>
    <w:rsid w:val="00747519"/>
    <w:rsid w:val="007552A9"/>
    <w:rsid w:val="00761858"/>
    <w:rsid w:val="0076667E"/>
    <w:rsid w:val="00767019"/>
    <w:rsid w:val="00767D59"/>
    <w:rsid w:val="00772B71"/>
    <w:rsid w:val="007736D2"/>
    <w:rsid w:val="00773A75"/>
    <w:rsid w:val="00776E97"/>
    <w:rsid w:val="00780F86"/>
    <w:rsid w:val="00782593"/>
    <w:rsid w:val="007912AD"/>
    <w:rsid w:val="0079216A"/>
    <w:rsid w:val="007A0794"/>
    <w:rsid w:val="007A5C26"/>
    <w:rsid w:val="007B0824"/>
    <w:rsid w:val="007B0DDF"/>
    <w:rsid w:val="007B2BD6"/>
    <w:rsid w:val="007B5330"/>
    <w:rsid w:val="007B5D3C"/>
    <w:rsid w:val="007B7B5B"/>
    <w:rsid w:val="007C6FA5"/>
    <w:rsid w:val="007D4375"/>
    <w:rsid w:val="007D63FF"/>
    <w:rsid w:val="007E2895"/>
    <w:rsid w:val="007E6E3A"/>
    <w:rsid w:val="007F2534"/>
    <w:rsid w:val="007F339D"/>
    <w:rsid w:val="007F67D0"/>
    <w:rsid w:val="00803B91"/>
    <w:rsid w:val="00806A73"/>
    <w:rsid w:val="00821B72"/>
    <w:rsid w:val="00823EF2"/>
    <w:rsid w:val="00826B2A"/>
    <w:rsid w:val="00827025"/>
    <w:rsid w:val="008303B8"/>
    <w:rsid w:val="00830810"/>
    <w:rsid w:val="00831918"/>
    <w:rsid w:val="00831E27"/>
    <w:rsid w:val="00833D8D"/>
    <w:rsid w:val="00833DCE"/>
    <w:rsid w:val="00836965"/>
    <w:rsid w:val="00837D50"/>
    <w:rsid w:val="00841072"/>
    <w:rsid w:val="00847259"/>
    <w:rsid w:val="008478F6"/>
    <w:rsid w:val="008516F1"/>
    <w:rsid w:val="008537F9"/>
    <w:rsid w:val="00854534"/>
    <w:rsid w:val="008566D0"/>
    <w:rsid w:val="00871063"/>
    <w:rsid w:val="00871D34"/>
    <w:rsid w:val="00874D45"/>
    <w:rsid w:val="0087528C"/>
    <w:rsid w:val="00877198"/>
    <w:rsid w:val="00881860"/>
    <w:rsid w:val="00887792"/>
    <w:rsid w:val="0089348F"/>
    <w:rsid w:val="00897C8C"/>
    <w:rsid w:val="008A2695"/>
    <w:rsid w:val="008A7E3E"/>
    <w:rsid w:val="008B07A3"/>
    <w:rsid w:val="008B270C"/>
    <w:rsid w:val="008B2F0F"/>
    <w:rsid w:val="008B5078"/>
    <w:rsid w:val="008C12BC"/>
    <w:rsid w:val="008C3D3D"/>
    <w:rsid w:val="008D4131"/>
    <w:rsid w:val="008E7B93"/>
    <w:rsid w:val="008F1932"/>
    <w:rsid w:val="008F48D0"/>
    <w:rsid w:val="008F4C67"/>
    <w:rsid w:val="00901577"/>
    <w:rsid w:val="00901A46"/>
    <w:rsid w:val="00921062"/>
    <w:rsid w:val="00922444"/>
    <w:rsid w:val="009239B0"/>
    <w:rsid w:val="00924D93"/>
    <w:rsid w:val="009276B8"/>
    <w:rsid w:val="0093770B"/>
    <w:rsid w:val="00947565"/>
    <w:rsid w:val="009530C8"/>
    <w:rsid w:val="00953E15"/>
    <w:rsid w:val="009604E6"/>
    <w:rsid w:val="00961434"/>
    <w:rsid w:val="009617A1"/>
    <w:rsid w:val="00963E6D"/>
    <w:rsid w:val="00963F7F"/>
    <w:rsid w:val="00964CA0"/>
    <w:rsid w:val="00965C3E"/>
    <w:rsid w:val="009722BC"/>
    <w:rsid w:val="009727A3"/>
    <w:rsid w:val="00974225"/>
    <w:rsid w:val="00976060"/>
    <w:rsid w:val="009771B1"/>
    <w:rsid w:val="00980665"/>
    <w:rsid w:val="00984B68"/>
    <w:rsid w:val="00984E64"/>
    <w:rsid w:val="00986B9E"/>
    <w:rsid w:val="00987774"/>
    <w:rsid w:val="0099516E"/>
    <w:rsid w:val="00996CDA"/>
    <w:rsid w:val="009A11E8"/>
    <w:rsid w:val="009A244B"/>
    <w:rsid w:val="009A6060"/>
    <w:rsid w:val="009B0A37"/>
    <w:rsid w:val="009B443B"/>
    <w:rsid w:val="009B7433"/>
    <w:rsid w:val="009C0687"/>
    <w:rsid w:val="009C3973"/>
    <w:rsid w:val="009D1EA3"/>
    <w:rsid w:val="009D341B"/>
    <w:rsid w:val="009E7D56"/>
    <w:rsid w:val="009F45F1"/>
    <w:rsid w:val="009F5220"/>
    <w:rsid w:val="009F6F01"/>
    <w:rsid w:val="009F7540"/>
    <w:rsid w:val="00A0236C"/>
    <w:rsid w:val="00A11735"/>
    <w:rsid w:val="00A13119"/>
    <w:rsid w:val="00A15234"/>
    <w:rsid w:val="00A201AB"/>
    <w:rsid w:val="00A2642D"/>
    <w:rsid w:val="00A31C8B"/>
    <w:rsid w:val="00A32CD1"/>
    <w:rsid w:val="00A40BC5"/>
    <w:rsid w:val="00A40E83"/>
    <w:rsid w:val="00A46E02"/>
    <w:rsid w:val="00A509FA"/>
    <w:rsid w:val="00A54BD6"/>
    <w:rsid w:val="00A564E3"/>
    <w:rsid w:val="00A575DA"/>
    <w:rsid w:val="00A57B5D"/>
    <w:rsid w:val="00A6017F"/>
    <w:rsid w:val="00A659B5"/>
    <w:rsid w:val="00A743D3"/>
    <w:rsid w:val="00A759FF"/>
    <w:rsid w:val="00A75BCD"/>
    <w:rsid w:val="00A80595"/>
    <w:rsid w:val="00A82254"/>
    <w:rsid w:val="00A845DC"/>
    <w:rsid w:val="00A872EE"/>
    <w:rsid w:val="00A92942"/>
    <w:rsid w:val="00A949CB"/>
    <w:rsid w:val="00AA557A"/>
    <w:rsid w:val="00AA708B"/>
    <w:rsid w:val="00AA77BE"/>
    <w:rsid w:val="00AB0C35"/>
    <w:rsid w:val="00AB20E4"/>
    <w:rsid w:val="00AC4B11"/>
    <w:rsid w:val="00AD5231"/>
    <w:rsid w:val="00AD7BB2"/>
    <w:rsid w:val="00AE1861"/>
    <w:rsid w:val="00AE47FD"/>
    <w:rsid w:val="00AE56EC"/>
    <w:rsid w:val="00AE6DDE"/>
    <w:rsid w:val="00AE7D0A"/>
    <w:rsid w:val="00AE7D4D"/>
    <w:rsid w:val="00AF6109"/>
    <w:rsid w:val="00B01D18"/>
    <w:rsid w:val="00B03D62"/>
    <w:rsid w:val="00B04B47"/>
    <w:rsid w:val="00B04BD3"/>
    <w:rsid w:val="00B14A0F"/>
    <w:rsid w:val="00B14DB5"/>
    <w:rsid w:val="00B25CB9"/>
    <w:rsid w:val="00B26AA2"/>
    <w:rsid w:val="00B30647"/>
    <w:rsid w:val="00B3524D"/>
    <w:rsid w:val="00B36707"/>
    <w:rsid w:val="00B40F69"/>
    <w:rsid w:val="00B40FFF"/>
    <w:rsid w:val="00B46616"/>
    <w:rsid w:val="00B5248D"/>
    <w:rsid w:val="00B601E0"/>
    <w:rsid w:val="00B7040A"/>
    <w:rsid w:val="00B73518"/>
    <w:rsid w:val="00B83391"/>
    <w:rsid w:val="00B84192"/>
    <w:rsid w:val="00B8442D"/>
    <w:rsid w:val="00B84A71"/>
    <w:rsid w:val="00B87286"/>
    <w:rsid w:val="00B87C01"/>
    <w:rsid w:val="00B90226"/>
    <w:rsid w:val="00B95326"/>
    <w:rsid w:val="00B97FAB"/>
    <w:rsid w:val="00BA295F"/>
    <w:rsid w:val="00BB5234"/>
    <w:rsid w:val="00BB7A60"/>
    <w:rsid w:val="00BB7C68"/>
    <w:rsid w:val="00BC042A"/>
    <w:rsid w:val="00BD4196"/>
    <w:rsid w:val="00BE0FBA"/>
    <w:rsid w:val="00BE10F9"/>
    <w:rsid w:val="00BE6E17"/>
    <w:rsid w:val="00BF023D"/>
    <w:rsid w:val="00BF21F8"/>
    <w:rsid w:val="00BF22CA"/>
    <w:rsid w:val="00BF23BB"/>
    <w:rsid w:val="00BF4F4A"/>
    <w:rsid w:val="00BF66E5"/>
    <w:rsid w:val="00C0020C"/>
    <w:rsid w:val="00C00C8D"/>
    <w:rsid w:val="00C027FD"/>
    <w:rsid w:val="00C13AB5"/>
    <w:rsid w:val="00C15C10"/>
    <w:rsid w:val="00C17D15"/>
    <w:rsid w:val="00C17DF6"/>
    <w:rsid w:val="00C26032"/>
    <w:rsid w:val="00C32F37"/>
    <w:rsid w:val="00C345E1"/>
    <w:rsid w:val="00C355A8"/>
    <w:rsid w:val="00C43662"/>
    <w:rsid w:val="00C43BFD"/>
    <w:rsid w:val="00C53074"/>
    <w:rsid w:val="00C63FCE"/>
    <w:rsid w:val="00C74B35"/>
    <w:rsid w:val="00C757AA"/>
    <w:rsid w:val="00C94635"/>
    <w:rsid w:val="00CA3261"/>
    <w:rsid w:val="00CB4AB2"/>
    <w:rsid w:val="00CB5088"/>
    <w:rsid w:val="00CB575C"/>
    <w:rsid w:val="00CB5C75"/>
    <w:rsid w:val="00CB6E35"/>
    <w:rsid w:val="00CD3634"/>
    <w:rsid w:val="00CD3B1E"/>
    <w:rsid w:val="00CD3E3A"/>
    <w:rsid w:val="00CD58CE"/>
    <w:rsid w:val="00CD59AC"/>
    <w:rsid w:val="00CD643A"/>
    <w:rsid w:val="00CE09A5"/>
    <w:rsid w:val="00CE1A46"/>
    <w:rsid w:val="00CE3602"/>
    <w:rsid w:val="00CF20B6"/>
    <w:rsid w:val="00D01A25"/>
    <w:rsid w:val="00D06C8C"/>
    <w:rsid w:val="00D11C22"/>
    <w:rsid w:val="00D20757"/>
    <w:rsid w:val="00D22636"/>
    <w:rsid w:val="00D27055"/>
    <w:rsid w:val="00D33AF2"/>
    <w:rsid w:val="00D40687"/>
    <w:rsid w:val="00D40FD9"/>
    <w:rsid w:val="00D41E9C"/>
    <w:rsid w:val="00D42BE3"/>
    <w:rsid w:val="00D45631"/>
    <w:rsid w:val="00D53769"/>
    <w:rsid w:val="00D558B3"/>
    <w:rsid w:val="00D576FD"/>
    <w:rsid w:val="00D57890"/>
    <w:rsid w:val="00D76EB4"/>
    <w:rsid w:val="00D80907"/>
    <w:rsid w:val="00D858C5"/>
    <w:rsid w:val="00D85C13"/>
    <w:rsid w:val="00D87AF7"/>
    <w:rsid w:val="00D9111A"/>
    <w:rsid w:val="00D91BE3"/>
    <w:rsid w:val="00D9445B"/>
    <w:rsid w:val="00D94AFC"/>
    <w:rsid w:val="00D96BB1"/>
    <w:rsid w:val="00DA31CD"/>
    <w:rsid w:val="00DA7299"/>
    <w:rsid w:val="00DB0FA2"/>
    <w:rsid w:val="00DB2824"/>
    <w:rsid w:val="00DB4CF2"/>
    <w:rsid w:val="00DB6169"/>
    <w:rsid w:val="00DB70AE"/>
    <w:rsid w:val="00DC1BD4"/>
    <w:rsid w:val="00DC39E7"/>
    <w:rsid w:val="00DC6179"/>
    <w:rsid w:val="00DC719A"/>
    <w:rsid w:val="00DD1BBC"/>
    <w:rsid w:val="00DD228A"/>
    <w:rsid w:val="00DD5071"/>
    <w:rsid w:val="00DD5C39"/>
    <w:rsid w:val="00DE6345"/>
    <w:rsid w:val="00DE7DB7"/>
    <w:rsid w:val="00DF01B2"/>
    <w:rsid w:val="00DF09E9"/>
    <w:rsid w:val="00DF0EC0"/>
    <w:rsid w:val="00DF7CE2"/>
    <w:rsid w:val="00E00973"/>
    <w:rsid w:val="00E00A0A"/>
    <w:rsid w:val="00E03875"/>
    <w:rsid w:val="00E066DE"/>
    <w:rsid w:val="00E07F57"/>
    <w:rsid w:val="00E14C03"/>
    <w:rsid w:val="00E17463"/>
    <w:rsid w:val="00E17E24"/>
    <w:rsid w:val="00E25182"/>
    <w:rsid w:val="00E30683"/>
    <w:rsid w:val="00E453D8"/>
    <w:rsid w:val="00E47401"/>
    <w:rsid w:val="00E50BCE"/>
    <w:rsid w:val="00E51F18"/>
    <w:rsid w:val="00E52B70"/>
    <w:rsid w:val="00E574BF"/>
    <w:rsid w:val="00E57959"/>
    <w:rsid w:val="00E61292"/>
    <w:rsid w:val="00E62D1F"/>
    <w:rsid w:val="00E6703A"/>
    <w:rsid w:val="00E67616"/>
    <w:rsid w:val="00E75E86"/>
    <w:rsid w:val="00E77C4D"/>
    <w:rsid w:val="00E81D01"/>
    <w:rsid w:val="00E83B41"/>
    <w:rsid w:val="00E841E4"/>
    <w:rsid w:val="00E845A5"/>
    <w:rsid w:val="00E848CE"/>
    <w:rsid w:val="00E85E57"/>
    <w:rsid w:val="00EA53CE"/>
    <w:rsid w:val="00EB5FC7"/>
    <w:rsid w:val="00EB772A"/>
    <w:rsid w:val="00EC0100"/>
    <w:rsid w:val="00EC3926"/>
    <w:rsid w:val="00EC59F5"/>
    <w:rsid w:val="00ED345E"/>
    <w:rsid w:val="00ED5594"/>
    <w:rsid w:val="00ED56AC"/>
    <w:rsid w:val="00ED5C52"/>
    <w:rsid w:val="00ED7C65"/>
    <w:rsid w:val="00EE1E3E"/>
    <w:rsid w:val="00EE45D8"/>
    <w:rsid w:val="00EE6411"/>
    <w:rsid w:val="00EF488C"/>
    <w:rsid w:val="00EF501B"/>
    <w:rsid w:val="00F115EC"/>
    <w:rsid w:val="00F15CE3"/>
    <w:rsid w:val="00F179F0"/>
    <w:rsid w:val="00F22EDA"/>
    <w:rsid w:val="00F301F6"/>
    <w:rsid w:val="00F34B59"/>
    <w:rsid w:val="00F41E63"/>
    <w:rsid w:val="00F563E7"/>
    <w:rsid w:val="00F63267"/>
    <w:rsid w:val="00F67AA0"/>
    <w:rsid w:val="00F729E6"/>
    <w:rsid w:val="00F74FA7"/>
    <w:rsid w:val="00F75D7A"/>
    <w:rsid w:val="00F760DA"/>
    <w:rsid w:val="00F77A71"/>
    <w:rsid w:val="00F84B01"/>
    <w:rsid w:val="00F85BA0"/>
    <w:rsid w:val="00F97364"/>
    <w:rsid w:val="00FA040C"/>
    <w:rsid w:val="00FA57B6"/>
    <w:rsid w:val="00FA608B"/>
    <w:rsid w:val="00FB6DB1"/>
    <w:rsid w:val="00FC244D"/>
    <w:rsid w:val="00FC4DDB"/>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4:docId w14:val="4EB4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 w:type="paragraph" w:styleId="ListParagraph">
    <w:name w:val="List Paragraph"/>
    <w:basedOn w:val="Normal"/>
    <w:uiPriority w:val="34"/>
    <w:qFormat/>
    <w:rsid w:val="00D41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6198">
      <w:marLeft w:val="0"/>
      <w:marRight w:val="0"/>
      <w:marTop w:val="0"/>
      <w:marBottom w:val="0"/>
      <w:divBdr>
        <w:top w:val="none" w:sz="0" w:space="0" w:color="auto"/>
        <w:left w:val="none" w:sz="0" w:space="0" w:color="auto"/>
        <w:bottom w:val="none" w:sz="0" w:space="0" w:color="auto"/>
        <w:right w:val="none" w:sz="0" w:space="0" w:color="auto"/>
      </w:divBdr>
      <w:divsChild>
        <w:div w:id="24986204">
          <w:marLeft w:val="0"/>
          <w:marRight w:val="0"/>
          <w:marTop w:val="0"/>
          <w:marBottom w:val="0"/>
          <w:divBdr>
            <w:top w:val="none" w:sz="0" w:space="0" w:color="auto"/>
            <w:left w:val="none" w:sz="0" w:space="0" w:color="auto"/>
            <w:bottom w:val="none" w:sz="0" w:space="0" w:color="auto"/>
            <w:right w:val="none" w:sz="0" w:space="0" w:color="auto"/>
          </w:divBdr>
          <w:divsChild>
            <w:div w:id="24986205">
              <w:marLeft w:val="0"/>
              <w:marRight w:val="0"/>
              <w:marTop w:val="0"/>
              <w:marBottom w:val="0"/>
              <w:divBdr>
                <w:top w:val="single" w:sz="2" w:space="0" w:color="FFFFFF"/>
                <w:left w:val="single" w:sz="6" w:space="0" w:color="FFFFFF"/>
                <w:bottom w:val="single" w:sz="6" w:space="0" w:color="FFFFFF"/>
                <w:right w:val="single" w:sz="6" w:space="0" w:color="FFFFFF"/>
              </w:divBdr>
              <w:divsChild>
                <w:div w:id="24986206">
                  <w:marLeft w:val="0"/>
                  <w:marRight w:val="0"/>
                  <w:marTop w:val="0"/>
                  <w:marBottom w:val="0"/>
                  <w:divBdr>
                    <w:top w:val="single" w:sz="6" w:space="1" w:color="D3D3D3"/>
                    <w:left w:val="none" w:sz="0" w:space="0" w:color="auto"/>
                    <w:bottom w:val="none" w:sz="0" w:space="0" w:color="auto"/>
                    <w:right w:val="none" w:sz="0" w:space="0" w:color="auto"/>
                  </w:divBdr>
                  <w:divsChild>
                    <w:div w:id="249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6200">
      <w:marLeft w:val="0"/>
      <w:marRight w:val="0"/>
      <w:marTop w:val="0"/>
      <w:marBottom w:val="0"/>
      <w:divBdr>
        <w:top w:val="none" w:sz="0" w:space="0" w:color="auto"/>
        <w:left w:val="none" w:sz="0" w:space="0" w:color="auto"/>
        <w:bottom w:val="none" w:sz="0" w:space="0" w:color="auto"/>
        <w:right w:val="none" w:sz="0" w:space="0" w:color="auto"/>
      </w:divBdr>
    </w:div>
    <w:div w:id="24986201">
      <w:marLeft w:val="0"/>
      <w:marRight w:val="0"/>
      <w:marTop w:val="0"/>
      <w:marBottom w:val="0"/>
      <w:divBdr>
        <w:top w:val="none" w:sz="0" w:space="0" w:color="auto"/>
        <w:left w:val="none" w:sz="0" w:space="0" w:color="auto"/>
        <w:bottom w:val="none" w:sz="0" w:space="0" w:color="auto"/>
        <w:right w:val="none" w:sz="0" w:space="0" w:color="auto"/>
      </w:divBdr>
    </w:div>
    <w:div w:id="24986202">
      <w:marLeft w:val="0"/>
      <w:marRight w:val="0"/>
      <w:marTop w:val="0"/>
      <w:marBottom w:val="0"/>
      <w:divBdr>
        <w:top w:val="none" w:sz="0" w:space="0" w:color="auto"/>
        <w:left w:val="none" w:sz="0" w:space="0" w:color="auto"/>
        <w:bottom w:val="none" w:sz="0" w:space="0" w:color="auto"/>
        <w:right w:val="none" w:sz="0" w:space="0" w:color="auto"/>
      </w:divBdr>
    </w:div>
    <w:div w:id="249862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2181</Words>
  <Characters>11857</Characters>
  <Application>Microsoft Office Word</Application>
  <DocSecurity>0</DocSecurity>
  <Lines>98</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2018-06-14T14:06:00Z</dcterms:created>
  <dcterms:modified xsi:type="dcterms:W3CDTF">2018-06-14T14:06:00Z</dcterms:modified>
</cp:coreProperties>
</file>