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AF7FE" w14:textId="77777777" w:rsidR="00C321B5" w:rsidRPr="00F5664C" w:rsidRDefault="00EA6EBB" w:rsidP="00C321B5">
      <w:pPr>
        <w:jc w:val="center"/>
        <w:rPr>
          <w:rFonts w:ascii="Book Antiqua" w:hAnsi="Book Antiqua" w:cs="Arial"/>
          <w:sz w:val="16"/>
          <w:szCs w:val="16"/>
        </w:rPr>
      </w:pPr>
      <w:r>
        <w:rPr>
          <w:noProof/>
        </w:rPr>
        <w:drawing>
          <wp:inline distT="0" distB="0" distL="0" distR="0" wp14:anchorId="70B2844C" wp14:editId="0B8A4E13">
            <wp:extent cx="1047115"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115" cy="906145"/>
                    </a:xfrm>
                    <a:prstGeom prst="rect">
                      <a:avLst/>
                    </a:prstGeom>
                    <a:noFill/>
                    <a:ln>
                      <a:noFill/>
                    </a:ln>
                  </pic:spPr>
                </pic:pic>
              </a:graphicData>
            </a:graphic>
          </wp:inline>
        </w:drawing>
      </w:r>
    </w:p>
    <w:p w14:paraId="601CB303" w14:textId="552CC643"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480C66BC"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3A2955" w:rsidRPr="003A2955">
        <w:rPr>
          <w:rFonts w:ascii="Book Antiqua" w:hAnsi="Book Antiqua" w:cs="Arial"/>
          <w:caps/>
        </w:rPr>
        <w:t>HU/11088/2016</w:t>
      </w:r>
      <w:bookmarkEnd w:id="0"/>
    </w:p>
    <w:p w14:paraId="1ECE22AD" w14:textId="77777777" w:rsidR="00C345E1" w:rsidRPr="00F5664C" w:rsidRDefault="00C345E1" w:rsidP="00C345E1">
      <w:pPr>
        <w:jc w:val="center"/>
        <w:rPr>
          <w:rFonts w:ascii="Book Antiqua" w:hAnsi="Book Antiqua" w:cs="Arial"/>
        </w:rPr>
      </w:pPr>
    </w:p>
    <w:p w14:paraId="6514FB4C" w14:textId="77777777" w:rsidR="00C345E1" w:rsidRPr="00F5664C" w:rsidRDefault="00C345E1" w:rsidP="00C345E1">
      <w:pPr>
        <w:jc w:val="center"/>
        <w:rPr>
          <w:rFonts w:ascii="Book Antiqua" w:hAnsi="Book Antiqua" w:cs="Arial"/>
        </w:rPr>
      </w:pPr>
    </w:p>
    <w:p w14:paraId="70F97224"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2C9CBF9F" w14:textId="77777777" w:rsidR="00C345E1" w:rsidRPr="00F5664C" w:rsidRDefault="00C345E1" w:rsidP="00C345E1">
      <w:pPr>
        <w:jc w:val="center"/>
        <w:rPr>
          <w:rFonts w:ascii="Book Antiqua" w:hAnsi="Book Antiqua" w:cs="Arial"/>
          <w:b/>
          <w:u w:val="single"/>
        </w:rPr>
      </w:pPr>
    </w:p>
    <w:p w14:paraId="14700A03" w14:textId="77777777" w:rsidR="00C345E1" w:rsidRPr="00F5664C" w:rsidRDefault="00C345E1" w:rsidP="00C345E1">
      <w:pPr>
        <w:jc w:val="center"/>
        <w:rPr>
          <w:rFonts w:ascii="Book Antiqua" w:hAnsi="Book Antiqua" w:cs="Arial"/>
          <w:b/>
          <w:u w:val="single"/>
        </w:rPr>
      </w:pPr>
    </w:p>
    <w:tbl>
      <w:tblPr>
        <w:tblStyle w:val="TableGrid"/>
        <w:tblW w:w="10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37"/>
        <w:gridCol w:w="4171"/>
      </w:tblGrid>
      <w:tr w:rsidR="00D22636" w:rsidRPr="00F5664C" w14:paraId="0E084CC5" w14:textId="77777777" w:rsidTr="0091557E">
        <w:trPr>
          <w:trHeight w:val="269"/>
        </w:trPr>
        <w:tc>
          <w:tcPr>
            <w:tcW w:w="6037" w:type="dxa"/>
          </w:tcPr>
          <w:p w14:paraId="293CC100"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3A2955">
              <w:rPr>
                <w:rFonts w:ascii="Book Antiqua" w:hAnsi="Book Antiqua" w:cs="Arial"/>
                <w:b/>
              </w:rPr>
              <w:t xml:space="preserve">Field House </w:t>
            </w:r>
          </w:p>
        </w:tc>
        <w:tc>
          <w:tcPr>
            <w:tcW w:w="4171" w:type="dxa"/>
          </w:tcPr>
          <w:p w14:paraId="1AC4E16A" w14:textId="77777777" w:rsidR="00D22636" w:rsidRPr="00F5664C" w:rsidRDefault="00283659" w:rsidP="004A1848">
            <w:pPr>
              <w:jc w:val="both"/>
              <w:rPr>
                <w:rFonts w:ascii="Book Antiqua" w:hAnsi="Book Antiqua" w:cs="Arial"/>
                <w:b/>
              </w:rPr>
            </w:pPr>
            <w:r w:rsidRPr="00F5664C">
              <w:rPr>
                <w:rFonts w:ascii="Book Antiqua" w:hAnsi="Book Antiqua" w:cs="Arial"/>
                <w:b/>
              </w:rPr>
              <w:t>De</w:t>
            </w:r>
            <w:r w:rsidR="00864126">
              <w:rPr>
                <w:rFonts w:ascii="Book Antiqua" w:hAnsi="Book Antiqua" w:cs="Arial"/>
                <w:b/>
              </w:rPr>
              <w:t>cision &amp; Reasons</w:t>
            </w:r>
            <w:r w:rsidRPr="00F5664C">
              <w:rPr>
                <w:rFonts w:ascii="Book Antiqua" w:hAnsi="Book Antiqua" w:cs="Arial"/>
                <w:b/>
              </w:rPr>
              <w:t xml:space="preserve"> Promulgated</w:t>
            </w:r>
          </w:p>
        </w:tc>
      </w:tr>
      <w:tr w:rsidR="00D22636" w:rsidRPr="00F5664C" w14:paraId="4121B9D8" w14:textId="77777777" w:rsidTr="0091557E">
        <w:trPr>
          <w:trHeight w:val="283"/>
        </w:trPr>
        <w:tc>
          <w:tcPr>
            <w:tcW w:w="6037" w:type="dxa"/>
          </w:tcPr>
          <w:p w14:paraId="6F75C9F3"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3A2955">
              <w:rPr>
                <w:rFonts w:ascii="Book Antiqua" w:hAnsi="Book Antiqua" w:cs="Arial"/>
                <w:b/>
              </w:rPr>
              <w:t>24</w:t>
            </w:r>
            <w:r w:rsidR="003A2955" w:rsidRPr="003A2955">
              <w:rPr>
                <w:rFonts w:ascii="Book Antiqua" w:hAnsi="Book Antiqua" w:cs="Arial"/>
                <w:b/>
                <w:vertAlign w:val="superscript"/>
              </w:rPr>
              <w:t>th</w:t>
            </w:r>
            <w:r w:rsidR="003A2955">
              <w:rPr>
                <w:rFonts w:ascii="Book Antiqua" w:hAnsi="Book Antiqua" w:cs="Arial"/>
                <w:b/>
              </w:rPr>
              <w:t xml:space="preserve"> August 2018 </w:t>
            </w:r>
          </w:p>
        </w:tc>
        <w:tc>
          <w:tcPr>
            <w:tcW w:w="4171" w:type="dxa"/>
          </w:tcPr>
          <w:p w14:paraId="14D16BD0" w14:textId="573CDD3D" w:rsidR="00D22636" w:rsidRPr="00F5664C" w:rsidRDefault="0091557E" w:rsidP="004A1848">
            <w:pPr>
              <w:jc w:val="both"/>
              <w:rPr>
                <w:rFonts w:ascii="Book Antiqua" w:hAnsi="Book Antiqua" w:cs="Arial"/>
                <w:b/>
              </w:rPr>
            </w:pPr>
            <w:bookmarkStart w:id="1" w:name="_Hlk524961044"/>
            <w:r w:rsidRPr="00A56832">
              <w:rPr>
                <w:rFonts w:ascii="Book Antiqua" w:hAnsi="Book Antiqua" w:cs="Arial"/>
                <w:b/>
              </w:rPr>
              <w:t xml:space="preserve">On </w:t>
            </w:r>
            <w:r>
              <w:rPr>
                <w:rFonts w:ascii="Book Antiqua" w:hAnsi="Book Antiqua" w:cs="Arial"/>
                <w:b/>
              </w:rPr>
              <w:t>18</w:t>
            </w:r>
            <w:r w:rsidRPr="0091557E">
              <w:rPr>
                <w:rFonts w:ascii="Book Antiqua" w:hAnsi="Book Antiqua" w:cs="Arial"/>
                <w:b/>
                <w:vertAlign w:val="superscript"/>
              </w:rPr>
              <w:t>th</w:t>
            </w:r>
            <w:r>
              <w:rPr>
                <w:rFonts w:ascii="Book Antiqua" w:hAnsi="Book Antiqua" w:cs="Arial"/>
                <w:b/>
              </w:rPr>
              <w:t xml:space="preserve"> September 2018</w:t>
            </w:r>
            <w:bookmarkEnd w:id="1"/>
          </w:p>
        </w:tc>
      </w:tr>
      <w:tr w:rsidR="00D22636" w:rsidRPr="00F5664C" w14:paraId="59DA3670" w14:textId="77777777" w:rsidTr="0091557E">
        <w:trPr>
          <w:trHeight w:val="269"/>
        </w:trPr>
        <w:tc>
          <w:tcPr>
            <w:tcW w:w="6037" w:type="dxa"/>
          </w:tcPr>
          <w:p w14:paraId="45E35E8C" w14:textId="77777777" w:rsidR="00D22636" w:rsidRPr="00F5664C" w:rsidRDefault="00D22636" w:rsidP="004A1848">
            <w:pPr>
              <w:jc w:val="both"/>
              <w:rPr>
                <w:rFonts w:ascii="Book Antiqua" w:hAnsi="Book Antiqua" w:cs="Arial"/>
                <w:b/>
              </w:rPr>
            </w:pPr>
          </w:p>
        </w:tc>
        <w:tc>
          <w:tcPr>
            <w:tcW w:w="4171" w:type="dxa"/>
          </w:tcPr>
          <w:p w14:paraId="3EAEFAD9" w14:textId="7D38628C" w:rsidR="00D22636" w:rsidRPr="00F5664C" w:rsidRDefault="00D22636" w:rsidP="004A1848">
            <w:pPr>
              <w:jc w:val="both"/>
              <w:rPr>
                <w:rFonts w:ascii="Book Antiqua" w:hAnsi="Book Antiqua" w:cs="Arial"/>
                <w:b/>
              </w:rPr>
            </w:pPr>
          </w:p>
        </w:tc>
      </w:tr>
    </w:tbl>
    <w:p w14:paraId="23675E33" w14:textId="77777777" w:rsidR="00A15234" w:rsidRPr="00F5664C" w:rsidRDefault="00A15234" w:rsidP="00A15234">
      <w:pPr>
        <w:jc w:val="center"/>
        <w:rPr>
          <w:rFonts w:ascii="Book Antiqua" w:hAnsi="Book Antiqua" w:cs="Arial"/>
        </w:rPr>
      </w:pPr>
    </w:p>
    <w:p w14:paraId="392EAE93"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4EEC0688" w14:textId="77777777" w:rsidR="00A15234" w:rsidRPr="00F5664C" w:rsidRDefault="00A15234" w:rsidP="00A15234">
      <w:pPr>
        <w:jc w:val="center"/>
        <w:rPr>
          <w:rFonts w:ascii="Book Antiqua" w:hAnsi="Book Antiqua" w:cs="Arial"/>
          <w:b/>
        </w:rPr>
      </w:pPr>
    </w:p>
    <w:p w14:paraId="4FC37409" w14:textId="77777777" w:rsidR="00A845DC" w:rsidRDefault="000A32A2"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BE4FE1">
        <w:rPr>
          <w:rFonts w:ascii="Book Antiqua" w:hAnsi="Book Antiqua" w:cs="Arial"/>
          <w:b/>
        </w:rPr>
        <w:t>ZUCKER</w:t>
      </w:r>
    </w:p>
    <w:p w14:paraId="184754F0" w14:textId="77777777" w:rsidR="001A1E2C" w:rsidRDefault="001A1E2C" w:rsidP="00A15234">
      <w:pPr>
        <w:jc w:val="center"/>
        <w:rPr>
          <w:rFonts w:ascii="Book Antiqua" w:hAnsi="Book Antiqua" w:cs="Arial"/>
          <w:b/>
        </w:rPr>
      </w:pPr>
    </w:p>
    <w:p w14:paraId="03924299" w14:textId="77777777" w:rsidR="00B16F58" w:rsidRPr="00F5664C" w:rsidRDefault="00B16F58" w:rsidP="00A15234">
      <w:pPr>
        <w:jc w:val="center"/>
        <w:rPr>
          <w:rFonts w:ascii="Book Antiqua" w:hAnsi="Book Antiqua" w:cs="Arial"/>
          <w:b/>
        </w:rPr>
      </w:pPr>
    </w:p>
    <w:p w14:paraId="1D119F08"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480EB944" w14:textId="77777777" w:rsidR="00A845DC" w:rsidRPr="00F5664C" w:rsidRDefault="00A845DC" w:rsidP="00A15234">
      <w:pPr>
        <w:jc w:val="center"/>
        <w:rPr>
          <w:rFonts w:ascii="Book Antiqua" w:hAnsi="Book Antiqua" w:cs="Arial"/>
          <w:b/>
        </w:rPr>
      </w:pPr>
    </w:p>
    <w:p w14:paraId="77E64ADA" w14:textId="77777777" w:rsidR="005B4942" w:rsidRDefault="003A2955" w:rsidP="005B4942">
      <w:pPr>
        <w:jc w:val="center"/>
        <w:rPr>
          <w:rFonts w:ascii="Book Antiqua" w:hAnsi="Book Antiqua" w:cs="Arial"/>
          <w:b/>
          <w:caps/>
        </w:rPr>
      </w:pPr>
      <w:r>
        <w:rPr>
          <w:rFonts w:ascii="Book Antiqua" w:hAnsi="Book Antiqua" w:cs="Arial"/>
          <w:b/>
          <w:caps/>
        </w:rPr>
        <w:t>the Secretary of State for the Home Department</w:t>
      </w:r>
    </w:p>
    <w:p w14:paraId="58D295A3" w14:textId="77777777" w:rsidR="00704B61" w:rsidRPr="00F5664C" w:rsidRDefault="00680843" w:rsidP="00704B61">
      <w:pPr>
        <w:jc w:val="right"/>
        <w:rPr>
          <w:rFonts w:ascii="Book Antiqua" w:hAnsi="Book Antiqua" w:cs="Arial"/>
          <w:u w:val="single"/>
        </w:rPr>
      </w:pPr>
      <w:r>
        <w:rPr>
          <w:rFonts w:ascii="Book Antiqua" w:hAnsi="Book Antiqua" w:cs="Arial"/>
          <w:u w:val="single"/>
        </w:rPr>
        <w:t>Appellant</w:t>
      </w:r>
    </w:p>
    <w:p w14:paraId="21C38594" w14:textId="77777777" w:rsidR="006D1DFA" w:rsidRPr="00F5664C" w:rsidRDefault="006D1DFA" w:rsidP="00704B61">
      <w:pPr>
        <w:jc w:val="center"/>
        <w:rPr>
          <w:rFonts w:ascii="Book Antiqua" w:hAnsi="Book Antiqua" w:cs="Arial"/>
          <w:b/>
        </w:rPr>
      </w:pPr>
    </w:p>
    <w:p w14:paraId="64E83FCD"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3CE48ECA" w14:textId="77777777" w:rsidR="00DD5071" w:rsidRPr="00F5664C" w:rsidRDefault="00DD5071" w:rsidP="00704B61">
      <w:pPr>
        <w:jc w:val="center"/>
        <w:rPr>
          <w:rFonts w:ascii="Book Antiqua" w:hAnsi="Book Antiqua" w:cs="Arial"/>
          <w:b/>
        </w:rPr>
      </w:pPr>
    </w:p>
    <w:p w14:paraId="2746A3C4" w14:textId="77777777" w:rsidR="003A2955" w:rsidRDefault="003A2955" w:rsidP="003A2955">
      <w:pPr>
        <w:jc w:val="center"/>
        <w:rPr>
          <w:rFonts w:ascii="Book Antiqua" w:hAnsi="Book Antiqua" w:cs="Arial"/>
          <w:b/>
          <w:caps/>
        </w:rPr>
      </w:pPr>
      <w:r w:rsidRPr="003A2955">
        <w:rPr>
          <w:rFonts w:ascii="Book Antiqua" w:hAnsi="Book Antiqua" w:cs="Arial"/>
          <w:b/>
          <w:caps/>
        </w:rPr>
        <w:t>K M Anisur</w:t>
      </w:r>
      <w:r>
        <w:rPr>
          <w:rFonts w:ascii="Book Antiqua" w:hAnsi="Book Antiqua" w:cs="Arial"/>
          <w:b/>
          <w:caps/>
        </w:rPr>
        <w:t xml:space="preserve"> </w:t>
      </w:r>
      <w:r w:rsidRPr="003A2955">
        <w:rPr>
          <w:rFonts w:ascii="Book Antiqua" w:hAnsi="Book Antiqua" w:cs="Arial"/>
          <w:b/>
          <w:caps/>
        </w:rPr>
        <w:t>Rahman</w:t>
      </w:r>
    </w:p>
    <w:p w14:paraId="5C055B83" w14:textId="77777777" w:rsidR="00DD5071" w:rsidRPr="00F5664C" w:rsidRDefault="003A2955" w:rsidP="00704B61">
      <w:pPr>
        <w:jc w:val="center"/>
        <w:rPr>
          <w:rFonts w:ascii="Book Antiqua" w:hAnsi="Book Antiqua" w:cs="Arial"/>
          <w:b/>
          <w:caps/>
        </w:rPr>
      </w:pPr>
      <w:r w:rsidRPr="005B4942">
        <w:rPr>
          <w:rFonts w:ascii="Book Antiqua" w:hAnsi="Book Antiqua" w:cs="Arial"/>
          <w:b/>
          <w:caps/>
        </w:rPr>
        <w:t xml:space="preserve">(ANONYMITY DIRECTION </w:t>
      </w:r>
      <w:r>
        <w:rPr>
          <w:rFonts w:ascii="Book Antiqua" w:hAnsi="Book Antiqua" w:cs="Arial"/>
          <w:b/>
          <w:caps/>
        </w:rPr>
        <w:t>not made</w:t>
      </w:r>
      <w:r w:rsidRPr="005B4942">
        <w:rPr>
          <w:rFonts w:ascii="Book Antiqua" w:hAnsi="Book Antiqua" w:cs="Arial"/>
          <w:b/>
          <w:caps/>
        </w:rPr>
        <w:t>)</w:t>
      </w:r>
    </w:p>
    <w:p w14:paraId="54948B1A" w14:textId="77777777" w:rsidR="00DD5071" w:rsidRPr="00F5664C" w:rsidRDefault="00680843" w:rsidP="00DD5071">
      <w:pPr>
        <w:jc w:val="right"/>
        <w:rPr>
          <w:rFonts w:ascii="Book Antiqua" w:hAnsi="Book Antiqua" w:cs="Arial"/>
          <w:u w:val="single"/>
        </w:rPr>
      </w:pPr>
      <w:r>
        <w:rPr>
          <w:rFonts w:ascii="Book Antiqua" w:hAnsi="Book Antiqua" w:cs="Arial"/>
          <w:u w:val="single"/>
        </w:rPr>
        <w:t>Respondent</w:t>
      </w:r>
    </w:p>
    <w:p w14:paraId="61A94E78" w14:textId="77777777" w:rsidR="00DD5071" w:rsidRPr="00F5664C" w:rsidRDefault="00DD5071" w:rsidP="00DD5071">
      <w:pPr>
        <w:rPr>
          <w:rFonts w:ascii="Book Antiqua" w:hAnsi="Book Antiqua" w:cs="Arial"/>
          <w:u w:val="single"/>
        </w:rPr>
      </w:pPr>
    </w:p>
    <w:p w14:paraId="6792B192"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01B326D4" w14:textId="77777777" w:rsidR="00DE7DB7" w:rsidRPr="00F5664C" w:rsidRDefault="00DE7DB7" w:rsidP="00DD5071">
      <w:pPr>
        <w:rPr>
          <w:rFonts w:ascii="Book Antiqua" w:hAnsi="Book Antiqua" w:cs="Arial"/>
        </w:rPr>
      </w:pPr>
    </w:p>
    <w:p w14:paraId="50E53EFF"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680843">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3A2955">
        <w:rPr>
          <w:rFonts w:ascii="Book Antiqua" w:hAnsi="Book Antiqua" w:cs="Arial"/>
        </w:rPr>
        <w:t xml:space="preserve">Ms Kiss, Senior Home Office Presenting Officer </w:t>
      </w:r>
    </w:p>
    <w:p w14:paraId="05AEAE62"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680843">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3A2955">
        <w:rPr>
          <w:rFonts w:ascii="Book Antiqua" w:hAnsi="Book Antiqua" w:cs="Arial"/>
        </w:rPr>
        <w:t xml:space="preserve">Mr Singer, Counsel instructed by Thamina Solicitors </w:t>
      </w:r>
    </w:p>
    <w:p w14:paraId="1964A5BE" w14:textId="77777777" w:rsidR="00DE7DB7" w:rsidRPr="00F5664C" w:rsidRDefault="00DE7DB7" w:rsidP="00402B9E">
      <w:pPr>
        <w:tabs>
          <w:tab w:val="left" w:pos="2520"/>
        </w:tabs>
        <w:jc w:val="center"/>
        <w:rPr>
          <w:rFonts w:ascii="Book Antiqua" w:hAnsi="Book Antiqua" w:cs="Arial"/>
        </w:rPr>
      </w:pPr>
    </w:p>
    <w:p w14:paraId="713C6919" w14:textId="77777777"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14:paraId="41BA8176" w14:textId="77777777" w:rsidR="00911478" w:rsidRDefault="003A2955" w:rsidP="00911478">
      <w:pPr>
        <w:numPr>
          <w:ilvl w:val="0"/>
          <w:numId w:val="3"/>
        </w:numPr>
        <w:spacing w:before="240"/>
        <w:jc w:val="both"/>
        <w:rPr>
          <w:rFonts w:ascii="Book Antiqua" w:hAnsi="Book Antiqua" w:cs="Arial"/>
        </w:rPr>
      </w:pPr>
      <w:r>
        <w:rPr>
          <w:rFonts w:ascii="Book Antiqua" w:hAnsi="Book Antiqua" w:cs="Arial"/>
        </w:rPr>
        <w:t>Mr Rahman is a citizen of Bangladesh whose date of birth is recorded as 29</w:t>
      </w:r>
      <w:r w:rsidRPr="003A2955">
        <w:rPr>
          <w:rFonts w:ascii="Book Antiqua" w:hAnsi="Book Antiqua" w:cs="Arial"/>
          <w:vertAlign w:val="superscript"/>
        </w:rPr>
        <w:t>th</w:t>
      </w:r>
      <w:r>
        <w:rPr>
          <w:rFonts w:ascii="Book Antiqua" w:hAnsi="Book Antiqua" w:cs="Arial"/>
        </w:rPr>
        <w:t xml:space="preserve"> June 1978.  He entered the United Kingdom on 6</w:t>
      </w:r>
      <w:r w:rsidRPr="003A2955">
        <w:rPr>
          <w:rFonts w:ascii="Book Antiqua" w:hAnsi="Book Antiqua" w:cs="Arial"/>
          <w:vertAlign w:val="superscript"/>
        </w:rPr>
        <w:t>th</w:t>
      </w:r>
      <w:r>
        <w:rPr>
          <w:rFonts w:ascii="Book Antiqua" w:hAnsi="Book Antiqua" w:cs="Arial"/>
        </w:rPr>
        <w:t xml:space="preserve"> April 2006 as a student.  He made application eventually for leave to remain based on ten years’ lawful residence having regard to paragraph 276B of the Immigration Rules.</w:t>
      </w:r>
    </w:p>
    <w:p w14:paraId="2B056795" w14:textId="77777777" w:rsidR="003A2955" w:rsidRDefault="008D32A1" w:rsidP="00911478">
      <w:pPr>
        <w:numPr>
          <w:ilvl w:val="0"/>
          <w:numId w:val="3"/>
        </w:numPr>
        <w:spacing w:before="240"/>
        <w:jc w:val="both"/>
        <w:rPr>
          <w:rFonts w:ascii="Book Antiqua" w:hAnsi="Book Antiqua" w:cs="Arial"/>
        </w:rPr>
      </w:pPr>
      <w:r>
        <w:rPr>
          <w:rFonts w:ascii="Book Antiqua" w:hAnsi="Book Antiqua" w:cs="Arial"/>
        </w:rPr>
        <w:t>On 15</w:t>
      </w:r>
      <w:r w:rsidRPr="008D32A1">
        <w:rPr>
          <w:rFonts w:ascii="Book Antiqua" w:hAnsi="Book Antiqua" w:cs="Arial"/>
          <w:vertAlign w:val="superscript"/>
        </w:rPr>
        <w:t>th</w:t>
      </w:r>
      <w:r>
        <w:rPr>
          <w:rFonts w:ascii="Book Antiqua" w:hAnsi="Book Antiqua" w:cs="Arial"/>
        </w:rPr>
        <w:t xml:space="preserve"> April 2016 the Secretary of State refused the application.  The </w:t>
      </w:r>
      <w:r w:rsidR="00680843">
        <w:rPr>
          <w:rFonts w:ascii="Book Antiqua" w:hAnsi="Book Antiqua" w:cs="Arial"/>
        </w:rPr>
        <w:t>Appellant</w:t>
      </w:r>
      <w:r>
        <w:rPr>
          <w:rFonts w:ascii="Book Antiqua" w:hAnsi="Book Antiqua" w:cs="Arial"/>
        </w:rPr>
        <w:t xml:space="preserve"> appealed </w:t>
      </w:r>
      <w:r w:rsidR="009F4592">
        <w:rPr>
          <w:rFonts w:ascii="Book Antiqua" w:hAnsi="Book Antiqua" w:cs="Arial"/>
        </w:rPr>
        <w:t>and</w:t>
      </w:r>
      <w:r>
        <w:rPr>
          <w:rFonts w:ascii="Book Antiqua" w:hAnsi="Book Antiqua" w:cs="Arial"/>
        </w:rPr>
        <w:t xml:space="preserve"> the matter </w:t>
      </w:r>
      <w:r w:rsidR="009F4592">
        <w:rPr>
          <w:rFonts w:ascii="Book Antiqua" w:hAnsi="Book Antiqua" w:cs="Arial"/>
        </w:rPr>
        <w:t>came</w:t>
      </w:r>
      <w:r>
        <w:rPr>
          <w:rFonts w:ascii="Book Antiqua" w:hAnsi="Book Antiqua" w:cs="Arial"/>
        </w:rPr>
        <w:t xml:space="preserve"> before Judge of the First-tier Tribunal James sitting at Hatton Cross on 16</w:t>
      </w:r>
      <w:r w:rsidRPr="008D32A1">
        <w:rPr>
          <w:rFonts w:ascii="Book Antiqua" w:hAnsi="Book Antiqua" w:cs="Arial"/>
          <w:vertAlign w:val="superscript"/>
        </w:rPr>
        <w:t>th</w:t>
      </w:r>
      <w:r>
        <w:rPr>
          <w:rFonts w:ascii="Book Antiqua" w:hAnsi="Book Antiqua" w:cs="Arial"/>
        </w:rPr>
        <w:t xml:space="preserve"> March 2018.  The issue before Judge James was whether the TOEIC certificate evidencing Mr Rahman’s English language skills was honestly </w:t>
      </w:r>
      <w:r>
        <w:rPr>
          <w:rFonts w:ascii="Book Antiqua" w:hAnsi="Book Antiqua" w:cs="Arial"/>
        </w:rPr>
        <w:lastRenderedPageBreak/>
        <w:t xml:space="preserve">obtained.  It was the Secretary of State’s case that the certificate had been obtained fraudulently.  The Secretary of State relied on the generic evidence considered in the case of </w:t>
      </w:r>
      <w:r w:rsidRPr="008D32A1">
        <w:rPr>
          <w:rFonts w:ascii="Book Antiqua" w:hAnsi="Book Antiqua" w:cs="Arial"/>
          <w:b/>
          <w:u w:val="single"/>
        </w:rPr>
        <w:t>SM and Qadir</w:t>
      </w:r>
      <w:r w:rsidRPr="008D32A1">
        <w:rPr>
          <w:rFonts w:ascii="Book Antiqua" w:hAnsi="Book Antiqua" w:cs="Arial"/>
          <w:b/>
        </w:rPr>
        <w:t xml:space="preserve"> (ETS – Evidence – Burden of Proof) [2016] UKUT 00229 </w:t>
      </w:r>
      <w:r w:rsidR="00140D74">
        <w:rPr>
          <w:rFonts w:ascii="Book Antiqua" w:hAnsi="Book Antiqua" w:cs="Arial"/>
          <w:b/>
        </w:rPr>
        <w:t xml:space="preserve">and </w:t>
      </w:r>
      <w:r>
        <w:rPr>
          <w:rFonts w:ascii="Book Antiqua" w:hAnsi="Book Antiqua" w:cs="Arial"/>
        </w:rPr>
        <w:t xml:space="preserve">there has been further consideration in the case of </w:t>
      </w:r>
      <w:r w:rsidRPr="008D32A1">
        <w:rPr>
          <w:rFonts w:ascii="Book Antiqua" w:hAnsi="Book Antiqua" w:cs="Arial"/>
          <w:b/>
          <w:u w:val="single"/>
        </w:rPr>
        <w:t>The Secretary of State for the Home Department -v- Shehzad &amp; Anor</w:t>
      </w:r>
      <w:r w:rsidRPr="008D32A1">
        <w:rPr>
          <w:rFonts w:ascii="Book Antiqua" w:hAnsi="Book Antiqua" w:cs="Arial"/>
          <w:b/>
        </w:rPr>
        <w:t xml:space="preserve"> [2016] EWCA Civ 615</w:t>
      </w:r>
      <w:r>
        <w:rPr>
          <w:rFonts w:ascii="Book Antiqua" w:hAnsi="Book Antiqua" w:cs="Arial"/>
        </w:rPr>
        <w:t xml:space="preserve">.  </w:t>
      </w:r>
    </w:p>
    <w:p w14:paraId="09637F32" w14:textId="77777777" w:rsidR="008D32A1" w:rsidRDefault="008D32A1" w:rsidP="00911478">
      <w:pPr>
        <w:numPr>
          <w:ilvl w:val="0"/>
          <w:numId w:val="3"/>
        </w:numPr>
        <w:spacing w:before="240"/>
        <w:jc w:val="both"/>
        <w:rPr>
          <w:rFonts w:ascii="Book Antiqua" w:hAnsi="Book Antiqua" w:cs="Arial"/>
        </w:rPr>
      </w:pPr>
      <w:r>
        <w:rPr>
          <w:rFonts w:ascii="Book Antiqua" w:hAnsi="Book Antiqua" w:cs="Arial"/>
        </w:rPr>
        <w:t xml:space="preserve">The hearing before Judge James proceeded on the basis of submissions only.  The </w:t>
      </w:r>
      <w:r w:rsidR="00680843">
        <w:rPr>
          <w:rFonts w:ascii="Book Antiqua" w:hAnsi="Book Antiqua" w:cs="Arial"/>
        </w:rPr>
        <w:t>Appellant</w:t>
      </w:r>
      <w:r>
        <w:rPr>
          <w:rFonts w:ascii="Book Antiqua" w:hAnsi="Book Antiqua" w:cs="Arial"/>
        </w:rPr>
        <w:t xml:space="preserve"> in the First-tier Tribunal, Mr Rahman, had provided a witness statement, as had the Secretary of State’s witnesses.  Neither side adduced live evidence.  If of course there were a legal requirement for live evidence to be given, the legal burden of proof being upon the Secretary of State</w:t>
      </w:r>
      <w:r w:rsidR="003D4E5A">
        <w:rPr>
          <w:rFonts w:ascii="Book Antiqua" w:hAnsi="Book Antiqua" w:cs="Arial"/>
        </w:rPr>
        <w:t>,</w:t>
      </w:r>
      <w:r>
        <w:rPr>
          <w:rFonts w:ascii="Book Antiqua" w:hAnsi="Book Antiqua" w:cs="Arial"/>
        </w:rPr>
        <w:t xml:space="preserve"> the case would not even have started.  As it was, Judge James, appreciative of the way in which the evidential burden moves first of all from the Secretary of State to the </w:t>
      </w:r>
      <w:r w:rsidR="00680843">
        <w:rPr>
          <w:rFonts w:ascii="Book Antiqua" w:hAnsi="Book Antiqua" w:cs="Arial"/>
        </w:rPr>
        <w:t>Appellant</w:t>
      </w:r>
      <w:r>
        <w:rPr>
          <w:rFonts w:ascii="Book Antiqua" w:hAnsi="Book Antiqua" w:cs="Arial"/>
        </w:rPr>
        <w:t xml:space="preserve"> in the First-tier Tribunal, then back to the Secretary of State with the legal burden, found</w:t>
      </w:r>
      <w:r w:rsidR="00B34B5A">
        <w:rPr>
          <w:rFonts w:ascii="Book Antiqua" w:hAnsi="Book Antiqua" w:cs="Arial"/>
        </w:rPr>
        <w:t>,</w:t>
      </w:r>
      <w:r>
        <w:rPr>
          <w:rFonts w:ascii="Book Antiqua" w:hAnsi="Book Antiqua" w:cs="Arial"/>
        </w:rPr>
        <w:t xml:space="preserve"> on the evidence</w:t>
      </w:r>
      <w:r w:rsidR="00B34B5A">
        <w:rPr>
          <w:rFonts w:ascii="Book Antiqua" w:hAnsi="Book Antiqua" w:cs="Arial"/>
        </w:rPr>
        <w:t>,</w:t>
      </w:r>
      <w:r>
        <w:rPr>
          <w:rFonts w:ascii="Book Antiqua" w:hAnsi="Book Antiqua" w:cs="Arial"/>
        </w:rPr>
        <w:t xml:space="preserve"> that the Secretary of State had not proved</w:t>
      </w:r>
      <w:r w:rsidR="00B34B5A">
        <w:rPr>
          <w:rFonts w:ascii="Book Antiqua" w:hAnsi="Book Antiqua" w:cs="Arial"/>
        </w:rPr>
        <w:t>,</w:t>
      </w:r>
      <w:r>
        <w:rPr>
          <w:rFonts w:ascii="Book Antiqua" w:hAnsi="Book Antiqua" w:cs="Arial"/>
        </w:rPr>
        <w:t xml:space="preserve"> on balance of probabilities</w:t>
      </w:r>
      <w:r w:rsidR="00B34B5A">
        <w:rPr>
          <w:rFonts w:ascii="Book Antiqua" w:hAnsi="Book Antiqua" w:cs="Arial"/>
        </w:rPr>
        <w:t>,</w:t>
      </w:r>
      <w:r>
        <w:rPr>
          <w:rFonts w:ascii="Book Antiqua" w:hAnsi="Book Antiqua" w:cs="Arial"/>
        </w:rPr>
        <w:t xml:space="preserve"> that there had been a fraud.   </w:t>
      </w:r>
    </w:p>
    <w:p w14:paraId="49136041" w14:textId="77777777" w:rsidR="00B34B5A" w:rsidRDefault="008D32A1" w:rsidP="00911478">
      <w:pPr>
        <w:numPr>
          <w:ilvl w:val="0"/>
          <w:numId w:val="3"/>
        </w:numPr>
        <w:spacing w:before="240"/>
        <w:jc w:val="both"/>
        <w:rPr>
          <w:rFonts w:ascii="Book Antiqua" w:hAnsi="Book Antiqua" w:cs="Arial"/>
        </w:rPr>
      </w:pPr>
      <w:r w:rsidRPr="008D32A1">
        <w:rPr>
          <w:rFonts w:ascii="Book Antiqua" w:hAnsi="Book Antiqua" w:cs="Arial"/>
        </w:rPr>
        <w:t xml:space="preserve">Not </w:t>
      </w:r>
      <w:r w:rsidR="009F4592" w:rsidRPr="008D32A1">
        <w:rPr>
          <w:rFonts w:ascii="Book Antiqua" w:hAnsi="Book Antiqua" w:cs="Arial"/>
        </w:rPr>
        <w:t>content</w:t>
      </w:r>
      <w:r w:rsidRPr="008D32A1">
        <w:rPr>
          <w:rFonts w:ascii="Book Antiqua" w:hAnsi="Book Antiqua" w:cs="Arial"/>
        </w:rPr>
        <w:t xml:space="preserve"> with that decision, by </w:t>
      </w:r>
      <w:r w:rsidR="00B34B5A">
        <w:rPr>
          <w:rFonts w:ascii="Book Antiqua" w:hAnsi="Book Antiqua" w:cs="Arial"/>
        </w:rPr>
        <w:t>N</w:t>
      </w:r>
      <w:r w:rsidRPr="008D32A1">
        <w:rPr>
          <w:rFonts w:ascii="Book Antiqua" w:hAnsi="Book Antiqua" w:cs="Arial"/>
        </w:rPr>
        <w:t>otice dated 29</w:t>
      </w:r>
      <w:r w:rsidRPr="008D32A1">
        <w:rPr>
          <w:rFonts w:ascii="Book Antiqua" w:hAnsi="Book Antiqua" w:cs="Arial"/>
          <w:vertAlign w:val="superscript"/>
        </w:rPr>
        <w:t>th</w:t>
      </w:r>
      <w:r w:rsidRPr="008D32A1">
        <w:rPr>
          <w:rFonts w:ascii="Book Antiqua" w:hAnsi="Book Antiqua" w:cs="Arial"/>
        </w:rPr>
        <w:t xml:space="preserve"> March 2018 the Secretary of State made application for permission to appeal to the Upper Tribunal.  In the grounds the Secretary of State contends that he was disadvantaged by not being allowed to cross-</w:t>
      </w:r>
      <w:r w:rsidR="009F4592" w:rsidRPr="008D32A1">
        <w:rPr>
          <w:rFonts w:ascii="Book Antiqua" w:hAnsi="Book Antiqua" w:cs="Arial"/>
        </w:rPr>
        <w:t>examine</w:t>
      </w:r>
      <w:r w:rsidRPr="008D32A1">
        <w:rPr>
          <w:rFonts w:ascii="Book Antiqua" w:hAnsi="Book Antiqua" w:cs="Arial"/>
        </w:rPr>
        <w:t xml:space="preserve"> the </w:t>
      </w:r>
      <w:r w:rsidR="00680843">
        <w:rPr>
          <w:rFonts w:ascii="Book Antiqua" w:hAnsi="Book Antiqua" w:cs="Arial"/>
        </w:rPr>
        <w:t>Appellant</w:t>
      </w:r>
      <w:r w:rsidRPr="008D32A1">
        <w:rPr>
          <w:rFonts w:ascii="Book Antiqua" w:hAnsi="Book Antiqua" w:cs="Arial"/>
        </w:rPr>
        <w:t xml:space="preserve">.  Indeed, it is put forward as an error of law.  It is further asserted, as set out in eight sub-paragraphs, that the judge </w:t>
      </w:r>
      <w:r w:rsidR="009F4592" w:rsidRPr="008D32A1">
        <w:rPr>
          <w:rFonts w:ascii="Book Antiqua" w:hAnsi="Book Antiqua" w:cs="Arial"/>
        </w:rPr>
        <w:t>failed</w:t>
      </w:r>
      <w:r w:rsidRPr="008D32A1">
        <w:rPr>
          <w:rFonts w:ascii="Book Antiqua" w:hAnsi="Book Antiqua" w:cs="Arial"/>
        </w:rPr>
        <w:t xml:space="preserve"> to give adequate reasons for her finding.  </w:t>
      </w:r>
    </w:p>
    <w:p w14:paraId="07607535" w14:textId="77777777" w:rsidR="008D32A1" w:rsidRDefault="008D32A1" w:rsidP="00911478">
      <w:pPr>
        <w:numPr>
          <w:ilvl w:val="0"/>
          <w:numId w:val="3"/>
        </w:numPr>
        <w:spacing w:before="240"/>
        <w:jc w:val="both"/>
        <w:rPr>
          <w:rFonts w:ascii="Book Antiqua" w:hAnsi="Book Antiqua" w:cs="Arial"/>
        </w:rPr>
      </w:pPr>
      <w:r w:rsidRPr="008D32A1">
        <w:rPr>
          <w:rFonts w:ascii="Book Antiqua" w:hAnsi="Book Antiqua" w:cs="Arial"/>
        </w:rPr>
        <w:t>On 19</w:t>
      </w:r>
      <w:r w:rsidRPr="008D32A1">
        <w:rPr>
          <w:rFonts w:ascii="Book Antiqua" w:hAnsi="Book Antiqua" w:cs="Arial"/>
          <w:vertAlign w:val="superscript"/>
        </w:rPr>
        <w:t>th</w:t>
      </w:r>
      <w:r w:rsidRPr="008D32A1">
        <w:rPr>
          <w:rFonts w:ascii="Book Antiqua" w:hAnsi="Book Antiqua" w:cs="Arial"/>
        </w:rPr>
        <w:t xml:space="preserve"> June 2018 Judge of the First-tier Tribunal Lever granted permission.  It is of note that</w:t>
      </w:r>
      <w:r w:rsidR="00B34B5A">
        <w:rPr>
          <w:rFonts w:ascii="Book Antiqua" w:hAnsi="Book Antiqua" w:cs="Arial"/>
        </w:rPr>
        <w:t xml:space="preserve"> in granting permission</w:t>
      </w:r>
      <w:r w:rsidRPr="008D32A1">
        <w:rPr>
          <w:rFonts w:ascii="Book Antiqua" w:hAnsi="Book Antiqua" w:cs="Arial"/>
        </w:rPr>
        <w:t xml:space="preserve"> Judge Lever found the judge’s reasoning to be</w:t>
      </w:r>
      <w:r w:rsidR="00B34B5A">
        <w:rPr>
          <w:rFonts w:ascii="Book Antiqua" w:hAnsi="Book Antiqua" w:cs="Arial"/>
        </w:rPr>
        <w:t xml:space="preserve"> sound He</w:t>
      </w:r>
      <w:r w:rsidRPr="008D32A1">
        <w:rPr>
          <w:rFonts w:ascii="Book Antiqua" w:hAnsi="Book Antiqua" w:cs="Arial"/>
        </w:rPr>
        <w:t xml:space="preserve"> appears to grant permission </w:t>
      </w:r>
      <w:r w:rsidR="009F4592" w:rsidRPr="008D32A1">
        <w:rPr>
          <w:rFonts w:ascii="Book Antiqua" w:hAnsi="Book Antiqua" w:cs="Arial"/>
        </w:rPr>
        <w:t>only</w:t>
      </w:r>
      <w:r w:rsidRPr="008D32A1">
        <w:rPr>
          <w:rFonts w:ascii="Book Antiqua" w:hAnsi="Book Antiqua" w:cs="Arial"/>
        </w:rPr>
        <w:t xml:space="preserve"> on the basis that there was a procedural irregularity in not permitting the Secretary of State to cross-</w:t>
      </w:r>
      <w:r w:rsidR="009F4592" w:rsidRPr="008D32A1">
        <w:rPr>
          <w:rFonts w:ascii="Book Antiqua" w:hAnsi="Book Antiqua" w:cs="Arial"/>
        </w:rPr>
        <w:t>examine</w:t>
      </w:r>
      <w:r w:rsidRPr="008D32A1">
        <w:rPr>
          <w:rFonts w:ascii="Book Antiqua" w:hAnsi="Book Antiqua" w:cs="Arial"/>
        </w:rPr>
        <w:t xml:space="preserve"> Mr Rahman.  It is worth setting out what Judge </w:t>
      </w:r>
      <w:r>
        <w:rPr>
          <w:rFonts w:ascii="Book Antiqua" w:hAnsi="Book Antiqua" w:cs="Arial"/>
        </w:rPr>
        <w:t xml:space="preserve">Lever had to say, given my own view of this appeal.  He said at paragraph </w:t>
      </w:r>
      <w:r w:rsidR="00680843">
        <w:rPr>
          <w:rFonts w:ascii="Book Antiqua" w:hAnsi="Book Antiqua" w:cs="Arial"/>
        </w:rPr>
        <w:t>3:</w:t>
      </w:r>
    </w:p>
    <w:p w14:paraId="1A7D32B2" w14:textId="77EE3A3C" w:rsidR="008D32A1" w:rsidRPr="00B34B5A" w:rsidRDefault="008D32A1" w:rsidP="008D32A1">
      <w:pPr>
        <w:spacing w:before="240"/>
        <w:ind w:left="1134"/>
        <w:jc w:val="both"/>
        <w:rPr>
          <w:rFonts w:ascii="Book Antiqua" w:hAnsi="Book Antiqua" w:cs="Arial"/>
          <w:i/>
        </w:rPr>
      </w:pPr>
      <w:r w:rsidRPr="00B34B5A">
        <w:rPr>
          <w:rFonts w:ascii="Book Antiqua" w:hAnsi="Book Antiqua" w:cs="Arial"/>
          <w:i/>
        </w:rPr>
        <w:t xml:space="preserve">“The judge noted at [6] that the case proceeded by submissions only.  Had that been an agreed course of action then there would have been no procedural error.  Thereafter the judges (sic) reasoning is sound.  He accepted that the </w:t>
      </w:r>
      <w:r w:rsidR="00680843" w:rsidRPr="00B34B5A">
        <w:rPr>
          <w:rFonts w:ascii="Book Antiqua" w:hAnsi="Book Antiqua" w:cs="Arial"/>
          <w:i/>
        </w:rPr>
        <w:t>Respondent</w:t>
      </w:r>
      <w:r w:rsidRPr="00B34B5A">
        <w:rPr>
          <w:rFonts w:ascii="Book Antiqua" w:hAnsi="Book Antiqua" w:cs="Arial"/>
          <w:i/>
        </w:rPr>
        <w:t xml:space="preserve">s (sic) generic evidence </w:t>
      </w:r>
      <w:r w:rsidR="00254351" w:rsidRPr="00B34B5A">
        <w:rPr>
          <w:rFonts w:ascii="Book Antiqua" w:hAnsi="Book Antiqua" w:cs="Arial"/>
          <w:i/>
        </w:rPr>
        <w:t xml:space="preserve">in these highly unsatisfactory ETS cases was enough to discharge the initial burden of proof on the </w:t>
      </w:r>
      <w:r w:rsidR="00680843" w:rsidRPr="00B34B5A">
        <w:rPr>
          <w:rFonts w:ascii="Book Antiqua" w:hAnsi="Book Antiqua" w:cs="Arial"/>
          <w:i/>
        </w:rPr>
        <w:t>Respondent</w:t>
      </w:r>
      <w:r w:rsidR="00254351" w:rsidRPr="00B34B5A">
        <w:rPr>
          <w:rFonts w:ascii="Book Antiqua" w:hAnsi="Book Antiqua" w:cs="Arial"/>
          <w:i/>
        </w:rPr>
        <w:t xml:space="preserve"> [9].  Even that evidence was only produced by the </w:t>
      </w:r>
      <w:r w:rsidR="00680843" w:rsidRPr="00B34B5A">
        <w:rPr>
          <w:rFonts w:ascii="Book Antiqua" w:hAnsi="Book Antiqua" w:cs="Arial"/>
          <w:i/>
        </w:rPr>
        <w:t>Respondent</w:t>
      </w:r>
      <w:r w:rsidR="00254351" w:rsidRPr="00B34B5A">
        <w:rPr>
          <w:rFonts w:ascii="Book Antiqua" w:hAnsi="Book Antiqua" w:cs="Arial"/>
          <w:i/>
        </w:rPr>
        <w:t xml:space="preserve"> on the day of the hearing.  </w:t>
      </w:r>
      <w:r w:rsidR="003F7249" w:rsidRPr="00B34B5A">
        <w:rPr>
          <w:rFonts w:ascii="Book Antiqua" w:hAnsi="Book Antiqua" w:cs="Arial"/>
          <w:i/>
        </w:rPr>
        <w:t>However,</w:t>
      </w:r>
      <w:r w:rsidR="00254351" w:rsidRPr="00B34B5A">
        <w:rPr>
          <w:rFonts w:ascii="Book Antiqua" w:hAnsi="Book Antiqua" w:cs="Arial"/>
          <w:i/>
        </w:rPr>
        <w:t xml:space="preserve"> the judge gave clear and on the face of it strong reasons why he found that the </w:t>
      </w:r>
      <w:r w:rsidR="00680843" w:rsidRPr="00B34B5A">
        <w:rPr>
          <w:rFonts w:ascii="Book Antiqua" w:hAnsi="Book Antiqua" w:cs="Arial"/>
          <w:i/>
        </w:rPr>
        <w:t>Appellant</w:t>
      </w:r>
      <w:r w:rsidR="00254351" w:rsidRPr="00B34B5A">
        <w:rPr>
          <w:rFonts w:ascii="Book Antiqua" w:hAnsi="Book Antiqua" w:cs="Arial"/>
          <w:i/>
        </w:rPr>
        <w:t xml:space="preserve"> could demonstrate he had genuinely taken the test and had not employed deception [10]15].  I have however noted the presenting officer</w:t>
      </w:r>
      <w:r w:rsidR="00D727C1">
        <w:rPr>
          <w:rFonts w:ascii="Book Antiqua" w:hAnsi="Book Antiqua" w:cs="Arial"/>
          <w:i/>
        </w:rPr>
        <w:t>’</w:t>
      </w:r>
      <w:r w:rsidR="00254351" w:rsidRPr="00B34B5A">
        <w:rPr>
          <w:rFonts w:ascii="Book Antiqua" w:hAnsi="Book Antiqua" w:cs="Arial"/>
          <w:i/>
        </w:rPr>
        <w:t xml:space="preserve">s minute.  If accurate it shows that the judge took the decision that there was no need for the </w:t>
      </w:r>
      <w:r w:rsidR="00680843" w:rsidRPr="00B34B5A">
        <w:rPr>
          <w:rFonts w:ascii="Book Antiqua" w:hAnsi="Book Antiqua" w:cs="Arial"/>
          <w:i/>
        </w:rPr>
        <w:t>Appellant</w:t>
      </w:r>
      <w:r w:rsidR="00254351" w:rsidRPr="00B34B5A">
        <w:rPr>
          <w:rFonts w:ascii="Book Antiqua" w:hAnsi="Book Antiqua" w:cs="Arial"/>
          <w:i/>
        </w:rPr>
        <w:t xml:space="preserve"> to give evidence even though he was in attendance.  In cases of this nature it perhaps is prudent for an </w:t>
      </w:r>
      <w:r w:rsidR="00680843" w:rsidRPr="00B34B5A">
        <w:rPr>
          <w:rFonts w:ascii="Book Antiqua" w:hAnsi="Book Antiqua" w:cs="Arial"/>
          <w:i/>
        </w:rPr>
        <w:t>Appellant</w:t>
      </w:r>
      <w:r w:rsidR="00254351" w:rsidRPr="00B34B5A">
        <w:rPr>
          <w:rFonts w:ascii="Book Antiqua" w:hAnsi="Book Antiqua" w:cs="Arial"/>
          <w:i/>
        </w:rPr>
        <w:t xml:space="preserve"> to give evidence and to allow cross examination even where there may be obvious features within the witness statement.  The minute would suggest the presenting officer did not agree to that course of action.  It is arguable therefore that there was a procedural error such that there was an arguable error of law.”</w:t>
      </w:r>
    </w:p>
    <w:p w14:paraId="500E923B" w14:textId="77777777" w:rsidR="008D32A1" w:rsidRDefault="00254351" w:rsidP="00911478">
      <w:pPr>
        <w:numPr>
          <w:ilvl w:val="0"/>
          <w:numId w:val="3"/>
        </w:numPr>
        <w:spacing w:before="240"/>
        <w:jc w:val="both"/>
        <w:rPr>
          <w:rFonts w:ascii="Book Antiqua" w:hAnsi="Book Antiqua" w:cs="Arial"/>
        </w:rPr>
      </w:pPr>
      <w:r>
        <w:rPr>
          <w:rFonts w:ascii="Book Antiqua" w:hAnsi="Book Antiqua" w:cs="Arial"/>
        </w:rPr>
        <w:t xml:space="preserve">This matter comes before me therefore on a procedural point.  I have however allowed Ms Kiss to put forward broader arguments in relation to this case and Mr Singer did </w:t>
      </w:r>
      <w:r>
        <w:rPr>
          <w:rFonts w:ascii="Book Antiqua" w:hAnsi="Book Antiqua" w:cs="Arial"/>
        </w:rPr>
        <w:lastRenderedPageBreak/>
        <w:t xml:space="preserve">not object.  I deal however first of all with that procedural point.  If there is a requirement in the Tribunals for any evidence which is to be relied upon to be live evidence, then many of the </w:t>
      </w:r>
      <w:r w:rsidR="00B34B5A">
        <w:rPr>
          <w:rFonts w:ascii="Book Antiqua" w:hAnsi="Book Antiqua" w:cs="Arial"/>
        </w:rPr>
        <w:t xml:space="preserve">decisions in </w:t>
      </w:r>
      <w:r>
        <w:rPr>
          <w:rFonts w:ascii="Book Antiqua" w:hAnsi="Book Antiqua" w:cs="Arial"/>
        </w:rPr>
        <w:t xml:space="preserve">cases before the First-tier Tribunal would have no validity at all.  What is more, in this case, it being accepted that the evidential burden in the first instance was upon the Secretary of State, the Secretary of State’s case </w:t>
      </w:r>
      <w:r w:rsidR="00B34B5A">
        <w:rPr>
          <w:rFonts w:ascii="Book Antiqua" w:hAnsi="Book Antiqua" w:cs="Arial"/>
        </w:rPr>
        <w:t>would</w:t>
      </w:r>
      <w:r>
        <w:rPr>
          <w:rFonts w:ascii="Book Antiqua" w:hAnsi="Book Antiqua" w:cs="Arial"/>
        </w:rPr>
        <w:t xml:space="preserve"> not even begin because the Secretary of State did not produce any live witnesses.  There is no requirement for a witness to give live evidence.  What weight is given to that evidence however is another matter.  </w:t>
      </w:r>
      <w:r w:rsidR="009F4592">
        <w:rPr>
          <w:rFonts w:ascii="Book Antiqua" w:hAnsi="Book Antiqua" w:cs="Arial"/>
        </w:rPr>
        <w:t>Where</w:t>
      </w:r>
      <w:r>
        <w:rPr>
          <w:rFonts w:ascii="Book Antiqua" w:hAnsi="Book Antiqua" w:cs="Arial"/>
        </w:rPr>
        <w:t xml:space="preserve"> the evidence is not live </w:t>
      </w:r>
      <w:r w:rsidR="00A86640">
        <w:rPr>
          <w:rFonts w:ascii="Book Antiqua" w:hAnsi="Book Antiqua" w:cs="Arial"/>
        </w:rPr>
        <w:t xml:space="preserve">less weight might be given to the evidence.  Of course, in this case the Secretary of State did not bring the witnesses to the Tribunal and so insofar as it is being argued that less weight should be given to what the </w:t>
      </w:r>
      <w:r w:rsidR="00680843">
        <w:rPr>
          <w:rFonts w:ascii="Book Antiqua" w:hAnsi="Book Antiqua" w:cs="Arial"/>
        </w:rPr>
        <w:t>Appellant</w:t>
      </w:r>
      <w:r w:rsidR="00A86640">
        <w:rPr>
          <w:rFonts w:ascii="Book Antiqua" w:hAnsi="Book Antiqua" w:cs="Arial"/>
        </w:rPr>
        <w:t xml:space="preserve"> in the First-tier Tribunal had to say, then the same of course must </w:t>
      </w:r>
      <w:r w:rsidR="009F4592">
        <w:rPr>
          <w:rFonts w:ascii="Book Antiqua" w:hAnsi="Book Antiqua" w:cs="Arial"/>
        </w:rPr>
        <w:t>apply</w:t>
      </w:r>
      <w:r w:rsidR="00A86640">
        <w:rPr>
          <w:rFonts w:ascii="Book Antiqua" w:hAnsi="Book Antiqua" w:cs="Arial"/>
        </w:rPr>
        <w:t xml:space="preserve"> to the Secretary of State.</w:t>
      </w:r>
    </w:p>
    <w:p w14:paraId="5A0CCAC8" w14:textId="0D4EBBC6" w:rsidR="00B34B5A" w:rsidRDefault="00200473" w:rsidP="00911478">
      <w:pPr>
        <w:numPr>
          <w:ilvl w:val="0"/>
          <w:numId w:val="3"/>
        </w:numPr>
        <w:spacing w:before="240"/>
        <w:jc w:val="both"/>
        <w:rPr>
          <w:rFonts w:ascii="Book Antiqua" w:hAnsi="Book Antiqua" w:cs="Arial"/>
        </w:rPr>
      </w:pPr>
      <w:r>
        <w:rPr>
          <w:rFonts w:ascii="Book Antiqua" w:hAnsi="Book Antiqua" w:cs="Arial"/>
        </w:rPr>
        <w:t>Mr Singer conceded that the evidential burden which</w:t>
      </w:r>
      <w:r w:rsidR="002A253E">
        <w:rPr>
          <w:rFonts w:ascii="Book Antiqua" w:hAnsi="Book Antiqua" w:cs="Arial"/>
        </w:rPr>
        <w:t>, in the first instance,</w:t>
      </w:r>
      <w:r>
        <w:rPr>
          <w:rFonts w:ascii="Book Antiqua" w:hAnsi="Book Antiqua" w:cs="Arial"/>
        </w:rPr>
        <w:t xml:space="preserve"> was </w:t>
      </w:r>
      <w:r w:rsidR="009F4592">
        <w:rPr>
          <w:rFonts w:ascii="Book Antiqua" w:hAnsi="Book Antiqua" w:cs="Arial"/>
        </w:rPr>
        <w:t>upon</w:t>
      </w:r>
      <w:r>
        <w:rPr>
          <w:rFonts w:ascii="Book Antiqua" w:hAnsi="Book Antiqua" w:cs="Arial"/>
        </w:rPr>
        <w:t xml:space="preserve"> the Secretary of State was discharged by the presentation of the generic witness statements.  It is common ground that the evidential burden then</w:t>
      </w:r>
      <w:r w:rsidR="002A253E">
        <w:rPr>
          <w:rFonts w:ascii="Book Antiqua" w:hAnsi="Book Antiqua" w:cs="Arial"/>
        </w:rPr>
        <w:t xml:space="preserve"> shifted to</w:t>
      </w:r>
      <w:r>
        <w:rPr>
          <w:rFonts w:ascii="Book Antiqua" w:hAnsi="Book Antiqua" w:cs="Arial"/>
        </w:rPr>
        <w:t xml:space="preserve"> Mr Rahman.  It was upon that point that there was much discussion before me.  </w:t>
      </w:r>
    </w:p>
    <w:p w14:paraId="37CC4355" w14:textId="3F90FA8A" w:rsidR="00A86640" w:rsidRDefault="00200473" w:rsidP="00911478">
      <w:pPr>
        <w:numPr>
          <w:ilvl w:val="0"/>
          <w:numId w:val="3"/>
        </w:numPr>
        <w:spacing w:before="240"/>
        <w:jc w:val="both"/>
        <w:rPr>
          <w:rFonts w:ascii="Book Antiqua" w:hAnsi="Book Antiqua" w:cs="Arial"/>
        </w:rPr>
      </w:pPr>
      <w:r>
        <w:rPr>
          <w:rFonts w:ascii="Book Antiqua" w:hAnsi="Book Antiqua" w:cs="Arial"/>
        </w:rPr>
        <w:t>Ms Kiss sought to persuade me that the witness statement</w:t>
      </w:r>
      <w:r w:rsidR="00B34B5A">
        <w:rPr>
          <w:rFonts w:ascii="Book Antiqua" w:hAnsi="Book Antiqua" w:cs="Arial"/>
        </w:rPr>
        <w:t>,</w:t>
      </w:r>
      <w:r>
        <w:rPr>
          <w:rFonts w:ascii="Book Antiqua" w:hAnsi="Book Antiqua" w:cs="Arial"/>
        </w:rPr>
        <w:t xml:space="preserve"> without </w:t>
      </w:r>
      <w:r w:rsidR="002A253E">
        <w:rPr>
          <w:rFonts w:ascii="Book Antiqua" w:hAnsi="Book Antiqua" w:cs="Arial"/>
        </w:rPr>
        <w:t>Mr Rahman</w:t>
      </w:r>
      <w:r w:rsidR="00B34B5A">
        <w:rPr>
          <w:rFonts w:ascii="Book Antiqua" w:hAnsi="Book Antiqua" w:cs="Arial"/>
        </w:rPr>
        <w:t>,</w:t>
      </w:r>
      <w:r>
        <w:rPr>
          <w:rFonts w:ascii="Book Antiqua" w:hAnsi="Book Antiqua" w:cs="Arial"/>
        </w:rPr>
        <w:t xml:space="preserve"> being </w:t>
      </w:r>
      <w:r w:rsidR="009F4592">
        <w:rPr>
          <w:rFonts w:ascii="Book Antiqua" w:hAnsi="Book Antiqua" w:cs="Arial"/>
        </w:rPr>
        <w:t>obliged</w:t>
      </w:r>
      <w:r>
        <w:rPr>
          <w:rFonts w:ascii="Book Antiqua" w:hAnsi="Book Antiqua" w:cs="Arial"/>
        </w:rPr>
        <w:t xml:space="preserve"> to present himself for cross-examination</w:t>
      </w:r>
      <w:r w:rsidR="002A253E">
        <w:rPr>
          <w:rFonts w:ascii="Book Antiqua" w:hAnsi="Book Antiqua" w:cs="Arial"/>
        </w:rPr>
        <w:t>,</w:t>
      </w:r>
      <w:r>
        <w:rPr>
          <w:rFonts w:ascii="Book Antiqua" w:hAnsi="Book Antiqua" w:cs="Arial"/>
        </w:rPr>
        <w:t xml:space="preserve"> was insufficient</w:t>
      </w:r>
      <w:r w:rsidR="002A253E">
        <w:rPr>
          <w:rFonts w:ascii="Book Antiqua" w:hAnsi="Book Antiqua" w:cs="Arial"/>
        </w:rPr>
        <w:t>.</w:t>
      </w:r>
      <w:r>
        <w:rPr>
          <w:rFonts w:ascii="Book Antiqua" w:hAnsi="Book Antiqua" w:cs="Arial"/>
        </w:rPr>
        <w:t xml:space="preserve"> I do not agree.  In the same way as the witness statement from the Secretary of State was sufficient to discharge the evidential burden, so too was the witness statement from Mr Rahman.</w:t>
      </w:r>
      <w:r w:rsidR="005D5851">
        <w:rPr>
          <w:rFonts w:ascii="Book Antiqua" w:hAnsi="Book Antiqua" w:cs="Arial"/>
        </w:rPr>
        <w:t xml:space="preserve"> It was some evidence and was capable of being deemed sufficient evidence by the Judge at first instance.</w:t>
      </w:r>
      <w:r>
        <w:rPr>
          <w:rFonts w:ascii="Book Antiqua" w:hAnsi="Book Antiqua" w:cs="Arial"/>
        </w:rPr>
        <w:t xml:space="preserve">  </w:t>
      </w:r>
      <w:r w:rsidR="005D5851">
        <w:rPr>
          <w:rFonts w:ascii="Book Antiqua" w:hAnsi="Book Antiqua" w:cs="Arial"/>
        </w:rPr>
        <w:t>Mr Rahman</w:t>
      </w:r>
      <w:r>
        <w:rPr>
          <w:rFonts w:ascii="Book Antiqua" w:hAnsi="Book Antiqua" w:cs="Arial"/>
        </w:rPr>
        <w:t xml:space="preserve"> was obliged</w:t>
      </w:r>
      <w:r w:rsidR="00B34B5A">
        <w:rPr>
          <w:rFonts w:ascii="Book Antiqua" w:hAnsi="Book Antiqua" w:cs="Arial"/>
        </w:rPr>
        <w:t>,</w:t>
      </w:r>
      <w:r>
        <w:rPr>
          <w:rFonts w:ascii="Book Antiqua" w:hAnsi="Book Antiqua" w:cs="Arial"/>
        </w:rPr>
        <w:t xml:space="preserve"> following the authorities starting with the case of </w:t>
      </w:r>
      <w:r w:rsidRPr="00200473">
        <w:rPr>
          <w:rFonts w:ascii="Book Antiqua" w:hAnsi="Book Antiqua" w:cs="Arial"/>
          <w:b/>
          <w:u w:val="single"/>
        </w:rPr>
        <w:t>Shen</w:t>
      </w:r>
      <w:r w:rsidR="00B34B5A" w:rsidRPr="00B34B5A">
        <w:rPr>
          <w:rFonts w:ascii="Book Antiqua" w:hAnsi="Book Antiqua" w:cs="Arial"/>
          <w:b/>
        </w:rPr>
        <w:t xml:space="preserve"> [2014] UKUT 236</w:t>
      </w:r>
      <w:r w:rsidR="00B34B5A">
        <w:rPr>
          <w:rFonts w:ascii="Book Antiqua" w:hAnsi="Book Antiqua" w:cs="Arial"/>
          <w:b/>
        </w:rPr>
        <w:t>,</w:t>
      </w:r>
      <w:r w:rsidRPr="00B34B5A">
        <w:rPr>
          <w:rFonts w:ascii="Book Antiqua" w:hAnsi="Book Antiqua" w:cs="Arial"/>
        </w:rPr>
        <w:t xml:space="preserve"> </w:t>
      </w:r>
      <w:r>
        <w:rPr>
          <w:rFonts w:ascii="Book Antiqua" w:hAnsi="Book Antiqua" w:cs="Arial"/>
        </w:rPr>
        <w:t>in which I had a passing interest</w:t>
      </w:r>
      <w:r w:rsidR="00B34B5A">
        <w:rPr>
          <w:rFonts w:ascii="Book Antiqua" w:hAnsi="Book Antiqua" w:cs="Arial"/>
        </w:rPr>
        <w:t>,</w:t>
      </w:r>
      <w:r>
        <w:rPr>
          <w:rFonts w:ascii="Book Antiqua" w:hAnsi="Book Antiqua" w:cs="Arial"/>
        </w:rPr>
        <w:t xml:space="preserve"> to provide an </w:t>
      </w:r>
      <w:r w:rsidR="009F4592">
        <w:rPr>
          <w:rFonts w:ascii="Book Antiqua" w:hAnsi="Book Antiqua" w:cs="Arial"/>
        </w:rPr>
        <w:t>innocent</w:t>
      </w:r>
      <w:r>
        <w:rPr>
          <w:rFonts w:ascii="Book Antiqua" w:hAnsi="Book Antiqua" w:cs="Arial"/>
        </w:rPr>
        <w:t xml:space="preserve"> explanation, which he did.</w:t>
      </w:r>
      <w:r w:rsidR="0017360F">
        <w:rPr>
          <w:rFonts w:ascii="Book Antiqua" w:hAnsi="Book Antiqua" w:cs="Arial"/>
        </w:rPr>
        <w:t xml:space="preserve"> It is of note that the case of </w:t>
      </w:r>
      <w:r w:rsidR="0017360F" w:rsidRPr="0017360F">
        <w:rPr>
          <w:rFonts w:ascii="Book Antiqua" w:hAnsi="Book Antiqua" w:cs="Arial"/>
          <w:b/>
          <w:u w:val="single"/>
        </w:rPr>
        <w:t>Shen</w:t>
      </w:r>
      <w:r w:rsidR="0017360F">
        <w:rPr>
          <w:rFonts w:ascii="Book Antiqua" w:hAnsi="Book Antiqua" w:cs="Arial"/>
        </w:rPr>
        <w:t xml:space="preserve"> was a case decided on the papers.</w:t>
      </w:r>
      <w:r>
        <w:rPr>
          <w:rFonts w:ascii="Book Antiqua" w:hAnsi="Book Antiqua" w:cs="Arial"/>
        </w:rPr>
        <w:t xml:space="preserve">  He </w:t>
      </w:r>
      <w:r w:rsidR="005D5851">
        <w:rPr>
          <w:rFonts w:ascii="Book Antiqua" w:hAnsi="Book Antiqua" w:cs="Arial"/>
        </w:rPr>
        <w:t>was not required</w:t>
      </w:r>
      <w:r>
        <w:rPr>
          <w:rFonts w:ascii="Book Antiqua" w:hAnsi="Book Antiqua" w:cs="Arial"/>
        </w:rPr>
        <w:t xml:space="preserve"> to assist the Secretary of State to bolster his case by making himself available </w:t>
      </w:r>
      <w:r w:rsidR="0017360F">
        <w:rPr>
          <w:rFonts w:ascii="Book Antiqua" w:hAnsi="Book Antiqua" w:cs="Arial"/>
        </w:rPr>
        <w:t>at a hearing</w:t>
      </w:r>
      <w:r>
        <w:rPr>
          <w:rFonts w:ascii="Book Antiqua" w:hAnsi="Book Antiqua" w:cs="Arial"/>
        </w:rPr>
        <w:t>.</w:t>
      </w:r>
      <w:r w:rsidR="0017360F">
        <w:rPr>
          <w:rFonts w:ascii="Book Antiqua" w:hAnsi="Book Antiqua" w:cs="Arial"/>
        </w:rPr>
        <w:t xml:space="preserve"> The same is true for Mr Rahman.</w:t>
      </w:r>
      <w:r>
        <w:rPr>
          <w:rFonts w:ascii="Book Antiqua" w:hAnsi="Book Antiqua" w:cs="Arial"/>
        </w:rPr>
        <w:t xml:space="preserve">  How he discharged the burden that was upon him was a matter for him</w:t>
      </w:r>
      <w:r w:rsidR="0017360F">
        <w:rPr>
          <w:rFonts w:ascii="Book Antiqua" w:hAnsi="Book Antiqua" w:cs="Arial"/>
        </w:rPr>
        <w:t>, provided he did so</w:t>
      </w:r>
      <w:r>
        <w:rPr>
          <w:rFonts w:ascii="Book Antiqua" w:hAnsi="Book Antiqua" w:cs="Arial"/>
        </w:rPr>
        <w:t xml:space="preserve">. In fact, having discharged the burden that was upon him one might think that he was </w:t>
      </w:r>
      <w:r w:rsidR="0017360F">
        <w:rPr>
          <w:rFonts w:ascii="Book Antiqua" w:hAnsi="Book Antiqua" w:cs="Arial"/>
        </w:rPr>
        <w:t>well advised</w:t>
      </w:r>
      <w:r>
        <w:rPr>
          <w:rFonts w:ascii="Book Antiqua" w:hAnsi="Book Antiqua" w:cs="Arial"/>
        </w:rPr>
        <w:t xml:space="preserve"> to do no more </w:t>
      </w:r>
      <w:r w:rsidR="0017360F">
        <w:rPr>
          <w:rFonts w:ascii="Book Antiqua" w:hAnsi="Book Antiqua" w:cs="Arial"/>
        </w:rPr>
        <w:t>other than to</w:t>
      </w:r>
      <w:r>
        <w:rPr>
          <w:rFonts w:ascii="Book Antiqua" w:hAnsi="Book Antiqua" w:cs="Arial"/>
        </w:rPr>
        <w:t xml:space="preserve"> </w:t>
      </w:r>
      <w:r w:rsidR="009F4592">
        <w:rPr>
          <w:rFonts w:ascii="Book Antiqua" w:hAnsi="Book Antiqua" w:cs="Arial"/>
        </w:rPr>
        <w:t>invite</w:t>
      </w:r>
      <w:r>
        <w:rPr>
          <w:rFonts w:ascii="Book Antiqua" w:hAnsi="Book Antiqua" w:cs="Arial"/>
        </w:rPr>
        <w:t xml:space="preserve"> the Secretary of State to prove her case on the basis of the </w:t>
      </w:r>
      <w:r w:rsidR="0072362F">
        <w:rPr>
          <w:rFonts w:ascii="Book Antiqua" w:hAnsi="Book Antiqua" w:cs="Arial"/>
        </w:rPr>
        <w:t xml:space="preserve">available </w:t>
      </w:r>
      <w:r>
        <w:rPr>
          <w:rFonts w:ascii="Book Antiqua" w:hAnsi="Book Antiqua" w:cs="Arial"/>
        </w:rPr>
        <w:t>evidence</w:t>
      </w:r>
      <w:r w:rsidR="0017360F">
        <w:rPr>
          <w:rFonts w:ascii="Book Antiqua" w:hAnsi="Book Antiqua" w:cs="Arial"/>
        </w:rPr>
        <w:t>,</w:t>
      </w:r>
      <w:r>
        <w:rPr>
          <w:rFonts w:ascii="Book Antiqua" w:hAnsi="Book Antiqua" w:cs="Arial"/>
        </w:rPr>
        <w:t xml:space="preserve"> </w:t>
      </w:r>
      <w:r w:rsidR="0072362F">
        <w:rPr>
          <w:rFonts w:ascii="Book Antiqua" w:hAnsi="Book Antiqua" w:cs="Arial"/>
        </w:rPr>
        <w:t>such as it was</w:t>
      </w:r>
      <w:r>
        <w:rPr>
          <w:rFonts w:ascii="Book Antiqua" w:hAnsi="Book Antiqua" w:cs="Arial"/>
        </w:rPr>
        <w:t xml:space="preserve">.  As I have said, the Secretary of State relied on the generic evidence which has been criticised in other cases and on the document naming Mr Rahman with a certificate number and an entry which says invalid.  </w:t>
      </w:r>
    </w:p>
    <w:p w14:paraId="323FE434" w14:textId="318BFD07" w:rsidR="00F12344" w:rsidRDefault="00F12344" w:rsidP="00911478">
      <w:pPr>
        <w:numPr>
          <w:ilvl w:val="0"/>
          <w:numId w:val="3"/>
        </w:numPr>
        <w:spacing w:before="240"/>
        <w:jc w:val="both"/>
        <w:rPr>
          <w:rFonts w:ascii="Book Antiqua" w:hAnsi="Book Antiqua" w:cs="Arial"/>
        </w:rPr>
      </w:pPr>
      <w:r>
        <w:rPr>
          <w:rFonts w:ascii="Book Antiqua" w:hAnsi="Book Antiqua" w:cs="Arial"/>
        </w:rPr>
        <w:t xml:space="preserve">There are aspects of the </w:t>
      </w:r>
      <w:r w:rsidR="00D84447">
        <w:rPr>
          <w:rFonts w:ascii="Book Antiqua" w:hAnsi="Book Antiqua" w:cs="Arial"/>
        </w:rPr>
        <w:t>decision of Judge James which</w:t>
      </w:r>
      <w:r w:rsidR="006C07B1">
        <w:rPr>
          <w:rFonts w:ascii="Book Antiqua" w:hAnsi="Book Antiqua" w:cs="Arial"/>
        </w:rPr>
        <w:t>, however,</w:t>
      </w:r>
      <w:r w:rsidR="00D84447">
        <w:rPr>
          <w:rFonts w:ascii="Book Antiqua" w:hAnsi="Book Antiqua" w:cs="Arial"/>
        </w:rPr>
        <w:t xml:space="preserve"> are difficult to follow, </w:t>
      </w:r>
      <w:r w:rsidR="006C07B1">
        <w:rPr>
          <w:rFonts w:ascii="Book Antiqua" w:hAnsi="Book Antiqua" w:cs="Arial"/>
        </w:rPr>
        <w:t xml:space="preserve">in respect of which I ought to make mention. I refer </w:t>
      </w:r>
      <w:r w:rsidR="00D84447">
        <w:rPr>
          <w:rFonts w:ascii="Book Antiqua" w:hAnsi="Book Antiqua" w:cs="Arial"/>
        </w:rPr>
        <w:t xml:space="preserve">in particular </w:t>
      </w:r>
      <w:r w:rsidR="006C07B1">
        <w:rPr>
          <w:rFonts w:ascii="Book Antiqua" w:hAnsi="Book Antiqua" w:cs="Arial"/>
        </w:rPr>
        <w:t xml:space="preserve">to </w:t>
      </w:r>
      <w:r w:rsidR="00D84447">
        <w:rPr>
          <w:rFonts w:ascii="Book Antiqua" w:hAnsi="Book Antiqua" w:cs="Arial"/>
        </w:rPr>
        <w:t>paragraph 16 in which she says:</w:t>
      </w:r>
    </w:p>
    <w:p w14:paraId="58226DF0" w14:textId="6276C318" w:rsidR="00D84447" w:rsidRPr="006C07B1" w:rsidRDefault="00D84447" w:rsidP="00D84447">
      <w:pPr>
        <w:spacing w:before="240"/>
        <w:ind w:left="1134"/>
        <w:jc w:val="both"/>
        <w:rPr>
          <w:rFonts w:ascii="Book Antiqua" w:hAnsi="Book Antiqua" w:cs="Arial"/>
          <w:i/>
        </w:rPr>
      </w:pPr>
      <w:r w:rsidRPr="006C07B1">
        <w:rPr>
          <w:rFonts w:ascii="Book Antiqua" w:hAnsi="Book Antiqua" w:cs="Arial"/>
          <w:i/>
        </w:rPr>
        <w:t xml:space="preserve">“Taking the totality of the evidence before me into account I find that the </w:t>
      </w:r>
      <w:r w:rsidR="00680843" w:rsidRPr="006C07B1">
        <w:rPr>
          <w:rFonts w:ascii="Book Antiqua" w:hAnsi="Book Antiqua" w:cs="Arial"/>
          <w:i/>
        </w:rPr>
        <w:t>Appellant</w:t>
      </w:r>
      <w:r w:rsidRPr="006C07B1">
        <w:rPr>
          <w:rFonts w:ascii="Book Antiqua" w:hAnsi="Book Antiqua" w:cs="Arial"/>
          <w:i/>
        </w:rPr>
        <w:t xml:space="preserve">’s </w:t>
      </w:r>
      <w:r w:rsidR="0072362F" w:rsidRPr="006C07B1">
        <w:rPr>
          <w:rFonts w:ascii="Book Antiqua" w:hAnsi="Book Antiqua" w:cs="Arial"/>
          <w:i/>
        </w:rPr>
        <w:t>English-speaking</w:t>
      </w:r>
      <w:r w:rsidRPr="006C07B1">
        <w:rPr>
          <w:rFonts w:ascii="Book Antiqua" w:hAnsi="Book Antiqua" w:cs="Arial"/>
          <w:i/>
        </w:rPr>
        <w:t xml:space="preserve"> skills were fluent and similar to a native speaker prior to even applying to sit the TOEIC exam.  The independent documents confirm his English language qualifications, which were undertaken in the UK, in the English language and to post-graduate level.  </w:t>
      </w:r>
      <w:r w:rsidR="0072362F" w:rsidRPr="006C07B1">
        <w:rPr>
          <w:rFonts w:ascii="Book Antiqua" w:hAnsi="Book Antiqua" w:cs="Arial"/>
          <w:i/>
        </w:rPr>
        <w:t>Thus,</w:t>
      </w:r>
      <w:r w:rsidRPr="006C07B1">
        <w:rPr>
          <w:rFonts w:ascii="Book Antiqua" w:hAnsi="Book Antiqua" w:cs="Arial"/>
          <w:i/>
        </w:rPr>
        <w:t xml:space="preserve"> the </w:t>
      </w:r>
      <w:r w:rsidR="00680843" w:rsidRPr="006C07B1">
        <w:rPr>
          <w:rFonts w:ascii="Book Antiqua" w:hAnsi="Book Antiqua" w:cs="Arial"/>
          <w:i/>
        </w:rPr>
        <w:t>Appellant</w:t>
      </w:r>
      <w:r w:rsidRPr="006C07B1">
        <w:rPr>
          <w:rFonts w:ascii="Book Antiqua" w:hAnsi="Book Antiqua" w:cs="Arial"/>
          <w:i/>
        </w:rPr>
        <w:t xml:space="preserve"> firmly rebuts the allegation of deceit put forward by the </w:t>
      </w:r>
      <w:r w:rsidR="00680843" w:rsidRPr="006C07B1">
        <w:rPr>
          <w:rFonts w:ascii="Book Antiqua" w:hAnsi="Book Antiqua" w:cs="Arial"/>
          <w:i/>
        </w:rPr>
        <w:t>Respondent</w:t>
      </w:r>
      <w:r w:rsidRPr="006C07B1">
        <w:rPr>
          <w:rFonts w:ascii="Book Antiqua" w:hAnsi="Book Antiqua" w:cs="Arial"/>
          <w:i/>
        </w:rPr>
        <w:t xml:space="preserve">, and I find the allegation is not made out.  </w:t>
      </w:r>
      <w:r w:rsidR="0072362F" w:rsidRPr="006C07B1">
        <w:rPr>
          <w:rFonts w:ascii="Book Antiqua" w:hAnsi="Book Antiqua" w:cs="Arial"/>
          <w:i/>
        </w:rPr>
        <w:t>Therefore,</w:t>
      </w:r>
      <w:r w:rsidRPr="006C07B1">
        <w:rPr>
          <w:rFonts w:ascii="Book Antiqua" w:hAnsi="Book Antiqua" w:cs="Arial"/>
          <w:i/>
        </w:rPr>
        <w:t xml:space="preserve"> the appeal is allowed”</w:t>
      </w:r>
      <w:r w:rsidR="006C07B1">
        <w:rPr>
          <w:rFonts w:ascii="Book Antiqua" w:hAnsi="Book Antiqua" w:cs="Arial"/>
          <w:i/>
        </w:rPr>
        <w:t>.</w:t>
      </w:r>
    </w:p>
    <w:p w14:paraId="3BE0823B" w14:textId="06BE6349" w:rsidR="00D84447" w:rsidRDefault="006C07B1" w:rsidP="00D84447">
      <w:pPr>
        <w:spacing w:before="240"/>
        <w:ind w:left="567"/>
        <w:jc w:val="both"/>
        <w:rPr>
          <w:rFonts w:ascii="Book Antiqua" w:hAnsi="Book Antiqua" w:cs="Arial"/>
        </w:rPr>
      </w:pPr>
      <w:r>
        <w:rPr>
          <w:rFonts w:ascii="Book Antiqua" w:hAnsi="Book Antiqua" w:cs="Arial"/>
        </w:rPr>
        <w:lastRenderedPageBreak/>
        <w:t>Ms Kiss</w:t>
      </w:r>
      <w:r w:rsidR="00D84447">
        <w:rPr>
          <w:rFonts w:ascii="Book Antiqua" w:hAnsi="Book Antiqua" w:cs="Arial"/>
        </w:rPr>
        <w:t xml:space="preserve"> pointed out that the </w:t>
      </w:r>
      <w:r w:rsidR="00680843">
        <w:rPr>
          <w:rFonts w:ascii="Book Antiqua" w:hAnsi="Book Antiqua" w:cs="Arial"/>
        </w:rPr>
        <w:t>Appellant</w:t>
      </w:r>
      <w:r>
        <w:rPr>
          <w:rFonts w:ascii="Book Antiqua" w:hAnsi="Book Antiqua" w:cs="Arial"/>
        </w:rPr>
        <w:t>,</w:t>
      </w:r>
      <w:r w:rsidR="00D84447">
        <w:rPr>
          <w:rFonts w:ascii="Book Antiqua" w:hAnsi="Book Antiqua" w:cs="Arial"/>
        </w:rPr>
        <w:t xml:space="preserve"> in his witness statement</w:t>
      </w:r>
      <w:r>
        <w:rPr>
          <w:rFonts w:ascii="Book Antiqua" w:hAnsi="Book Antiqua" w:cs="Arial"/>
        </w:rPr>
        <w:t>,</w:t>
      </w:r>
      <w:r w:rsidR="00D84447">
        <w:rPr>
          <w:rFonts w:ascii="Book Antiqua" w:hAnsi="Book Antiqua" w:cs="Arial"/>
        </w:rPr>
        <w:t xml:space="preserve"> had said </w:t>
      </w:r>
      <w:r>
        <w:rPr>
          <w:rFonts w:ascii="Book Antiqua" w:hAnsi="Book Antiqua" w:cs="Arial"/>
        </w:rPr>
        <w:t>that he had</w:t>
      </w:r>
      <w:r w:rsidR="00D84447">
        <w:rPr>
          <w:rFonts w:ascii="Book Antiqua" w:hAnsi="Book Antiqua" w:cs="Arial"/>
        </w:rPr>
        <w:t xml:space="preserve"> failed the speaking and writing test on four occasions and the listening and reading test on two occasions before getting the desired scores in the relevant test (see paragraph 14 of his witness statement).  Ms Kiss submitted that the findings overall reflected an unbalanced approach on the part of the judge.  </w:t>
      </w:r>
      <w:r>
        <w:rPr>
          <w:rFonts w:ascii="Book Antiqua" w:hAnsi="Book Antiqua" w:cs="Arial"/>
        </w:rPr>
        <w:t>The best interpretation I can put on that paragraph, is that absent the Respondent proving his case, that is where the Judge felt the evidence left the matter.</w:t>
      </w:r>
    </w:p>
    <w:p w14:paraId="714D9F26" w14:textId="77777777" w:rsidR="0017360F" w:rsidRDefault="00D84447" w:rsidP="00D84447">
      <w:pPr>
        <w:numPr>
          <w:ilvl w:val="0"/>
          <w:numId w:val="3"/>
        </w:numPr>
        <w:spacing w:before="240"/>
        <w:jc w:val="both"/>
        <w:rPr>
          <w:rFonts w:ascii="Book Antiqua" w:hAnsi="Book Antiqua" w:cs="Arial"/>
        </w:rPr>
      </w:pPr>
      <w:r w:rsidRPr="0017360F">
        <w:rPr>
          <w:rFonts w:ascii="Book Antiqua" w:hAnsi="Book Antiqua" w:cs="Arial"/>
        </w:rPr>
        <w:t>My task is to decide whether there was a material error of law and</w:t>
      </w:r>
      <w:r w:rsidR="007C5464" w:rsidRPr="0017360F">
        <w:rPr>
          <w:rFonts w:ascii="Book Antiqua" w:hAnsi="Book Antiqua" w:cs="Arial"/>
        </w:rPr>
        <w:t>,</w:t>
      </w:r>
      <w:r w:rsidRPr="0017360F">
        <w:rPr>
          <w:rFonts w:ascii="Book Antiqua" w:hAnsi="Book Antiqua" w:cs="Arial"/>
        </w:rPr>
        <w:t xml:space="preserve"> insofar as findings of fact were made, whether those findings were open to the judge. I have already dealt with the initial burdens of proof, that is to say the evidential burdens upon the Secretary of State and Mr Rahman.  </w:t>
      </w:r>
    </w:p>
    <w:p w14:paraId="2EF0D672" w14:textId="789511CC" w:rsidR="00BC77DB" w:rsidRPr="0017360F" w:rsidRDefault="00D84447" w:rsidP="00D84447">
      <w:pPr>
        <w:numPr>
          <w:ilvl w:val="0"/>
          <w:numId w:val="3"/>
        </w:numPr>
        <w:spacing w:before="240"/>
        <w:jc w:val="both"/>
        <w:rPr>
          <w:rFonts w:ascii="Book Antiqua" w:hAnsi="Book Antiqua" w:cs="Arial"/>
        </w:rPr>
      </w:pPr>
      <w:r w:rsidRPr="0017360F">
        <w:rPr>
          <w:rFonts w:ascii="Book Antiqua" w:hAnsi="Book Antiqua" w:cs="Arial"/>
        </w:rPr>
        <w:t xml:space="preserve">For the avoidance of </w:t>
      </w:r>
      <w:r w:rsidR="0017360F" w:rsidRPr="0017360F">
        <w:rPr>
          <w:rFonts w:ascii="Book Antiqua" w:hAnsi="Book Antiqua" w:cs="Arial"/>
        </w:rPr>
        <w:t>doubt,</w:t>
      </w:r>
      <w:r w:rsidRPr="0017360F">
        <w:rPr>
          <w:rFonts w:ascii="Book Antiqua" w:hAnsi="Book Antiqua" w:cs="Arial"/>
        </w:rPr>
        <w:t xml:space="preserve"> I find no error of law in Mr Rahman not presenting himself for cross-examination.  The question then is whether it was open to the judge to find that the Secretary of State had </w:t>
      </w:r>
      <w:r w:rsidR="009F4592" w:rsidRPr="0017360F">
        <w:rPr>
          <w:rFonts w:ascii="Book Antiqua" w:hAnsi="Book Antiqua" w:cs="Arial"/>
        </w:rPr>
        <w:t>not</w:t>
      </w:r>
      <w:r w:rsidRPr="0017360F">
        <w:rPr>
          <w:rFonts w:ascii="Book Antiqua" w:hAnsi="Book Antiqua" w:cs="Arial"/>
        </w:rPr>
        <w:t xml:space="preserve"> discharged the legal burden. I find that notwithstanding the concerns that I have already alluded to and those concerns raised by Ms Kiss</w:t>
      </w:r>
      <w:r w:rsidR="0017360F">
        <w:rPr>
          <w:rFonts w:ascii="Book Antiqua" w:hAnsi="Book Antiqua" w:cs="Arial"/>
        </w:rPr>
        <w:t xml:space="preserve"> (with respect to the way the judge expressed herself)</w:t>
      </w:r>
      <w:r w:rsidRPr="0017360F">
        <w:rPr>
          <w:rFonts w:ascii="Book Antiqua" w:hAnsi="Book Antiqua" w:cs="Arial"/>
        </w:rPr>
        <w:t xml:space="preserve">, on the basis of the evidence it was open to Judge James to find that it was lacking for </w:t>
      </w:r>
      <w:r w:rsidR="0017360F">
        <w:rPr>
          <w:rFonts w:ascii="Book Antiqua" w:hAnsi="Book Antiqua" w:cs="Arial"/>
        </w:rPr>
        <w:t>the</w:t>
      </w:r>
      <w:r w:rsidRPr="0017360F">
        <w:rPr>
          <w:rFonts w:ascii="Book Antiqua" w:hAnsi="Book Antiqua" w:cs="Arial"/>
        </w:rPr>
        <w:t xml:space="preserve"> reasons set out in the cases to which I have already referred, that is to say </w:t>
      </w:r>
      <w:r w:rsidRPr="0017360F">
        <w:rPr>
          <w:rFonts w:ascii="Book Antiqua" w:hAnsi="Book Antiqua" w:cs="Arial"/>
          <w:b/>
          <w:u w:val="single"/>
        </w:rPr>
        <w:t>SM</w:t>
      </w:r>
      <w:r w:rsidR="0017360F">
        <w:rPr>
          <w:rFonts w:ascii="Book Antiqua" w:hAnsi="Book Antiqua" w:cs="Arial"/>
          <w:b/>
          <w:u w:val="single"/>
        </w:rPr>
        <w:t xml:space="preserve"> &amp; </w:t>
      </w:r>
      <w:proofErr w:type="spellStart"/>
      <w:r w:rsidR="0017360F">
        <w:rPr>
          <w:rFonts w:ascii="Book Antiqua" w:hAnsi="Book Antiqua" w:cs="Arial"/>
          <w:b/>
          <w:u w:val="single"/>
        </w:rPr>
        <w:t>Qadir</w:t>
      </w:r>
      <w:proofErr w:type="spellEnd"/>
      <w:r w:rsidR="0017360F">
        <w:rPr>
          <w:rFonts w:ascii="Book Antiqua" w:hAnsi="Book Antiqua" w:cs="Arial"/>
          <w:b/>
          <w:u w:val="single"/>
        </w:rPr>
        <w:t xml:space="preserve"> [2016]</w:t>
      </w:r>
      <w:r w:rsidR="0017360F" w:rsidRPr="0017360F">
        <w:rPr>
          <w:rFonts w:ascii="Book Antiqua" w:hAnsi="Book Antiqua" w:cs="Arial"/>
          <w:b/>
        </w:rPr>
        <w:t xml:space="preserve"> UKUT 229 IAC</w:t>
      </w:r>
      <w:r w:rsidRPr="0017360F">
        <w:rPr>
          <w:rFonts w:ascii="Book Antiqua" w:hAnsi="Book Antiqua" w:cs="Arial"/>
        </w:rPr>
        <w:t xml:space="preserve"> and </w:t>
      </w:r>
      <w:r w:rsidRPr="0017360F">
        <w:rPr>
          <w:rFonts w:ascii="Book Antiqua" w:hAnsi="Book Antiqua" w:cs="Arial"/>
          <w:b/>
          <w:u w:val="single"/>
        </w:rPr>
        <w:t>Shehzad</w:t>
      </w:r>
      <w:r w:rsidR="0017360F" w:rsidRPr="0017360F">
        <w:rPr>
          <w:rFonts w:ascii="Book Antiqua" w:hAnsi="Book Antiqua" w:cs="Arial"/>
          <w:b/>
        </w:rPr>
        <w:t xml:space="preserve"> [2016] EWCA </w:t>
      </w:r>
      <w:proofErr w:type="spellStart"/>
      <w:r w:rsidR="0017360F" w:rsidRPr="0017360F">
        <w:rPr>
          <w:rFonts w:ascii="Book Antiqua" w:hAnsi="Book Antiqua" w:cs="Arial"/>
          <w:b/>
        </w:rPr>
        <w:t>Civ</w:t>
      </w:r>
      <w:proofErr w:type="spellEnd"/>
      <w:r w:rsidR="0017360F" w:rsidRPr="0017360F">
        <w:rPr>
          <w:rFonts w:ascii="Book Antiqua" w:hAnsi="Book Antiqua" w:cs="Arial"/>
          <w:b/>
        </w:rPr>
        <w:t xml:space="preserve"> 16</w:t>
      </w:r>
      <w:r w:rsidRPr="0017360F">
        <w:rPr>
          <w:rFonts w:ascii="Book Antiqua" w:hAnsi="Book Antiqua" w:cs="Arial"/>
        </w:rPr>
        <w:t xml:space="preserve">, the judge was entitled to weigh in the mix the witness statement, notwithstanding the fact that the </w:t>
      </w:r>
      <w:r w:rsidR="00680843" w:rsidRPr="0017360F">
        <w:rPr>
          <w:rFonts w:ascii="Book Antiqua" w:hAnsi="Book Antiqua" w:cs="Arial"/>
        </w:rPr>
        <w:t>Appellant</w:t>
      </w:r>
      <w:r w:rsidRPr="0017360F">
        <w:rPr>
          <w:rFonts w:ascii="Book Antiqua" w:hAnsi="Book Antiqua" w:cs="Arial"/>
        </w:rPr>
        <w:t xml:space="preserve"> had not been cross-</w:t>
      </w:r>
      <w:r w:rsidR="009F4592" w:rsidRPr="0017360F">
        <w:rPr>
          <w:rFonts w:ascii="Book Antiqua" w:hAnsi="Book Antiqua" w:cs="Arial"/>
        </w:rPr>
        <w:t>examined</w:t>
      </w:r>
      <w:r w:rsidRPr="0017360F">
        <w:rPr>
          <w:rFonts w:ascii="Book Antiqua" w:hAnsi="Book Antiqua" w:cs="Arial"/>
        </w:rPr>
        <w:t>, and make the findings that were open to her.  It follows that I find no material error of law in the decision of Judge James.  Much of the matters raised before me by Ms Kiss were, and I mean her no disrespect, attempt</w:t>
      </w:r>
      <w:r w:rsidR="0017360F">
        <w:rPr>
          <w:rFonts w:ascii="Book Antiqua" w:hAnsi="Book Antiqua" w:cs="Arial"/>
        </w:rPr>
        <w:t>s</w:t>
      </w:r>
      <w:r w:rsidRPr="0017360F">
        <w:rPr>
          <w:rFonts w:ascii="Book Antiqua" w:hAnsi="Book Antiqua" w:cs="Arial"/>
        </w:rPr>
        <w:t xml:space="preserve"> to reargue the case, but that only becomes relevant if there is an error of law and I do not find that there was one</w:t>
      </w:r>
      <w:r w:rsidR="0017360F">
        <w:rPr>
          <w:rFonts w:ascii="Book Antiqua" w:hAnsi="Book Antiqua" w:cs="Arial"/>
        </w:rPr>
        <w:t xml:space="preserve"> in this case</w:t>
      </w:r>
      <w:r w:rsidRPr="0017360F">
        <w:rPr>
          <w:rFonts w:ascii="Book Antiqua" w:hAnsi="Book Antiqua" w:cs="Arial"/>
        </w:rPr>
        <w:t xml:space="preserve">.  </w:t>
      </w:r>
    </w:p>
    <w:p w14:paraId="685F920D" w14:textId="77777777" w:rsidR="00BC77DB" w:rsidRPr="00BC77DB" w:rsidRDefault="00BC77DB" w:rsidP="00BC77DB">
      <w:pPr>
        <w:spacing w:before="240"/>
        <w:jc w:val="both"/>
        <w:rPr>
          <w:rFonts w:ascii="Book Antiqua" w:hAnsi="Book Antiqua" w:cs="Arial"/>
          <w:b/>
          <w:u w:val="single"/>
        </w:rPr>
      </w:pPr>
      <w:r w:rsidRPr="00BC77DB">
        <w:rPr>
          <w:rFonts w:ascii="Book Antiqua" w:hAnsi="Book Antiqua" w:cs="Arial"/>
          <w:b/>
          <w:u w:val="single"/>
        </w:rPr>
        <w:t xml:space="preserve">Notice of Decision </w:t>
      </w:r>
    </w:p>
    <w:p w14:paraId="3572F73B" w14:textId="77777777" w:rsidR="00D84447" w:rsidRPr="00D84447" w:rsidRDefault="00D84447" w:rsidP="00D84447">
      <w:pPr>
        <w:numPr>
          <w:ilvl w:val="0"/>
          <w:numId w:val="3"/>
        </w:numPr>
        <w:spacing w:before="240"/>
        <w:jc w:val="both"/>
        <w:rPr>
          <w:rFonts w:ascii="Book Antiqua" w:hAnsi="Book Antiqua" w:cs="Arial"/>
        </w:rPr>
      </w:pPr>
      <w:r>
        <w:rPr>
          <w:rFonts w:ascii="Book Antiqua" w:hAnsi="Book Antiqua" w:cs="Arial"/>
        </w:rPr>
        <w:t xml:space="preserve">In those circumstances the appeal to the Upper Tribunal is dismissed.  The decision of the First-tier Tribunal is affirmed.  </w:t>
      </w:r>
    </w:p>
    <w:p w14:paraId="16836B9A" w14:textId="77777777" w:rsidR="00864126" w:rsidRDefault="00D84447" w:rsidP="00864126">
      <w:pPr>
        <w:numPr>
          <w:ilvl w:val="0"/>
          <w:numId w:val="3"/>
        </w:numPr>
        <w:spacing w:before="240"/>
        <w:jc w:val="both"/>
        <w:rPr>
          <w:rFonts w:ascii="Book Antiqua" w:hAnsi="Book Antiqua" w:cs="Arial"/>
        </w:rPr>
      </w:pPr>
      <w:r w:rsidRPr="00D84447">
        <w:rPr>
          <w:rFonts w:ascii="Book Antiqua" w:hAnsi="Book Antiqua" w:cs="Arial"/>
        </w:rPr>
        <w:t xml:space="preserve">No </w:t>
      </w:r>
      <w:r w:rsidR="00864126" w:rsidRPr="00D84447">
        <w:rPr>
          <w:rFonts w:ascii="Book Antiqua" w:hAnsi="Book Antiqua" w:cs="Arial"/>
        </w:rPr>
        <w:t>anonymity direction is made.</w:t>
      </w:r>
    </w:p>
    <w:p w14:paraId="4AC3AC44" w14:textId="77777777" w:rsidR="00BC77DB" w:rsidRPr="00D84447" w:rsidRDefault="00BC77DB" w:rsidP="00864126">
      <w:pPr>
        <w:numPr>
          <w:ilvl w:val="0"/>
          <w:numId w:val="3"/>
        </w:numPr>
        <w:spacing w:before="240"/>
        <w:jc w:val="both"/>
        <w:rPr>
          <w:rFonts w:ascii="Book Antiqua" w:hAnsi="Book Antiqua" w:cs="Arial"/>
        </w:rPr>
      </w:pPr>
      <w:r>
        <w:rPr>
          <w:rFonts w:ascii="Book Antiqua" w:hAnsi="Book Antiqua" w:cs="Arial"/>
        </w:rPr>
        <w:t xml:space="preserve">I asked the parties at the end of the hearing if there was any matter that they wished me to deal with but they were content that the relevant matters had been dealt with by me adequately.  </w:t>
      </w:r>
    </w:p>
    <w:p w14:paraId="4FB484D1" w14:textId="77777777" w:rsidR="00864126" w:rsidRDefault="00864126" w:rsidP="00864126">
      <w:pPr>
        <w:jc w:val="both"/>
        <w:rPr>
          <w:rFonts w:ascii="Book Antiqua" w:hAnsi="Book Antiqua" w:cs="Arial"/>
        </w:rPr>
      </w:pPr>
    </w:p>
    <w:p w14:paraId="3D1ED845" w14:textId="10584183" w:rsidR="00864126" w:rsidRPr="0017360F" w:rsidRDefault="00864126" w:rsidP="00864126">
      <w:pPr>
        <w:tabs>
          <w:tab w:val="left" w:pos="2520"/>
        </w:tabs>
        <w:jc w:val="both"/>
        <w:rPr>
          <w:rFonts w:ascii="Book Antiqua" w:hAnsi="Book Antiqua" w:cs="Arial"/>
          <w:b/>
        </w:rPr>
      </w:pPr>
      <w:r w:rsidRPr="0017360F">
        <w:rPr>
          <w:rFonts w:ascii="Book Antiqua" w:hAnsi="Book Antiqua" w:cs="Arial"/>
          <w:b/>
        </w:rPr>
        <w:t>Signed</w:t>
      </w:r>
      <w:r w:rsidRPr="0017360F">
        <w:rPr>
          <w:rFonts w:ascii="Book Antiqua" w:hAnsi="Book Antiqua" w:cs="Arial"/>
          <w:b/>
        </w:rPr>
        <w:tab/>
      </w:r>
      <w:r w:rsidRPr="0017360F">
        <w:rPr>
          <w:rFonts w:ascii="Book Antiqua" w:hAnsi="Book Antiqua" w:cs="Arial"/>
          <w:b/>
        </w:rPr>
        <w:tab/>
      </w:r>
      <w:r w:rsidRPr="0017360F">
        <w:rPr>
          <w:rFonts w:ascii="Book Antiqua" w:hAnsi="Book Antiqua" w:cs="Arial"/>
          <w:b/>
        </w:rPr>
        <w:tab/>
      </w:r>
      <w:r w:rsidRPr="0017360F">
        <w:rPr>
          <w:rFonts w:ascii="Book Antiqua" w:hAnsi="Book Antiqua" w:cs="Arial"/>
          <w:b/>
        </w:rPr>
        <w:tab/>
      </w:r>
      <w:r w:rsidRPr="0017360F">
        <w:rPr>
          <w:rFonts w:ascii="Book Antiqua" w:hAnsi="Book Antiqua" w:cs="Arial"/>
          <w:b/>
        </w:rPr>
        <w:tab/>
      </w:r>
      <w:r w:rsidRPr="0017360F">
        <w:rPr>
          <w:rFonts w:ascii="Book Antiqua" w:hAnsi="Book Antiqua" w:cs="Arial"/>
          <w:b/>
        </w:rPr>
        <w:tab/>
      </w:r>
      <w:r w:rsidRPr="0017360F">
        <w:rPr>
          <w:rFonts w:ascii="Book Antiqua" w:hAnsi="Book Antiqua" w:cs="Arial"/>
          <w:b/>
        </w:rPr>
        <w:tab/>
        <w:t>Date</w:t>
      </w:r>
      <w:r w:rsidR="0017360F">
        <w:rPr>
          <w:rFonts w:ascii="Book Antiqua" w:hAnsi="Book Antiqua" w:cs="Arial"/>
          <w:b/>
        </w:rPr>
        <w:t>: 13 September 201</w:t>
      </w:r>
      <w:r w:rsidR="000E6669">
        <w:rPr>
          <w:rFonts w:ascii="Book Antiqua" w:hAnsi="Book Antiqua" w:cs="Arial"/>
          <w:b/>
        </w:rPr>
        <w:t>8</w:t>
      </w:r>
    </w:p>
    <w:p w14:paraId="635B92BA" w14:textId="77777777" w:rsidR="00864126" w:rsidRPr="0017360F" w:rsidRDefault="00864126" w:rsidP="00864126">
      <w:pPr>
        <w:tabs>
          <w:tab w:val="left" w:pos="2520"/>
        </w:tabs>
        <w:jc w:val="both"/>
        <w:rPr>
          <w:rFonts w:ascii="Book Antiqua" w:hAnsi="Book Antiqua" w:cs="Arial"/>
          <w:b/>
        </w:rPr>
      </w:pPr>
    </w:p>
    <w:p w14:paraId="4B18C43C" w14:textId="77777777" w:rsidR="00864126" w:rsidRPr="0017360F" w:rsidRDefault="00864126" w:rsidP="00864126">
      <w:pPr>
        <w:tabs>
          <w:tab w:val="left" w:pos="2520"/>
        </w:tabs>
        <w:jc w:val="both"/>
        <w:rPr>
          <w:rFonts w:ascii="Book Antiqua" w:hAnsi="Book Antiqua" w:cs="Arial"/>
          <w:b/>
        </w:rPr>
      </w:pPr>
    </w:p>
    <w:p w14:paraId="1A6010A4" w14:textId="77777777" w:rsidR="0017360F" w:rsidRPr="0017360F" w:rsidRDefault="0017360F" w:rsidP="00864126">
      <w:pPr>
        <w:tabs>
          <w:tab w:val="left" w:pos="2520"/>
        </w:tabs>
        <w:jc w:val="both"/>
        <w:rPr>
          <w:rFonts w:ascii="Book Antiqua" w:hAnsi="Book Antiqua" w:cs="Arial"/>
          <w:b/>
        </w:rPr>
      </w:pPr>
    </w:p>
    <w:p w14:paraId="1151E668" w14:textId="60533F5D" w:rsidR="0017360F" w:rsidRPr="0017360F" w:rsidRDefault="000E6669" w:rsidP="00864126">
      <w:pPr>
        <w:tabs>
          <w:tab w:val="left" w:pos="2520"/>
        </w:tabs>
        <w:jc w:val="both"/>
        <w:rPr>
          <w:rFonts w:ascii="Book Antiqua" w:hAnsi="Book Antiqua" w:cs="Arial"/>
          <w:b/>
        </w:rPr>
      </w:pPr>
      <w:r>
        <w:rPr>
          <w:rFonts w:ascii="Book Antiqua" w:hAnsi="Book Antiqua" w:cs="Arial"/>
          <w:b/>
          <w:noProof/>
        </w:rPr>
        <mc:AlternateContent>
          <mc:Choice Requires="wpi">
            <w:drawing>
              <wp:anchor distT="0" distB="0" distL="114300" distR="114300" simplePos="0" relativeHeight="251661312" behindDoc="0" locked="0" layoutInCell="1" allowOverlap="1" wp14:anchorId="22D10568" wp14:editId="03AC86D2">
                <wp:simplePos x="0" y="0"/>
                <wp:positionH relativeFrom="column">
                  <wp:posOffset>201625</wp:posOffset>
                </wp:positionH>
                <wp:positionV relativeFrom="paragraph">
                  <wp:posOffset>-141808</wp:posOffset>
                </wp:positionV>
                <wp:extent cx="1747253" cy="392400"/>
                <wp:effectExtent l="38100" t="57150" r="0" b="46355"/>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1747253" cy="392400"/>
                      </w14:xfrm>
                    </w14:contentPart>
                  </a:graphicData>
                </a:graphic>
              </wp:anchor>
            </w:drawing>
          </mc:Choice>
          <mc:Fallback>
            <w:pict>
              <v:shapetype w14:anchorId="30F4B6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5.2pt;margin-top:-11.85pt;width:139pt;height:32.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">
                <v:imagedata r:id="rId9" o:title=""/>
              </v:shape>
            </w:pict>
          </mc:Fallback>
        </mc:AlternateContent>
      </w:r>
    </w:p>
    <w:p w14:paraId="5456EDBB" w14:textId="77777777" w:rsidR="0017360F" w:rsidRPr="0017360F" w:rsidRDefault="0017360F" w:rsidP="00864126">
      <w:pPr>
        <w:tabs>
          <w:tab w:val="left" w:pos="2520"/>
        </w:tabs>
        <w:jc w:val="both"/>
        <w:rPr>
          <w:rFonts w:ascii="Book Antiqua" w:hAnsi="Book Antiqua" w:cs="Arial"/>
          <w:b/>
        </w:rPr>
      </w:pPr>
    </w:p>
    <w:p w14:paraId="3EF38501" w14:textId="77777777" w:rsidR="000E6669" w:rsidRDefault="000E6669" w:rsidP="00864126">
      <w:pPr>
        <w:tabs>
          <w:tab w:val="left" w:pos="2520"/>
        </w:tabs>
        <w:jc w:val="both"/>
        <w:rPr>
          <w:rFonts w:ascii="Book Antiqua" w:hAnsi="Book Antiqua" w:cs="Arial"/>
          <w:b/>
        </w:rPr>
      </w:pPr>
    </w:p>
    <w:p w14:paraId="4C0A2265" w14:textId="77777777" w:rsidR="000E6669" w:rsidRDefault="000E6669" w:rsidP="00864126">
      <w:pPr>
        <w:tabs>
          <w:tab w:val="left" w:pos="2520"/>
        </w:tabs>
        <w:jc w:val="both"/>
        <w:rPr>
          <w:rFonts w:ascii="Book Antiqua" w:hAnsi="Book Antiqua" w:cs="Arial"/>
          <w:b/>
        </w:rPr>
      </w:pPr>
    </w:p>
    <w:p w14:paraId="102D0366" w14:textId="1F4242D2" w:rsidR="00864126" w:rsidRPr="0017360F" w:rsidRDefault="00864126" w:rsidP="00864126">
      <w:pPr>
        <w:tabs>
          <w:tab w:val="left" w:pos="2520"/>
        </w:tabs>
        <w:jc w:val="both"/>
        <w:rPr>
          <w:rFonts w:ascii="Book Antiqua" w:hAnsi="Book Antiqua" w:cs="Arial"/>
          <w:b/>
        </w:rPr>
      </w:pPr>
      <w:r w:rsidRPr="0017360F">
        <w:rPr>
          <w:rFonts w:ascii="Book Antiqua" w:hAnsi="Book Antiqua" w:cs="Arial"/>
          <w:b/>
        </w:rPr>
        <w:t>Deputy Upper Tribunal Judge Zucker</w:t>
      </w:r>
    </w:p>
    <w:sectPr w:rsidR="00864126" w:rsidRPr="0017360F" w:rsidSect="00861320">
      <w:headerReference w:type="default" r:id="rId10"/>
      <w:footerReference w:type="default" r:id="rId11"/>
      <w:headerReference w:type="first" r:id="rId12"/>
      <w:footerReference w:type="first" r:id="rId13"/>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458D3" w14:textId="77777777" w:rsidR="00EA6EBB" w:rsidRDefault="00EA6EBB">
      <w:r>
        <w:separator/>
      </w:r>
    </w:p>
  </w:endnote>
  <w:endnote w:type="continuationSeparator" w:id="0">
    <w:p w14:paraId="781EC4FF" w14:textId="77777777" w:rsidR="00EA6EBB" w:rsidRDefault="00EA6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D025B" w14:textId="6CE103F4"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176241">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33737"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0C350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B4A62" w14:textId="77777777" w:rsidR="00EA6EBB" w:rsidRDefault="00EA6EBB">
      <w:r>
        <w:separator/>
      </w:r>
    </w:p>
  </w:footnote>
  <w:footnote w:type="continuationSeparator" w:id="0">
    <w:p w14:paraId="0D567972" w14:textId="77777777" w:rsidR="00EA6EBB" w:rsidRDefault="00EA6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7FAB9" w14:textId="77777777"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3A2955" w:rsidRPr="003A2955">
      <w:rPr>
        <w:rFonts w:ascii="Book Antiqua" w:hAnsi="Book Antiqua" w:cs="Arial"/>
        <w:sz w:val="16"/>
        <w:szCs w:val="16"/>
      </w:rPr>
      <w:t>HU/11088/2016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D542C" w14:textId="7777777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7"/>
  </w:num>
  <w:num w:numId="9">
    <w:abstractNumId w:val="6"/>
  </w:num>
  <w:num w:numId="10">
    <w:abstractNumId w:val="16"/>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8"/>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EBB"/>
    <w:rsid w:val="00000621"/>
    <w:rsid w:val="000036C2"/>
    <w:rsid w:val="0000577C"/>
    <w:rsid w:val="00033D3D"/>
    <w:rsid w:val="000369F5"/>
    <w:rsid w:val="00071A7E"/>
    <w:rsid w:val="000746C0"/>
    <w:rsid w:val="00074D1D"/>
    <w:rsid w:val="00087037"/>
    <w:rsid w:val="00092580"/>
    <w:rsid w:val="000A32A2"/>
    <w:rsid w:val="000C3506"/>
    <w:rsid w:val="000D5D94"/>
    <w:rsid w:val="000E6669"/>
    <w:rsid w:val="001165A7"/>
    <w:rsid w:val="00140D74"/>
    <w:rsid w:val="00151BB7"/>
    <w:rsid w:val="00167D3A"/>
    <w:rsid w:val="0017360F"/>
    <w:rsid w:val="00176241"/>
    <w:rsid w:val="001A1E2C"/>
    <w:rsid w:val="001E12F7"/>
    <w:rsid w:val="001F2716"/>
    <w:rsid w:val="00200473"/>
    <w:rsid w:val="0020133A"/>
    <w:rsid w:val="00207617"/>
    <w:rsid w:val="00254351"/>
    <w:rsid w:val="00283659"/>
    <w:rsid w:val="00284E94"/>
    <w:rsid w:val="00291D5E"/>
    <w:rsid w:val="002A253E"/>
    <w:rsid w:val="002C4E73"/>
    <w:rsid w:val="002D68BF"/>
    <w:rsid w:val="00305FBC"/>
    <w:rsid w:val="00334945"/>
    <w:rsid w:val="00336CBF"/>
    <w:rsid w:val="003546C8"/>
    <w:rsid w:val="003733B3"/>
    <w:rsid w:val="00392D87"/>
    <w:rsid w:val="003A2955"/>
    <w:rsid w:val="003A7CF2"/>
    <w:rsid w:val="003C0DF3"/>
    <w:rsid w:val="003C5CE5"/>
    <w:rsid w:val="003D4E5A"/>
    <w:rsid w:val="003E267B"/>
    <w:rsid w:val="003E7CD1"/>
    <w:rsid w:val="003F7249"/>
    <w:rsid w:val="00402B9E"/>
    <w:rsid w:val="00423932"/>
    <w:rsid w:val="004249CB"/>
    <w:rsid w:val="0044127D"/>
    <w:rsid w:val="004448DB"/>
    <w:rsid w:val="00446C9A"/>
    <w:rsid w:val="00456521"/>
    <w:rsid w:val="00477193"/>
    <w:rsid w:val="004852B5"/>
    <w:rsid w:val="004A1848"/>
    <w:rsid w:val="004F7833"/>
    <w:rsid w:val="00507FEC"/>
    <w:rsid w:val="00510F0E"/>
    <w:rsid w:val="00516E48"/>
    <w:rsid w:val="005354D1"/>
    <w:rsid w:val="00541D19"/>
    <w:rsid w:val="005479E1"/>
    <w:rsid w:val="005570FD"/>
    <w:rsid w:val="005575EA"/>
    <w:rsid w:val="00564626"/>
    <w:rsid w:val="0057790C"/>
    <w:rsid w:val="00593795"/>
    <w:rsid w:val="005A75FF"/>
    <w:rsid w:val="005B4942"/>
    <w:rsid w:val="005B7789"/>
    <w:rsid w:val="005D5851"/>
    <w:rsid w:val="00622725"/>
    <w:rsid w:val="00640E14"/>
    <w:rsid w:val="0065791C"/>
    <w:rsid w:val="00677176"/>
    <w:rsid w:val="00680843"/>
    <w:rsid w:val="00687480"/>
    <w:rsid w:val="00690B8A"/>
    <w:rsid w:val="006C07B1"/>
    <w:rsid w:val="006D1DFA"/>
    <w:rsid w:val="006D506B"/>
    <w:rsid w:val="006D5949"/>
    <w:rsid w:val="006E3C90"/>
    <w:rsid w:val="006F08DA"/>
    <w:rsid w:val="00704B61"/>
    <w:rsid w:val="0072362F"/>
    <w:rsid w:val="007372E0"/>
    <w:rsid w:val="00742A8D"/>
    <w:rsid w:val="0075191E"/>
    <w:rsid w:val="007552A9"/>
    <w:rsid w:val="00761858"/>
    <w:rsid w:val="00767D59"/>
    <w:rsid w:val="00776E97"/>
    <w:rsid w:val="00780FD7"/>
    <w:rsid w:val="007912AD"/>
    <w:rsid w:val="007A1F28"/>
    <w:rsid w:val="007B0824"/>
    <w:rsid w:val="007C5464"/>
    <w:rsid w:val="008303B8"/>
    <w:rsid w:val="00833DCE"/>
    <w:rsid w:val="00841581"/>
    <w:rsid w:val="00842418"/>
    <w:rsid w:val="00861320"/>
    <w:rsid w:val="00864126"/>
    <w:rsid w:val="00871D34"/>
    <w:rsid w:val="008B270C"/>
    <w:rsid w:val="008C3D3D"/>
    <w:rsid w:val="008D32A1"/>
    <w:rsid w:val="008D4131"/>
    <w:rsid w:val="008F1932"/>
    <w:rsid w:val="008F294D"/>
    <w:rsid w:val="00911478"/>
    <w:rsid w:val="0091557E"/>
    <w:rsid w:val="00921062"/>
    <w:rsid w:val="0093083E"/>
    <w:rsid w:val="009451FF"/>
    <w:rsid w:val="009553DD"/>
    <w:rsid w:val="00955B0E"/>
    <w:rsid w:val="00966ECF"/>
    <w:rsid w:val="009727A3"/>
    <w:rsid w:val="00987774"/>
    <w:rsid w:val="009A11E8"/>
    <w:rsid w:val="009A43A1"/>
    <w:rsid w:val="009E4E62"/>
    <w:rsid w:val="009F4592"/>
    <w:rsid w:val="009F5220"/>
    <w:rsid w:val="009F7C4D"/>
    <w:rsid w:val="00A15234"/>
    <w:rsid w:val="00A201AB"/>
    <w:rsid w:val="00A31C8B"/>
    <w:rsid w:val="00A54733"/>
    <w:rsid w:val="00A845DC"/>
    <w:rsid w:val="00A86640"/>
    <w:rsid w:val="00A97AEE"/>
    <w:rsid w:val="00AC5CF6"/>
    <w:rsid w:val="00AC7862"/>
    <w:rsid w:val="00B144FA"/>
    <w:rsid w:val="00B16F58"/>
    <w:rsid w:val="00B30648"/>
    <w:rsid w:val="00B322F4"/>
    <w:rsid w:val="00B34B5A"/>
    <w:rsid w:val="00B3524D"/>
    <w:rsid w:val="00B40F69"/>
    <w:rsid w:val="00B46616"/>
    <w:rsid w:val="00B57A65"/>
    <w:rsid w:val="00B610E3"/>
    <w:rsid w:val="00B61205"/>
    <w:rsid w:val="00B617C4"/>
    <w:rsid w:val="00B626FA"/>
    <w:rsid w:val="00B66D87"/>
    <w:rsid w:val="00B7040A"/>
    <w:rsid w:val="00B96FA0"/>
    <w:rsid w:val="00BB2AA8"/>
    <w:rsid w:val="00BC77DB"/>
    <w:rsid w:val="00BD4196"/>
    <w:rsid w:val="00BE4FE1"/>
    <w:rsid w:val="00BF22CA"/>
    <w:rsid w:val="00C26032"/>
    <w:rsid w:val="00C265B0"/>
    <w:rsid w:val="00C321B5"/>
    <w:rsid w:val="00C345E1"/>
    <w:rsid w:val="00C9551E"/>
    <w:rsid w:val="00C977BA"/>
    <w:rsid w:val="00CB6E35"/>
    <w:rsid w:val="00CE1A46"/>
    <w:rsid w:val="00CF253F"/>
    <w:rsid w:val="00CF56B4"/>
    <w:rsid w:val="00D20F09"/>
    <w:rsid w:val="00D22636"/>
    <w:rsid w:val="00D40FD9"/>
    <w:rsid w:val="00D42256"/>
    <w:rsid w:val="00D53769"/>
    <w:rsid w:val="00D67604"/>
    <w:rsid w:val="00D727C1"/>
    <w:rsid w:val="00D74CFD"/>
    <w:rsid w:val="00D84447"/>
    <w:rsid w:val="00D85C13"/>
    <w:rsid w:val="00D91BE3"/>
    <w:rsid w:val="00D94AFC"/>
    <w:rsid w:val="00DB70AE"/>
    <w:rsid w:val="00DB7231"/>
    <w:rsid w:val="00DD07FC"/>
    <w:rsid w:val="00DD5071"/>
    <w:rsid w:val="00DD5C39"/>
    <w:rsid w:val="00DE26AF"/>
    <w:rsid w:val="00DE7DB7"/>
    <w:rsid w:val="00E00A0A"/>
    <w:rsid w:val="00E00E93"/>
    <w:rsid w:val="00E07F57"/>
    <w:rsid w:val="00E4586A"/>
    <w:rsid w:val="00E50BCE"/>
    <w:rsid w:val="00E61292"/>
    <w:rsid w:val="00E76309"/>
    <w:rsid w:val="00E77C4D"/>
    <w:rsid w:val="00E81D01"/>
    <w:rsid w:val="00E90C08"/>
    <w:rsid w:val="00EA4F85"/>
    <w:rsid w:val="00EA6EBB"/>
    <w:rsid w:val="00EE45D8"/>
    <w:rsid w:val="00EE53B1"/>
    <w:rsid w:val="00F004CD"/>
    <w:rsid w:val="00F12344"/>
    <w:rsid w:val="00F22EDA"/>
    <w:rsid w:val="00F26555"/>
    <w:rsid w:val="00F3224D"/>
    <w:rsid w:val="00F33E0E"/>
    <w:rsid w:val="00F3723B"/>
    <w:rsid w:val="00F5664C"/>
    <w:rsid w:val="00F64613"/>
    <w:rsid w:val="00F72B81"/>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7372A3D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9-13T11:46:51.676"/>
    </inkml:context>
    <inkml:brush xml:id="br0">
      <inkml:brushProperty name="width" value="0.05" units="cm"/>
      <inkml:brushProperty name="height" value="0.05" units="cm"/>
    </inkml:brush>
  </inkml:definitions>
  <inkml:trace contextRef="#ctx0" brushRef="#br0">1284 131 16335,'-16'32'5766,"16"-32"-321,0 0-2178,0 0-1665,0 0-1474,16 0-96,-16 0-32,17 0 0,-17 0 0,32 0 32,-32 0 0,-32-32-32,32 32 0,-17 0 0,1 0 0,0 32 0,-33-32 32,17 33-128,-17 16-96,16-33 96,-32 49-33,17-49 1,-1 49-32,-16-16 64,0 0-96,0 16 96,16 16 128,-16-48-160,-16 32 96,16 0 96,0-33 0,16 33 32,-16-32-64,0 15 64,32-15-64,-32-1 96,16-15-96,17-17-64,16 16 0,16-32 32,-33-1-32,66 17 64,-33-48-128,32 15-64,17-16 96,0 17-64,16-33 64,16 0 0,0 32 32,17-32-65,-17 16 97,0 17 65,-16 16-65,17-33 32,-34 49-64,1-16 32,-16 32 32,-1 0-32,-15 17 32,15-17-32,-32 0 64,0 33-64,-32-33 32,32 17-64,-17-1 32,1-15-32,16-1 0,0-16 0,0 0 32,0-16 0,0-1 32,16-15 0,33-17-32,-33 0 64,17 17-64,16-50 160,16 17 32,-33 0-32,17 33 0,0-49 0,-1 16 33,17 16-65,-48 0 128,15 0-256,1 33 0,-33 0 0,0 16 0,0 0 0,-33 0 0,17 0 0,-17 0 0,-15 32 0,15-15 0,-32 15 0,0 17 0,33-17 0,-33 1-128,16 16 0,0-17-64,0 17 31,17-17-63,-1 17 64,17-33-96,0 1 160,16-1 64,16 16-32,33-32 96,-17-32-32,17 16-32,32-1 64,1 1 160,-1-33-64,0 17 64,0-17-32,1 17 0,-1 32 1,-32-49 63,0 33-32,16 16-192,-65-17 0,16 17 0,-16 0 0,0 33 0,-16-33 0,16 16 0,-49 17 0,33-33 0,-1 0 0,17 0 0,0 0 0,0 0 0,0 0 0,33-33 0,16 17 0,-33-17 0,49 33 0,-16-32 0,16-1 0,-17 17 0,1 16 0,0 0 0,16-32 0,-65 32 0,32 32 0,-32-32 0,0 16 0,-32 17 0,-1-1 0,1 17 0,-33 0 0,0 16 0,16-33-192,-32 33-32,-33 0 31,33-16 33,-1 16 64,1-16 96,0 0-128,0 0 160,32 16-96,-16-49 96,49 0-96,-33 33 0,33-49-1602,16 0-2273,0 0-1122,32 0-416,1-49-33,15 17-127,1-1 1281</inkml:trace>
  <inkml:trace contextRef="#ctx0" brushRef="#br0" timeOffset="821.5163">2317 488 21749,'16'0'5509,"0"0"-1185,17 0-4260,-33 0-32,32 0 0,17-32-64,-33 16 0,17-17 160,16 1-32,16-17 64,-17 16-64,17-15 33,17 15-65,-17-16 64,0 17-64,16-1-96,0 17 64,-32-33-96,16 33 64,-16 0 0,-17 16 64,17 0 0,-49 0 32,0 32 0,0 17-96,-32-16 0,-1 15 0,-16 1 0,1 0-64,-1 16-64,-16 16 32,16-32 0,-32 16 32,-1 0-65,17 0 97,0-16 64,0 16-128,17-16 96,-1-17-128,16 17 32,1-33-64,32-16 96,0 0-32,32 0 0,1 0 64,16-16-64,-1 16 128,17-49 0,0 33 64,0 0-64,17-17 0,-33 17 0,16 0 0,-17-1-32,-15 17 64,-17 0-32,17 0-32,-33 17 64,0-1-32,0 33 0,-33-49 288,1 32-95,15 17 63,-31-17-192,31 17-96,1-33 0,-16 17 0,32-1 0,0-15 0,32-1 0,1-16 0,15 0 0,1 0 0,32-16 0,1-1 0,31-15 0,-31 16 0,32-17 0,16 33-192,-49-32 32,33 15-65,16 1 65,-49 0-64,33 16 256,-33 0 32,0 0 0,1 0 0,-17 0 0,0 0 161,-17 0-3493,1 16-2145,-16-16-224,-1 0-96,-16-16-257,1 16 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1826</Words>
  <Characters>8689</Characters>
  <Application>Microsoft Office Word</Application>
  <DocSecurity>0</DocSecurity>
  <Lines>72</Lines>
  <Paragraphs>20</Paragraphs>
  <ScaleCrop>false</ScaleCrop>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2018-10-05T10:59:00Z</dcterms:created>
  <dcterms:modified xsi:type="dcterms:W3CDTF">2018-10-05T10:59:00Z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