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F153D6" w:rsidP="00933B65">
      <w:pPr>
        <w:rPr>
          <w:rFonts w:ascii="Book Antiqua" w:hAnsi="Book Antiqua" w:cs="Arial"/>
          <w:color w:val="000000"/>
          <w:sz w:val="16"/>
          <w:szCs w:val="16"/>
        </w:rPr>
      </w:pPr>
      <w:r>
        <w:rPr>
          <w:rFonts w:ascii="Book Antiqua" w:hAnsi="Book Antiqua" w:cs="Arial"/>
          <w:color w:val="000000"/>
          <w:sz w:val="16"/>
          <w:szCs w:val="16"/>
        </w:rPr>
        <w:t xml:space="preserve"> </w:t>
      </w:r>
    </w:p>
    <w:p w:rsidR="00933B65" w:rsidRDefault="00816491" w:rsidP="00933B65">
      <w:pPr>
        <w:jc w:val="center"/>
        <w:rPr>
          <w:rFonts w:ascii="Book Antiqua" w:hAnsi="Book Antiqua" w:cs="Arial"/>
          <w:color w:val="000000"/>
        </w:rPr>
      </w:pPr>
      <w:bookmarkStart w:id="0" w:name="_Hlk518407576"/>
      <w:r>
        <w:rPr>
          <w:noProof/>
        </w:rPr>
        <w:drawing>
          <wp:inline distT="0" distB="0" distL="0" distR="0">
            <wp:extent cx="1497965" cy="113220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7965" cy="1132205"/>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16227D"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sidR="00306EE9">
        <w:rPr>
          <w:rFonts w:ascii="Book Antiqua" w:hAnsi="Book Antiqua" w:cs="Arial"/>
          <w:color w:val="000000"/>
        </w:rPr>
        <w:t xml:space="preserve"> </w:t>
      </w:r>
      <w:r w:rsidR="000B7418">
        <w:rPr>
          <w:rFonts w:ascii="Book Antiqua" w:hAnsi="Book Antiqua" w:cs="Arial"/>
          <w:color w:val="000000"/>
        </w:rPr>
        <w:t>HU</w:t>
      </w:r>
      <w:r w:rsidR="00306EE9">
        <w:rPr>
          <w:rFonts w:ascii="Book Antiqua" w:hAnsi="Book Antiqua" w:cs="Arial"/>
          <w:color w:val="000000"/>
        </w:rPr>
        <w:t>/</w:t>
      </w:r>
      <w:r w:rsidR="000B7418">
        <w:rPr>
          <w:rFonts w:ascii="Book Antiqua" w:hAnsi="Book Antiqua" w:cs="Arial"/>
          <w:color w:val="000000"/>
        </w:rPr>
        <w:t>11255</w:t>
      </w:r>
      <w:r w:rsidR="007D6500">
        <w:rPr>
          <w:rFonts w:ascii="Book Antiqua" w:hAnsi="Book Antiqua" w:cs="Arial"/>
          <w:color w:val="000000"/>
        </w:rPr>
        <w:t>/</w:t>
      </w:r>
      <w:r w:rsidR="0016227D">
        <w:rPr>
          <w:rFonts w:ascii="Book Antiqua" w:hAnsi="Book Antiqua" w:cs="Arial"/>
          <w:color w:val="000000"/>
        </w:rPr>
        <w:t>20</w:t>
      </w:r>
      <w:r w:rsidR="007D6500">
        <w:rPr>
          <w:rFonts w:ascii="Book Antiqua" w:hAnsi="Book Antiqua" w:cs="Arial"/>
          <w:color w:val="000000"/>
        </w:rPr>
        <w:t>1</w:t>
      </w:r>
      <w:r w:rsidR="000B7418">
        <w:rPr>
          <w:rFonts w:ascii="Book Antiqua" w:hAnsi="Book Antiqua" w:cs="Arial"/>
          <w:color w:val="000000"/>
        </w:rPr>
        <w:t>6</w:t>
      </w:r>
    </w:p>
    <w:p w:rsidR="00CB3667" w:rsidRDefault="0016227D" w:rsidP="00933B65">
      <w:pPr>
        <w:tabs>
          <w:tab w:val="right" w:pos="9720"/>
        </w:tabs>
        <w:ind w:right="-82"/>
        <w:rPr>
          <w:rFonts w:ascii="Book Antiqua" w:hAnsi="Book Antiqua" w:cs="Arial"/>
          <w:color w:val="000000"/>
        </w:rPr>
      </w:pPr>
      <w:r>
        <w:rPr>
          <w:rFonts w:ascii="Book Antiqua" w:hAnsi="Book Antiqua" w:cs="Arial"/>
          <w:color w:val="000000"/>
        </w:rPr>
        <w:tab/>
      </w:r>
      <w:r w:rsidR="00CB3667">
        <w:rPr>
          <w:rFonts w:ascii="Book Antiqua" w:hAnsi="Book Antiqua" w:cs="Arial"/>
          <w:color w:val="000000"/>
        </w:rPr>
        <w:t>HU/12808/</w:t>
      </w:r>
      <w:r>
        <w:rPr>
          <w:rFonts w:ascii="Book Antiqua" w:hAnsi="Book Antiqua" w:cs="Arial"/>
          <w:color w:val="000000"/>
        </w:rPr>
        <w:t>20</w:t>
      </w:r>
      <w:r w:rsidR="00CB3667">
        <w:rPr>
          <w:rFonts w:ascii="Book Antiqua" w:hAnsi="Book Antiqua" w:cs="Arial"/>
          <w:color w:val="000000"/>
        </w:rPr>
        <w:t>16</w:t>
      </w:r>
    </w:p>
    <w:p w:rsidR="00933B65" w:rsidRPr="00F97703" w:rsidRDefault="0016227D" w:rsidP="00933B65">
      <w:pPr>
        <w:tabs>
          <w:tab w:val="right" w:pos="9720"/>
        </w:tabs>
        <w:ind w:right="-82"/>
        <w:rPr>
          <w:rFonts w:ascii="Book Antiqua" w:hAnsi="Book Antiqua" w:cs="Arial"/>
          <w:color w:val="000000"/>
        </w:rPr>
      </w:pPr>
      <w:r>
        <w:rPr>
          <w:rFonts w:ascii="Book Antiqua" w:hAnsi="Book Antiqua" w:cs="Arial"/>
          <w:color w:val="000000"/>
        </w:rPr>
        <w:t xml:space="preserve"> </w:t>
      </w:r>
      <w:r>
        <w:rPr>
          <w:rFonts w:ascii="Book Antiqua" w:hAnsi="Book Antiqua" w:cs="Arial"/>
          <w:color w:val="000000"/>
        </w:rPr>
        <w:tab/>
        <w:t xml:space="preserve">    </w:t>
      </w:r>
      <w:r w:rsidR="00CB3667">
        <w:rPr>
          <w:rFonts w:ascii="Book Antiqua" w:hAnsi="Book Antiqua" w:cs="Arial"/>
          <w:color w:val="000000"/>
        </w:rPr>
        <w:t xml:space="preserve"> HU/12811/</w:t>
      </w:r>
      <w:r>
        <w:rPr>
          <w:rFonts w:ascii="Book Antiqua" w:hAnsi="Book Antiqua" w:cs="Arial"/>
          <w:color w:val="000000"/>
        </w:rPr>
        <w:t>20</w:t>
      </w:r>
      <w:r w:rsidR="00CB3667">
        <w:rPr>
          <w:rFonts w:ascii="Book Antiqua" w:hAnsi="Book Antiqua" w:cs="Arial"/>
          <w:color w:val="000000"/>
        </w:rPr>
        <w:t>16</w:t>
      </w:r>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16227D" w:rsidRPr="003B5957" w:rsidTr="000E79B1">
        <w:tc>
          <w:tcPr>
            <w:tcW w:w="2500" w:type="pct"/>
            <w:shd w:val="clear" w:color="auto" w:fill="auto"/>
          </w:tcPr>
          <w:p w:rsidR="0016227D" w:rsidRPr="003B5957" w:rsidRDefault="0016227D" w:rsidP="0016227D">
            <w:pPr>
              <w:jc w:val="both"/>
              <w:rPr>
                <w:rFonts w:ascii="Book Antiqua" w:hAnsi="Book Antiqua" w:cs="Arial"/>
                <w:b/>
              </w:rPr>
            </w:pPr>
            <w:r w:rsidRPr="003B5957">
              <w:rPr>
                <w:rFonts w:ascii="Book Antiqua" w:hAnsi="Book Antiqua" w:cs="Arial"/>
                <w:b/>
              </w:rPr>
              <w:t>Heard at Field House</w:t>
            </w:r>
          </w:p>
        </w:tc>
        <w:tc>
          <w:tcPr>
            <w:tcW w:w="2500" w:type="pct"/>
            <w:shd w:val="clear" w:color="auto" w:fill="auto"/>
          </w:tcPr>
          <w:p w:rsidR="0016227D" w:rsidRPr="000704BB" w:rsidRDefault="0016227D" w:rsidP="000E79B1">
            <w:pPr>
              <w:jc w:val="right"/>
              <w:rPr>
                <w:rFonts w:ascii="Book Antiqua" w:hAnsi="Book Antiqua" w:cs="Arial"/>
                <w:b/>
                <w:color w:val="000000"/>
              </w:rPr>
            </w:pPr>
            <w:r>
              <w:rPr>
                <w:rFonts w:ascii="Book Antiqua" w:hAnsi="Book Antiqua" w:cs="Arial"/>
                <w:b/>
                <w:color w:val="000000"/>
              </w:rPr>
              <w:t>Decision &amp; Reasons</w:t>
            </w:r>
            <w:r w:rsidRPr="000704BB">
              <w:rPr>
                <w:rFonts w:ascii="Book Antiqua" w:hAnsi="Book Antiqua" w:cs="Arial"/>
                <w:b/>
                <w:color w:val="000000"/>
              </w:rPr>
              <w:t xml:space="preserve"> Promulgated</w:t>
            </w:r>
          </w:p>
        </w:tc>
      </w:tr>
      <w:tr w:rsidR="0016227D" w:rsidRPr="003B5957" w:rsidTr="000E79B1">
        <w:tc>
          <w:tcPr>
            <w:tcW w:w="2500" w:type="pct"/>
            <w:shd w:val="clear" w:color="auto" w:fill="auto"/>
          </w:tcPr>
          <w:p w:rsidR="0016227D" w:rsidRPr="003B5957" w:rsidRDefault="0016227D" w:rsidP="0016227D">
            <w:pPr>
              <w:jc w:val="both"/>
              <w:rPr>
                <w:rFonts w:ascii="Book Antiqua" w:hAnsi="Book Antiqua" w:cs="Arial"/>
                <w:b/>
              </w:rPr>
            </w:pPr>
            <w:r w:rsidRPr="003B5957">
              <w:rPr>
                <w:rFonts w:ascii="Book Antiqua" w:hAnsi="Book Antiqua" w:cs="Arial"/>
                <w:b/>
              </w:rPr>
              <w:t xml:space="preserve">On </w:t>
            </w:r>
            <w:r>
              <w:rPr>
                <w:rFonts w:ascii="Book Antiqua" w:hAnsi="Book Antiqua" w:cs="Arial"/>
                <w:b/>
              </w:rPr>
              <w:t>10</w:t>
            </w:r>
            <w:r w:rsidRPr="000B7418">
              <w:rPr>
                <w:rFonts w:ascii="Book Antiqua" w:hAnsi="Book Antiqua" w:cs="Arial"/>
                <w:b/>
                <w:vertAlign w:val="superscript"/>
              </w:rPr>
              <w:t>th</w:t>
            </w:r>
            <w:r>
              <w:rPr>
                <w:rFonts w:ascii="Book Antiqua" w:hAnsi="Book Antiqua" w:cs="Arial"/>
                <w:b/>
              </w:rPr>
              <w:t xml:space="preserve"> July 2018</w:t>
            </w:r>
          </w:p>
        </w:tc>
        <w:tc>
          <w:tcPr>
            <w:tcW w:w="2500" w:type="pct"/>
            <w:shd w:val="clear" w:color="auto" w:fill="auto"/>
          </w:tcPr>
          <w:p w:rsidR="0016227D" w:rsidRPr="003B5957" w:rsidRDefault="0016227D" w:rsidP="000E79B1">
            <w:pPr>
              <w:jc w:val="right"/>
              <w:rPr>
                <w:rFonts w:ascii="Book Antiqua" w:hAnsi="Book Antiqua" w:cs="Arial"/>
                <w:b/>
              </w:rPr>
            </w:pPr>
            <w:r>
              <w:rPr>
                <w:rFonts w:ascii="Book Antiqua" w:hAnsi="Book Antiqua" w:cs="Arial"/>
                <w:b/>
              </w:rPr>
              <w:t>On 13</w:t>
            </w:r>
            <w:r w:rsidRPr="0016227D">
              <w:rPr>
                <w:rFonts w:ascii="Book Antiqua" w:hAnsi="Book Antiqua" w:cs="Arial"/>
                <w:b/>
                <w:vertAlign w:val="superscript"/>
              </w:rPr>
              <w:t>th</w:t>
            </w:r>
            <w:r>
              <w:rPr>
                <w:rFonts w:ascii="Book Antiqua" w:hAnsi="Book Antiqua" w:cs="Arial"/>
                <w:b/>
              </w:rPr>
              <w:t xml:space="preserve"> July 2018</w:t>
            </w:r>
          </w:p>
        </w:tc>
      </w:tr>
      <w:tr w:rsidR="0016227D" w:rsidRPr="003B5957" w:rsidTr="000E79B1">
        <w:tc>
          <w:tcPr>
            <w:tcW w:w="2500" w:type="pct"/>
            <w:shd w:val="clear" w:color="auto" w:fill="auto"/>
          </w:tcPr>
          <w:p w:rsidR="0016227D" w:rsidRPr="003B5957" w:rsidRDefault="0016227D" w:rsidP="0016227D">
            <w:pPr>
              <w:jc w:val="both"/>
              <w:rPr>
                <w:rFonts w:ascii="Book Antiqua" w:hAnsi="Book Antiqua" w:cs="Arial"/>
                <w:b/>
              </w:rPr>
            </w:pPr>
          </w:p>
        </w:tc>
        <w:tc>
          <w:tcPr>
            <w:tcW w:w="2500" w:type="pct"/>
            <w:shd w:val="clear" w:color="auto" w:fill="auto"/>
          </w:tcPr>
          <w:p w:rsidR="0016227D" w:rsidRPr="003B5957" w:rsidRDefault="0016227D" w:rsidP="000E79B1">
            <w:pPr>
              <w:jc w:val="right"/>
              <w:rPr>
                <w:rFonts w:ascii="Book Antiqua" w:hAnsi="Book Antiqua" w:cs="Arial"/>
                <w:b/>
              </w:rPr>
            </w:pPr>
          </w:p>
        </w:tc>
      </w:tr>
    </w:tbl>
    <w:p w:rsidR="00E53484" w:rsidRDefault="00E53484"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Before</w:t>
      </w:r>
    </w:p>
    <w:p w:rsidR="007D6500" w:rsidRPr="00F97703" w:rsidRDefault="007D6500"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UPPER TRIBUNAL JUDGE LINDSLEY</w:t>
      </w:r>
    </w:p>
    <w:p w:rsidR="00933B65" w:rsidRPr="00F97703" w:rsidRDefault="00933B65" w:rsidP="00933B65">
      <w:pPr>
        <w:jc w:val="center"/>
        <w:rPr>
          <w:rFonts w:ascii="Book Antiqua" w:hAnsi="Book Antiqua" w:cs="Arial"/>
          <w:b/>
        </w:rPr>
      </w:pPr>
    </w:p>
    <w:p w:rsidR="00E53484" w:rsidRDefault="00E53484"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E53484" w:rsidRDefault="00E53484" w:rsidP="00933B65">
      <w:pPr>
        <w:jc w:val="center"/>
        <w:rPr>
          <w:rFonts w:ascii="Book Antiqua" w:hAnsi="Book Antiqua" w:cs="Arial"/>
          <w:b/>
        </w:rPr>
      </w:pPr>
    </w:p>
    <w:p w:rsidR="007D6500" w:rsidRDefault="000B7418" w:rsidP="00933B65">
      <w:pPr>
        <w:jc w:val="center"/>
        <w:rPr>
          <w:rFonts w:ascii="Book Antiqua" w:hAnsi="Book Antiqua" w:cs="Arial"/>
          <w:b/>
        </w:rPr>
      </w:pPr>
      <w:r>
        <w:rPr>
          <w:rFonts w:ascii="Book Antiqua" w:hAnsi="Book Antiqua" w:cs="Arial"/>
          <w:b/>
        </w:rPr>
        <w:t xml:space="preserve">DORCAS </w:t>
      </w:r>
      <w:r w:rsidR="00BB57B9">
        <w:rPr>
          <w:rFonts w:ascii="Book Antiqua" w:hAnsi="Book Antiqua" w:cs="Arial"/>
          <w:b/>
        </w:rPr>
        <w:t>[</w:t>
      </w:r>
      <w:r>
        <w:rPr>
          <w:rFonts w:ascii="Book Antiqua" w:hAnsi="Book Antiqua" w:cs="Arial"/>
          <w:b/>
        </w:rPr>
        <w:t>O</w:t>
      </w:r>
      <w:r w:rsidR="00BB57B9">
        <w:rPr>
          <w:rFonts w:ascii="Book Antiqua" w:hAnsi="Book Antiqua" w:cs="Arial"/>
          <w:b/>
        </w:rPr>
        <w:t xml:space="preserve">] </w:t>
      </w:r>
      <w:r>
        <w:rPr>
          <w:rFonts w:ascii="Book Antiqua" w:hAnsi="Book Antiqua" w:cs="Arial"/>
          <w:b/>
        </w:rPr>
        <w:t>(1)</w:t>
      </w:r>
    </w:p>
    <w:p w:rsidR="000B7418" w:rsidRDefault="000B7418" w:rsidP="00933B65">
      <w:pPr>
        <w:jc w:val="center"/>
        <w:rPr>
          <w:rFonts w:ascii="Book Antiqua" w:hAnsi="Book Antiqua" w:cs="Arial"/>
          <w:b/>
        </w:rPr>
      </w:pPr>
      <w:r>
        <w:rPr>
          <w:rFonts w:ascii="Book Antiqua" w:hAnsi="Book Antiqua" w:cs="Arial"/>
          <w:b/>
        </w:rPr>
        <w:t xml:space="preserve">AMARACHI </w:t>
      </w:r>
      <w:r w:rsidR="00BB57B9">
        <w:rPr>
          <w:rFonts w:ascii="Book Antiqua" w:hAnsi="Book Antiqua" w:cs="Arial"/>
          <w:b/>
        </w:rPr>
        <w:t xml:space="preserve">[O] </w:t>
      </w:r>
      <w:r>
        <w:rPr>
          <w:rFonts w:ascii="Book Antiqua" w:hAnsi="Book Antiqua" w:cs="Arial"/>
          <w:b/>
        </w:rPr>
        <w:t>(2)</w:t>
      </w:r>
    </w:p>
    <w:p w:rsidR="000B7418" w:rsidRDefault="000B7418" w:rsidP="00933B65">
      <w:pPr>
        <w:jc w:val="center"/>
        <w:rPr>
          <w:rFonts w:ascii="Book Antiqua" w:hAnsi="Book Antiqua" w:cs="Arial"/>
          <w:b/>
        </w:rPr>
      </w:pPr>
      <w:r>
        <w:rPr>
          <w:rFonts w:ascii="Book Antiqua" w:hAnsi="Book Antiqua" w:cs="Arial"/>
          <w:b/>
        </w:rPr>
        <w:t xml:space="preserve">OZIOMA </w:t>
      </w:r>
      <w:r w:rsidR="00BB57B9">
        <w:rPr>
          <w:rFonts w:ascii="Book Antiqua" w:hAnsi="Book Antiqua" w:cs="Arial"/>
          <w:b/>
        </w:rPr>
        <w:t xml:space="preserve">[O] </w:t>
      </w:r>
      <w:r>
        <w:rPr>
          <w:rFonts w:ascii="Book Antiqua" w:hAnsi="Book Antiqua" w:cs="Arial"/>
          <w:b/>
        </w:rPr>
        <w:t>(3)</w:t>
      </w:r>
    </w:p>
    <w:p w:rsidR="00933B65" w:rsidRDefault="00284315" w:rsidP="00933B65">
      <w:pPr>
        <w:jc w:val="center"/>
        <w:rPr>
          <w:rFonts w:ascii="Book Antiqua" w:hAnsi="Book Antiqua" w:cs="Arial"/>
          <w:b/>
        </w:rPr>
      </w:pPr>
      <w:r>
        <w:rPr>
          <w:rFonts w:ascii="Book Antiqua" w:hAnsi="Book Antiqua" w:cs="Arial"/>
          <w:b/>
        </w:rPr>
        <w:t xml:space="preserve"> </w:t>
      </w:r>
      <w:r w:rsidR="00306EE9">
        <w:rPr>
          <w:rFonts w:ascii="Book Antiqua" w:hAnsi="Book Antiqua" w:cs="Arial"/>
          <w:b/>
        </w:rPr>
        <w:t>(ANONYMITY ORDER</w:t>
      </w:r>
      <w:r w:rsidR="000B7418">
        <w:rPr>
          <w:rFonts w:ascii="Book Antiqua" w:hAnsi="Book Antiqua" w:cs="Arial"/>
          <w:b/>
        </w:rPr>
        <w:t xml:space="preserve"> NOT</w:t>
      </w:r>
      <w:r w:rsidR="00306EE9">
        <w:rPr>
          <w:rFonts w:ascii="Book Antiqua" w:hAnsi="Book Antiqua" w:cs="Arial"/>
          <w:b/>
        </w:rPr>
        <w:t xml:space="preserve"> 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r w:rsidR="000B7418">
        <w:rPr>
          <w:rFonts w:ascii="Book Antiqua" w:hAnsi="Book Antiqua" w:cs="Arial"/>
          <w:u w:val="single"/>
        </w:rPr>
        <w:t>s</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Pr="00F97703" w:rsidRDefault="00933B65" w:rsidP="00933B65">
      <w:pPr>
        <w:jc w:val="center"/>
        <w:rPr>
          <w:rFonts w:ascii="Book Antiqua" w:hAnsi="Book Antiqua" w:cs="Arial"/>
          <w:b/>
        </w:rPr>
      </w:pPr>
    </w:p>
    <w:p w:rsidR="007D6500" w:rsidRDefault="007D6500" w:rsidP="007D6500">
      <w:pPr>
        <w:jc w:val="center"/>
        <w:rPr>
          <w:rFonts w:ascii="Book Antiqua" w:hAnsi="Book Antiqua" w:cs="Arial"/>
          <w:b/>
        </w:rPr>
      </w:pPr>
      <w:r>
        <w:rPr>
          <w:rFonts w:ascii="Book Antiqua" w:hAnsi="Book Antiqua" w:cs="Arial"/>
          <w:b/>
        </w:rPr>
        <w:t xml:space="preserve"> </w:t>
      </w:r>
      <w:r w:rsidR="00306EE9"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306EE9" w:rsidRPr="00F97703">
        <w:rPr>
          <w:rFonts w:ascii="Book Antiqua" w:hAnsi="Book Antiqua" w:cs="Arial"/>
          <w:b/>
        </w:rPr>
        <w:instrText xml:space="preserve"> FORMTEXT </w:instrText>
      </w:r>
      <w:r w:rsidR="00306EE9" w:rsidRPr="00F97703">
        <w:rPr>
          <w:rFonts w:ascii="Book Antiqua" w:hAnsi="Book Antiqua" w:cs="Arial"/>
          <w:b/>
        </w:rPr>
      </w:r>
      <w:r w:rsidR="00306EE9" w:rsidRPr="00F97703">
        <w:rPr>
          <w:rFonts w:ascii="Book Antiqua" w:hAnsi="Book Antiqua" w:cs="Arial"/>
          <w:b/>
        </w:rPr>
        <w:fldChar w:fldCharType="separate"/>
      </w:r>
      <w:r w:rsidR="00306EE9" w:rsidRPr="00F97703">
        <w:rPr>
          <w:rFonts w:ascii="Book Antiqua" w:hAnsi="Book Antiqua" w:cs="Arial"/>
          <w:b/>
          <w:noProof/>
        </w:rPr>
        <w:t>THE SECRETARY OF STATE FOR THE HOME DEPARTMENT</w:t>
      </w:r>
      <w:r w:rsidR="00306EE9" w:rsidRPr="00F97703">
        <w:rPr>
          <w:rFonts w:ascii="Book Antiqua" w:hAnsi="Book Antiqua" w:cs="Arial"/>
          <w:b/>
        </w:rPr>
        <w:fldChar w:fldCharType="end"/>
      </w:r>
      <w:bookmarkEnd w:id="1"/>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E53484" w:rsidRDefault="00E53484" w:rsidP="00933B65">
      <w:pPr>
        <w:rPr>
          <w:rFonts w:ascii="Book Antiqua" w:hAnsi="Book Antiqua" w:cs="Arial"/>
          <w:b/>
          <w:u w:val="single"/>
        </w:rPr>
      </w:pPr>
    </w:p>
    <w:p w:rsidR="00E53484" w:rsidRDefault="00E53484" w:rsidP="00933B65">
      <w:pPr>
        <w:rPr>
          <w:rFonts w:ascii="Book Antiqua" w:hAnsi="Book Antiqua" w:cs="Arial"/>
          <w:b/>
          <w:u w:val="single"/>
        </w:rPr>
      </w:pPr>
      <w:bookmarkStart w:id="2" w:name="_GoBack"/>
      <w:bookmarkEnd w:id="2"/>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546523">
        <w:rPr>
          <w:rFonts w:ascii="Book Antiqua" w:hAnsi="Book Antiqua" w:cs="Arial"/>
        </w:rPr>
        <w:t>M</w:t>
      </w:r>
      <w:r w:rsidR="00957EF4">
        <w:rPr>
          <w:rFonts w:ascii="Book Antiqua" w:hAnsi="Book Antiqua" w:cs="Arial"/>
        </w:rPr>
        <w:t>r S Karim, Counsel,</w:t>
      </w:r>
      <w:r w:rsidR="00546523">
        <w:rPr>
          <w:rFonts w:ascii="Book Antiqua" w:hAnsi="Book Antiqua" w:cs="Arial"/>
        </w:rPr>
        <w:t xml:space="preserve"> </w:t>
      </w:r>
      <w:r>
        <w:rPr>
          <w:rFonts w:ascii="Book Antiqua" w:hAnsi="Book Antiqua" w:cs="Arial"/>
        </w:rPr>
        <w:t>instructed by</w:t>
      </w:r>
      <w:r w:rsidR="000B7418">
        <w:rPr>
          <w:rFonts w:ascii="Book Antiqua" w:hAnsi="Book Antiqua" w:cs="Arial"/>
        </w:rPr>
        <w:t xml:space="preserve"> Global</w:t>
      </w:r>
      <w:r w:rsidR="00306EE9">
        <w:rPr>
          <w:rFonts w:ascii="Book Antiqua" w:hAnsi="Book Antiqua" w:cs="Arial"/>
        </w:rPr>
        <w:t xml:space="preserve"> Solicitors</w:t>
      </w:r>
      <w:r w:rsidR="000B7418">
        <w:rPr>
          <w:rFonts w:ascii="Book Antiqua" w:hAnsi="Book Antiqua" w:cs="Arial"/>
        </w:rPr>
        <w:t xml:space="preserve"> &amp; Advocates</w:t>
      </w:r>
      <w:r w:rsidR="00306EE9">
        <w:rPr>
          <w:rFonts w:ascii="Book Antiqua" w:hAnsi="Book Antiqua" w:cs="Arial"/>
        </w:rPr>
        <w:t xml:space="preserve"> </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546523">
        <w:rPr>
          <w:rFonts w:ascii="Book Antiqua" w:hAnsi="Book Antiqua" w:cs="Arial"/>
        </w:rPr>
        <w:t>M</w:t>
      </w:r>
      <w:r w:rsidR="00957EF4">
        <w:rPr>
          <w:rFonts w:ascii="Book Antiqua" w:hAnsi="Book Antiqua" w:cs="Arial"/>
        </w:rPr>
        <w:t>r N Bramble,</w:t>
      </w:r>
      <w:r>
        <w:rPr>
          <w:rFonts w:ascii="Book Antiqua" w:hAnsi="Book Antiqua" w:cs="Arial"/>
        </w:rPr>
        <w:t xml:space="preserve"> Senior Home Office Presenting Officer</w:t>
      </w:r>
    </w:p>
    <w:p w:rsidR="00933B65" w:rsidRPr="00F97703" w:rsidRDefault="00933B65" w:rsidP="00933B65">
      <w:pPr>
        <w:tabs>
          <w:tab w:val="left" w:pos="2520"/>
        </w:tabs>
        <w:jc w:val="center"/>
        <w:rPr>
          <w:rFonts w:ascii="Book Antiqua" w:hAnsi="Book Antiqua" w:cs="Arial"/>
        </w:rPr>
      </w:pPr>
    </w:p>
    <w:p w:rsidR="00933B65" w:rsidRPr="00F97703" w:rsidRDefault="00933B65" w:rsidP="00933B65">
      <w:pPr>
        <w:tabs>
          <w:tab w:val="left" w:pos="2520"/>
        </w:tabs>
        <w:jc w:val="center"/>
        <w:rPr>
          <w:rFonts w:ascii="Book Antiqua" w:hAnsi="Book Antiqua" w:cs="Arial"/>
        </w:rPr>
      </w:pPr>
    </w:p>
    <w:p w:rsidR="00933B65" w:rsidRPr="00F97703" w:rsidRDefault="00270D89"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933B65" w:rsidRDefault="00933B65" w:rsidP="00933B65">
      <w:pPr>
        <w:tabs>
          <w:tab w:val="left" w:pos="2520"/>
        </w:tabs>
        <w:jc w:val="both"/>
        <w:rPr>
          <w:rFonts w:ascii="Book Antiqua" w:hAnsi="Book Antiqua" w:cs="Arial"/>
        </w:rPr>
      </w:pPr>
    </w:p>
    <w:p w:rsidR="00E53484" w:rsidRDefault="00E53484" w:rsidP="00933B65">
      <w:pPr>
        <w:tabs>
          <w:tab w:val="left" w:pos="2520"/>
        </w:tabs>
        <w:jc w:val="both"/>
        <w:rPr>
          <w:rFonts w:ascii="Book Antiqua" w:hAnsi="Book Antiqua" w:cs="Arial"/>
        </w:rPr>
      </w:pPr>
    </w:p>
    <w:p w:rsidR="00E53484" w:rsidRPr="00F97703" w:rsidRDefault="00E53484" w:rsidP="00933B65">
      <w:pPr>
        <w:tabs>
          <w:tab w:val="left" w:pos="2520"/>
        </w:tabs>
        <w:jc w:val="both"/>
        <w:rPr>
          <w:rFonts w:ascii="Book Antiqua" w:hAnsi="Book Antiqua" w:cs="Arial"/>
        </w:rPr>
      </w:pPr>
    </w:p>
    <w:bookmarkEnd w:id="0"/>
    <w:p w:rsidR="00546523" w:rsidRDefault="00546523" w:rsidP="00546523">
      <w:pPr>
        <w:tabs>
          <w:tab w:val="left" w:pos="567"/>
        </w:tabs>
        <w:ind w:left="567"/>
        <w:jc w:val="both"/>
        <w:rPr>
          <w:rFonts w:ascii="Book Antiqua" w:hAnsi="Book Antiqua" w:cs="Arial"/>
          <w:i/>
        </w:rPr>
      </w:pPr>
      <w:r>
        <w:rPr>
          <w:rFonts w:ascii="Book Antiqua" w:hAnsi="Book Antiqua" w:cs="Arial"/>
          <w:i/>
        </w:rPr>
        <w:lastRenderedPageBreak/>
        <w:t>Introduction</w:t>
      </w:r>
    </w:p>
    <w:p w:rsidR="00546523" w:rsidRPr="003B12DA"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appellant</w:t>
      </w:r>
      <w:r w:rsidR="00CB3667">
        <w:rPr>
          <w:rFonts w:ascii="Book Antiqua" w:hAnsi="Book Antiqua" w:cs="Arial"/>
        </w:rPr>
        <w:t>s</w:t>
      </w:r>
      <w:r>
        <w:rPr>
          <w:rFonts w:ascii="Book Antiqua" w:hAnsi="Book Antiqua" w:cs="Arial"/>
        </w:rPr>
        <w:t xml:space="preserve"> </w:t>
      </w:r>
      <w:r w:rsidR="00CB3667">
        <w:rPr>
          <w:rFonts w:ascii="Book Antiqua" w:hAnsi="Book Antiqua" w:cs="Arial"/>
        </w:rPr>
        <w:t>are</w:t>
      </w:r>
      <w:r>
        <w:rPr>
          <w:rFonts w:ascii="Book Antiqua" w:hAnsi="Book Antiqua" w:cs="Arial"/>
        </w:rPr>
        <w:t xml:space="preserve"> citizen</w:t>
      </w:r>
      <w:r w:rsidR="00E47760">
        <w:rPr>
          <w:rFonts w:ascii="Book Antiqua" w:hAnsi="Book Antiqua" w:cs="Arial"/>
        </w:rPr>
        <w:t>s</w:t>
      </w:r>
      <w:r>
        <w:rPr>
          <w:rFonts w:ascii="Book Antiqua" w:hAnsi="Book Antiqua" w:cs="Arial"/>
        </w:rPr>
        <w:t xml:space="preserve"> of</w:t>
      </w:r>
      <w:r w:rsidR="00CB3667">
        <w:rPr>
          <w:rFonts w:ascii="Book Antiqua" w:hAnsi="Book Antiqua" w:cs="Arial"/>
        </w:rPr>
        <w:t xml:space="preserve"> Nigeria. The first appellant is the mother of the second </w:t>
      </w:r>
      <w:r w:rsidR="00957EF4">
        <w:rPr>
          <w:rFonts w:ascii="Book Antiqua" w:hAnsi="Book Antiqua" w:cs="Arial"/>
        </w:rPr>
        <w:t>and third</w:t>
      </w:r>
      <w:r w:rsidR="00CB3667">
        <w:rPr>
          <w:rFonts w:ascii="Book Antiqua" w:hAnsi="Book Antiqua" w:cs="Arial"/>
        </w:rPr>
        <w:t xml:space="preserve"> appellants, who were born on 27</w:t>
      </w:r>
      <w:r w:rsidR="00CB3667" w:rsidRPr="00CB3667">
        <w:rPr>
          <w:rFonts w:ascii="Book Antiqua" w:hAnsi="Book Antiqua" w:cs="Arial"/>
          <w:vertAlign w:val="superscript"/>
        </w:rPr>
        <w:t>th</w:t>
      </w:r>
      <w:r w:rsidR="00CB3667">
        <w:rPr>
          <w:rFonts w:ascii="Book Antiqua" w:hAnsi="Book Antiqua" w:cs="Arial"/>
        </w:rPr>
        <w:t xml:space="preserve"> December 1995 and 14</w:t>
      </w:r>
      <w:r w:rsidR="00CB3667" w:rsidRPr="00CB3667">
        <w:rPr>
          <w:rFonts w:ascii="Book Antiqua" w:hAnsi="Book Antiqua" w:cs="Arial"/>
          <w:vertAlign w:val="superscript"/>
        </w:rPr>
        <w:t>th</w:t>
      </w:r>
      <w:r w:rsidR="00CB3667">
        <w:rPr>
          <w:rFonts w:ascii="Book Antiqua" w:hAnsi="Book Antiqua" w:cs="Arial"/>
        </w:rPr>
        <w:t xml:space="preserve"> December 1997</w:t>
      </w:r>
      <w:r w:rsidR="00C63834">
        <w:rPr>
          <w:rFonts w:ascii="Book Antiqua" w:hAnsi="Book Antiqua" w:cs="Arial"/>
        </w:rPr>
        <w:t xml:space="preserve"> respectively</w:t>
      </w:r>
      <w:r>
        <w:rPr>
          <w:rFonts w:ascii="Book Antiqua" w:hAnsi="Book Antiqua" w:cs="Arial"/>
        </w:rPr>
        <w:t xml:space="preserve">. </w:t>
      </w:r>
      <w:r w:rsidR="00CB3667">
        <w:rPr>
          <w:rFonts w:ascii="Book Antiqua" w:hAnsi="Book Antiqua" w:cs="Arial"/>
        </w:rPr>
        <w:t>They</w:t>
      </w:r>
      <w:r w:rsidR="00C63834">
        <w:rPr>
          <w:rFonts w:ascii="Book Antiqua" w:hAnsi="Book Antiqua" w:cs="Arial"/>
        </w:rPr>
        <w:t xml:space="preserve"> all</w:t>
      </w:r>
      <w:r>
        <w:rPr>
          <w:rFonts w:ascii="Book Antiqua" w:hAnsi="Book Antiqua" w:cs="Arial"/>
        </w:rPr>
        <w:t xml:space="preserve"> arrived in the UK</w:t>
      </w:r>
      <w:r w:rsidR="00CB3667">
        <w:rPr>
          <w:rFonts w:ascii="Book Antiqua" w:hAnsi="Book Antiqua" w:cs="Arial"/>
        </w:rPr>
        <w:t xml:space="preserve"> </w:t>
      </w:r>
      <w:r w:rsidR="00A25E84">
        <w:rPr>
          <w:rFonts w:ascii="Book Antiqua" w:hAnsi="Book Antiqua" w:cs="Arial"/>
        </w:rPr>
        <w:t>on 27</w:t>
      </w:r>
      <w:r w:rsidR="00A25E84" w:rsidRPr="00A25E84">
        <w:rPr>
          <w:rFonts w:ascii="Book Antiqua" w:hAnsi="Book Antiqua" w:cs="Arial"/>
          <w:vertAlign w:val="superscript"/>
        </w:rPr>
        <w:t>th</w:t>
      </w:r>
      <w:r w:rsidR="00A25E84">
        <w:rPr>
          <w:rFonts w:ascii="Book Antiqua" w:hAnsi="Book Antiqua" w:cs="Arial"/>
        </w:rPr>
        <w:t xml:space="preserve"> April</w:t>
      </w:r>
      <w:r w:rsidR="00CB3667">
        <w:rPr>
          <w:rFonts w:ascii="Book Antiqua" w:hAnsi="Book Antiqua" w:cs="Arial"/>
        </w:rPr>
        <w:t xml:space="preserve"> 2008</w:t>
      </w:r>
      <w:r w:rsidR="00A25E84">
        <w:rPr>
          <w:rFonts w:ascii="Book Antiqua" w:hAnsi="Book Antiqua" w:cs="Arial"/>
        </w:rPr>
        <w:t xml:space="preserve"> as visitors</w:t>
      </w:r>
      <w:r w:rsidR="00CB3667">
        <w:rPr>
          <w:rFonts w:ascii="Book Antiqua" w:hAnsi="Book Antiqua" w:cs="Arial"/>
        </w:rPr>
        <w:t xml:space="preserve"> and overstayed. On 30</w:t>
      </w:r>
      <w:r w:rsidR="00CB3667" w:rsidRPr="00CB3667">
        <w:rPr>
          <w:rFonts w:ascii="Book Antiqua" w:hAnsi="Book Antiqua" w:cs="Arial"/>
          <w:vertAlign w:val="superscript"/>
        </w:rPr>
        <w:t>th</w:t>
      </w:r>
      <w:r w:rsidR="00CB3667">
        <w:rPr>
          <w:rFonts w:ascii="Book Antiqua" w:hAnsi="Book Antiqua" w:cs="Arial"/>
        </w:rPr>
        <w:t xml:space="preserve"> November 2015 they applied for leave to remain in the UK on human rights grounds. Their application</w:t>
      </w:r>
      <w:r w:rsidR="00C63834">
        <w:rPr>
          <w:rFonts w:ascii="Book Antiqua" w:hAnsi="Book Antiqua" w:cs="Arial"/>
        </w:rPr>
        <w:t>s</w:t>
      </w:r>
      <w:r w:rsidR="00CB3667">
        <w:rPr>
          <w:rFonts w:ascii="Book Antiqua" w:hAnsi="Book Antiqua" w:cs="Arial"/>
        </w:rPr>
        <w:t xml:space="preserve"> were refused in a decision dated 11</w:t>
      </w:r>
      <w:r w:rsidR="00CB3667" w:rsidRPr="00CB3667">
        <w:rPr>
          <w:rFonts w:ascii="Book Antiqua" w:hAnsi="Book Antiqua" w:cs="Arial"/>
          <w:vertAlign w:val="superscript"/>
        </w:rPr>
        <w:t>th</w:t>
      </w:r>
      <w:r w:rsidR="00CB3667">
        <w:rPr>
          <w:rFonts w:ascii="Book Antiqua" w:hAnsi="Book Antiqua" w:cs="Arial"/>
        </w:rPr>
        <w:t xml:space="preserve"> April 2016. Their</w:t>
      </w:r>
      <w:r>
        <w:rPr>
          <w:rFonts w:ascii="Book Antiqua" w:hAnsi="Book Antiqua" w:cs="Arial"/>
        </w:rPr>
        <w:t xml:space="preserve"> appeal</w:t>
      </w:r>
      <w:r w:rsidR="00C63834">
        <w:rPr>
          <w:rFonts w:ascii="Book Antiqua" w:hAnsi="Book Antiqua" w:cs="Arial"/>
        </w:rPr>
        <w:t>s</w:t>
      </w:r>
      <w:r>
        <w:rPr>
          <w:rFonts w:ascii="Book Antiqua" w:hAnsi="Book Antiqua" w:cs="Arial"/>
        </w:rPr>
        <w:t xml:space="preserve"> against the decision</w:t>
      </w:r>
      <w:r w:rsidR="00C63834">
        <w:rPr>
          <w:rFonts w:ascii="Book Antiqua" w:hAnsi="Book Antiqua" w:cs="Arial"/>
        </w:rPr>
        <w:t>s</w:t>
      </w:r>
      <w:r>
        <w:rPr>
          <w:rFonts w:ascii="Book Antiqua" w:hAnsi="Book Antiqua" w:cs="Arial"/>
        </w:rPr>
        <w:t xml:space="preserve"> w</w:t>
      </w:r>
      <w:r w:rsidR="00C63834">
        <w:rPr>
          <w:rFonts w:ascii="Book Antiqua" w:hAnsi="Book Antiqua" w:cs="Arial"/>
        </w:rPr>
        <w:t>ere</w:t>
      </w:r>
      <w:r>
        <w:rPr>
          <w:rFonts w:ascii="Book Antiqua" w:hAnsi="Book Antiqua" w:cs="Arial"/>
        </w:rPr>
        <w:t xml:space="preserve"> dismissed by First-tier Tribunal Judge</w:t>
      </w:r>
      <w:r w:rsidR="00CB3667">
        <w:rPr>
          <w:rFonts w:ascii="Book Antiqua" w:hAnsi="Book Antiqua" w:cs="Arial"/>
        </w:rPr>
        <w:t xml:space="preserve"> NMK Lawrence</w:t>
      </w:r>
      <w:r>
        <w:rPr>
          <w:rFonts w:ascii="Book Antiqua" w:hAnsi="Book Antiqua" w:cs="Arial"/>
        </w:rPr>
        <w:t xml:space="preserve"> in a determination promulgated on the</w:t>
      </w:r>
      <w:r w:rsidR="00CB3667">
        <w:rPr>
          <w:rFonts w:ascii="Book Antiqua" w:hAnsi="Book Antiqua" w:cs="Arial"/>
        </w:rPr>
        <w:t xml:space="preserve"> </w:t>
      </w:r>
      <w:r w:rsidR="00A25E84">
        <w:rPr>
          <w:rFonts w:ascii="Book Antiqua" w:hAnsi="Book Antiqua" w:cs="Arial"/>
        </w:rPr>
        <w:t>29</w:t>
      </w:r>
      <w:r w:rsidR="00A25E84" w:rsidRPr="00A25E84">
        <w:rPr>
          <w:rFonts w:ascii="Book Antiqua" w:hAnsi="Book Antiqua" w:cs="Arial"/>
          <w:vertAlign w:val="superscript"/>
        </w:rPr>
        <w:t>th</w:t>
      </w:r>
      <w:r w:rsidR="00A25E84">
        <w:rPr>
          <w:rFonts w:ascii="Book Antiqua" w:hAnsi="Book Antiqua" w:cs="Arial"/>
        </w:rPr>
        <w:t xml:space="preserve"> December 2017.</w:t>
      </w:r>
      <w:r>
        <w:rPr>
          <w:rFonts w:ascii="Book Antiqua" w:hAnsi="Book Antiqua" w:cs="Arial"/>
        </w:rPr>
        <w:t xml:space="preserve"> </w:t>
      </w:r>
    </w:p>
    <w:p w:rsidR="00546523" w:rsidRPr="00546523"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Permission to appeal was grante</w:t>
      </w:r>
      <w:r w:rsidR="00A25E84">
        <w:rPr>
          <w:rFonts w:ascii="Book Antiqua" w:hAnsi="Book Antiqua" w:cs="Arial"/>
        </w:rPr>
        <w:t>d by Judge of the First-tier Tribunal SPJ Buchanan in a decision</w:t>
      </w:r>
      <w:r w:rsidR="00C63834">
        <w:rPr>
          <w:rFonts w:ascii="Book Antiqua" w:hAnsi="Book Antiqua" w:cs="Arial"/>
        </w:rPr>
        <w:t xml:space="preserve"> </w:t>
      </w:r>
      <w:r w:rsidR="00957EF4">
        <w:rPr>
          <w:rFonts w:ascii="Book Antiqua" w:hAnsi="Book Antiqua" w:cs="Arial"/>
        </w:rPr>
        <w:t>which states</w:t>
      </w:r>
      <w:r>
        <w:rPr>
          <w:rFonts w:ascii="Book Antiqua" w:hAnsi="Book Antiqua" w:cs="Arial"/>
        </w:rPr>
        <w:t xml:space="preserve"> that</w:t>
      </w:r>
      <w:r w:rsidR="00C63834">
        <w:rPr>
          <w:rFonts w:ascii="Book Antiqua" w:hAnsi="Book Antiqua" w:cs="Arial"/>
        </w:rPr>
        <w:t xml:space="preserve"> it</w:t>
      </w:r>
      <w:r>
        <w:rPr>
          <w:rFonts w:ascii="Book Antiqua" w:hAnsi="Book Antiqua" w:cs="Arial"/>
        </w:rPr>
        <w:t xml:space="preserve"> was arguable that the First-tier judge had erred in law in</w:t>
      </w:r>
      <w:r w:rsidR="00A25E84">
        <w:rPr>
          <w:rFonts w:ascii="Book Antiqua" w:hAnsi="Book Antiqua" w:cs="Arial"/>
        </w:rPr>
        <w:t xml:space="preserve"> failing to appreciate that the third appellant was a child at the date of application and had arguably been in the UK for 7 years at that point in time, and</w:t>
      </w:r>
      <w:r w:rsidR="00C63834">
        <w:rPr>
          <w:rFonts w:ascii="Book Antiqua" w:hAnsi="Book Antiqua" w:cs="Arial"/>
        </w:rPr>
        <w:t xml:space="preserve"> thus by virtue of a failure</w:t>
      </w:r>
      <w:r w:rsidR="00A25E84">
        <w:rPr>
          <w:rFonts w:ascii="Book Antiqua" w:hAnsi="Book Antiqua" w:cs="Arial"/>
        </w:rPr>
        <w:t xml:space="preserve"> to determine the appeal with reference with paragraph 276ADE(1)(vi) in relation to this appellant.</w:t>
      </w:r>
      <w:r w:rsidR="007E25F1">
        <w:rPr>
          <w:rFonts w:ascii="Book Antiqua" w:hAnsi="Book Antiqua" w:cs="Arial"/>
        </w:rPr>
        <w:t xml:space="preserve"> It was indicated that all grounds could however be argued.</w:t>
      </w:r>
      <w:r>
        <w:rPr>
          <w:rFonts w:ascii="Book Antiqua" w:hAnsi="Book Antiqua" w:cs="Arial"/>
        </w:rPr>
        <w:t xml:space="preserve"> </w:t>
      </w:r>
      <w:r w:rsidR="00A25E84">
        <w:rPr>
          <w:rFonts w:ascii="Book Antiqua" w:hAnsi="Book Antiqua" w:cs="Arial"/>
        </w:rPr>
        <w:t xml:space="preserve">Time </w:t>
      </w:r>
      <w:r w:rsidR="007E25F1">
        <w:rPr>
          <w:rFonts w:ascii="Book Antiqua" w:hAnsi="Book Antiqua" w:cs="Arial"/>
        </w:rPr>
        <w:t>wa</w:t>
      </w:r>
      <w:r w:rsidR="00A25E84">
        <w:rPr>
          <w:rFonts w:ascii="Book Antiqua" w:hAnsi="Book Antiqua" w:cs="Arial"/>
        </w:rPr>
        <w:t>s also extended for the late lodging of the application</w:t>
      </w:r>
      <w:r w:rsidR="007E25F1">
        <w:rPr>
          <w:rFonts w:ascii="Book Antiqua" w:hAnsi="Book Antiqua" w:cs="Arial"/>
        </w:rPr>
        <w:t xml:space="preserve"> in light of the point of communication of the decision to the applicants’ solicitors</w:t>
      </w:r>
      <w:r w:rsidR="00A25E84">
        <w:rPr>
          <w:rFonts w:ascii="Book Antiqua" w:hAnsi="Book Antiqua" w:cs="Arial"/>
        </w:rPr>
        <w:t xml:space="preserve">. </w:t>
      </w:r>
    </w:p>
    <w:p w:rsidR="00546523" w:rsidRPr="00546523"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matter came before me to determine whether the First-tier Tribunal had erred in law</w:t>
      </w:r>
      <w:r w:rsidR="00A25E84">
        <w:rPr>
          <w:rFonts w:ascii="Book Antiqua" w:hAnsi="Book Antiqua" w:cs="Arial"/>
        </w:rPr>
        <w:t>.</w:t>
      </w:r>
    </w:p>
    <w:p w:rsidR="00546523" w:rsidRPr="00546523" w:rsidRDefault="00546523" w:rsidP="00546523">
      <w:pPr>
        <w:tabs>
          <w:tab w:val="left" w:pos="2520"/>
        </w:tabs>
        <w:spacing w:before="240"/>
        <w:jc w:val="both"/>
        <w:rPr>
          <w:rFonts w:ascii="Book Antiqua" w:hAnsi="Book Antiqua" w:cs="Arial"/>
          <w:i/>
        </w:rPr>
      </w:pPr>
      <w:r>
        <w:rPr>
          <w:rFonts w:ascii="Book Antiqua" w:hAnsi="Book Antiqua" w:cs="Arial"/>
          <w:i/>
        </w:rPr>
        <w:t>Submissions</w:t>
      </w:r>
      <w:r w:rsidR="00A25E84">
        <w:rPr>
          <w:rFonts w:ascii="Book Antiqua" w:hAnsi="Book Antiqua" w:cs="Arial"/>
          <w:i/>
        </w:rPr>
        <w:t xml:space="preserve"> – Error of Law</w:t>
      </w:r>
    </w:p>
    <w:p w:rsidR="00A25E84" w:rsidRPr="00A25E84" w:rsidRDefault="00A25E84"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grounds of appeal firstly contend that the First-tier Tribunal erred in law by applying the higher standard of proof relevant in deportation appeals by reference at paragraphs 6 and 7 of the decision to the case of </w:t>
      </w:r>
      <w:r>
        <w:rPr>
          <w:rFonts w:ascii="Book Antiqua" w:hAnsi="Book Antiqua" w:cs="Arial"/>
          <w:u w:val="single"/>
        </w:rPr>
        <w:t>Kamara</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813.</w:t>
      </w:r>
    </w:p>
    <w:p w:rsidR="007E25F1" w:rsidRPr="007E25F1" w:rsidRDefault="00A25E84"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Secondly it is contended that the appeals in relation to the first and third appellants were wrongly determined as it should have been considered whether it would be reasonable to require the third appellant to leave the UK given her </w:t>
      </w:r>
      <w:proofErr w:type="gramStart"/>
      <w:r>
        <w:rPr>
          <w:rFonts w:ascii="Book Antiqua" w:hAnsi="Book Antiqua" w:cs="Arial"/>
        </w:rPr>
        <w:t>7 year</w:t>
      </w:r>
      <w:proofErr w:type="gramEnd"/>
      <w:r>
        <w:rPr>
          <w:rFonts w:ascii="Book Antiqua" w:hAnsi="Book Antiqua" w:cs="Arial"/>
        </w:rPr>
        <w:t xml:space="preserve"> presence in the UK as a child at the date of application under paragraph 276ADE</w:t>
      </w:r>
      <w:r w:rsidR="00957EF4">
        <w:rPr>
          <w:rFonts w:ascii="Book Antiqua" w:hAnsi="Book Antiqua" w:cs="Arial"/>
        </w:rPr>
        <w:t xml:space="preserve"> (1)(iv)</w:t>
      </w:r>
      <w:r>
        <w:rPr>
          <w:rFonts w:ascii="Book Antiqua" w:hAnsi="Book Antiqua" w:cs="Arial"/>
        </w:rPr>
        <w:t xml:space="preserve"> of the Immigration Rules, and in turn whether the first appellant could succeed under paragraph EX1 of Appendix FM of the Immigration Rules. In this connection the First-tier Tribunal ought to have been guided by </w:t>
      </w:r>
      <w:r>
        <w:rPr>
          <w:rFonts w:ascii="Book Antiqua" w:hAnsi="Book Antiqua" w:cs="Arial"/>
          <w:u w:val="single"/>
        </w:rPr>
        <w:t xml:space="preserve">MA (Pakistan) </w:t>
      </w:r>
      <w:r w:rsidR="007E25F1">
        <w:rPr>
          <w:rFonts w:ascii="Book Antiqua" w:hAnsi="Book Antiqua" w:cs="Arial"/>
          <w:u w:val="single"/>
        </w:rPr>
        <w:t xml:space="preserve">&amp; </w:t>
      </w:r>
      <w:proofErr w:type="spellStart"/>
      <w:r w:rsidR="007E25F1">
        <w:rPr>
          <w:rFonts w:ascii="Book Antiqua" w:hAnsi="Book Antiqua" w:cs="Arial"/>
          <w:u w:val="single"/>
        </w:rPr>
        <w:t>Ors</w:t>
      </w:r>
      <w:proofErr w:type="spellEnd"/>
      <w:r w:rsidR="007E25F1">
        <w:rPr>
          <w:rFonts w:ascii="Book Antiqua" w:hAnsi="Book Antiqua" w:cs="Arial"/>
          <w:u w:val="single"/>
        </w:rPr>
        <w:t xml:space="preserve"> </w:t>
      </w:r>
      <w:r w:rsidR="007E25F1">
        <w:rPr>
          <w:rFonts w:ascii="Book Antiqua" w:hAnsi="Book Antiqua" w:cs="Arial"/>
        </w:rPr>
        <w:t xml:space="preserve"> [2016] EWCA </w:t>
      </w:r>
      <w:proofErr w:type="spellStart"/>
      <w:r w:rsidR="007E25F1">
        <w:rPr>
          <w:rFonts w:ascii="Book Antiqua" w:hAnsi="Book Antiqua" w:cs="Arial"/>
        </w:rPr>
        <w:t>Civ</w:t>
      </w:r>
      <w:proofErr w:type="spellEnd"/>
      <w:r w:rsidR="007E25F1">
        <w:rPr>
          <w:rFonts w:ascii="Book Antiqua" w:hAnsi="Book Antiqua" w:cs="Arial"/>
        </w:rPr>
        <w:t xml:space="preserve"> 705 which </w:t>
      </w:r>
      <w:r w:rsidR="00957EF4">
        <w:rPr>
          <w:rFonts w:ascii="Book Antiqua" w:hAnsi="Book Antiqua" w:cs="Arial"/>
        </w:rPr>
        <w:t>states that</w:t>
      </w:r>
      <w:r w:rsidR="007E25F1">
        <w:rPr>
          <w:rFonts w:ascii="Book Antiqua" w:hAnsi="Book Antiqua" w:cs="Arial"/>
        </w:rPr>
        <w:t xml:space="preserve"> </w:t>
      </w:r>
      <w:r w:rsidR="00957EF4">
        <w:rPr>
          <w:rFonts w:ascii="Book Antiqua" w:hAnsi="Book Antiqua" w:cs="Arial"/>
        </w:rPr>
        <w:t>there is a</w:t>
      </w:r>
      <w:r w:rsidR="007E25F1">
        <w:rPr>
          <w:rFonts w:ascii="Book Antiqua" w:hAnsi="Book Antiqua" w:cs="Arial"/>
        </w:rPr>
        <w:t xml:space="preserve"> very strong expectation that it would be in the child’s best interest to remain in the UK with her parents after this</w:t>
      </w:r>
      <w:r w:rsidR="00957EF4">
        <w:rPr>
          <w:rFonts w:ascii="Book Antiqua" w:hAnsi="Book Antiqua" w:cs="Arial"/>
        </w:rPr>
        <w:t xml:space="preserve"> seven year</w:t>
      </w:r>
      <w:r w:rsidR="007E25F1">
        <w:rPr>
          <w:rFonts w:ascii="Book Antiqua" w:hAnsi="Book Antiqua" w:cs="Arial"/>
        </w:rPr>
        <w:t xml:space="preserve"> period of time, and to the fact that this matter must be a primary consideration in any proportionality assessment, and that it would require a compelling reason to the contrary to conclude </w:t>
      </w:r>
      <w:r w:rsidR="00957EF4">
        <w:rPr>
          <w:rFonts w:ascii="Book Antiqua" w:hAnsi="Book Antiqua" w:cs="Arial"/>
        </w:rPr>
        <w:t>that it would be reasonable to require the child to leave</w:t>
      </w:r>
      <w:r w:rsidR="007E25F1">
        <w:rPr>
          <w:rFonts w:ascii="Book Antiqua" w:hAnsi="Book Antiqua" w:cs="Arial"/>
        </w:rPr>
        <w:t xml:space="preserve">. </w:t>
      </w:r>
      <w:r w:rsidR="00957EF4">
        <w:rPr>
          <w:rFonts w:ascii="Book Antiqua" w:hAnsi="Book Antiqua" w:cs="Arial"/>
        </w:rPr>
        <w:t>An a</w:t>
      </w:r>
      <w:r w:rsidR="007E25F1">
        <w:rPr>
          <w:rFonts w:ascii="Book Antiqua" w:hAnsi="Book Antiqua" w:cs="Arial"/>
        </w:rPr>
        <w:t>ddition</w:t>
      </w:r>
      <w:r w:rsidR="00957EF4">
        <w:rPr>
          <w:rFonts w:ascii="Book Antiqua" w:hAnsi="Book Antiqua" w:cs="Arial"/>
        </w:rPr>
        <w:t xml:space="preserve"> factor that means that the third appellant cannot reasonably be asked</w:t>
      </w:r>
      <w:r w:rsidR="007A3E9C">
        <w:rPr>
          <w:rFonts w:ascii="Book Antiqua" w:hAnsi="Book Antiqua" w:cs="Arial"/>
        </w:rPr>
        <w:t xml:space="preserve"> to</w:t>
      </w:r>
      <w:r w:rsidR="00957EF4">
        <w:rPr>
          <w:rFonts w:ascii="Book Antiqua" w:hAnsi="Book Antiqua" w:cs="Arial"/>
        </w:rPr>
        <w:t xml:space="preserve"> leave the UK is that she</w:t>
      </w:r>
      <w:r w:rsidR="007E25F1">
        <w:rPr>
          <w:rFonts w:ascii="Book Antiqua" w:hAnsi="Book Antiqua" w:cs="Arial"/>
        </w:rPr>
        <w:t xml:space="preserve"> suffers from sickle cell anaemia.</w:t>
      </w:r>
    </w:p>
    <w:p w:rsidR="007E25F1" w:rsidRPr="007E25F1" w:rsidRDefault="007E25F1"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Thirdly</w:t>
      </w:r>
      <w:r w:rsidR="00C63834">
        <w:rPr>
          <w:rFonts w:ascii="Book Antiqua" w:hAnsi="Book Antiqua" w:cs="Arial"/>
        </w:rPr>
        <w:t>, it is argued,</w:t>
      </w:r>
      <w:r>
        <w:rPr>
          <w:rFonts w:ascii="Book Antiqua" w:hAnsi="Book Antiqua" w:cs="Arial"/>
        </w:rPr>
        <w:t xml:space="preserve"> the First-tier Tribunal failed to look at the third appellant’s medical circumstances as a relevant Article 8 ECHR factor, see </w:t>
      </w:r>
      <w:proofErr w:type="spellStart"/>
      <w:r>
        <w:rPr>
          <w:rFonts w:ascii="Book Antiqua" w:hAnsi="Book Antiqua" w:cs="Arial"/>
          <w:u w:val="single"/>
        </w:rPr>
        <w:t>Akhalu</w:t>
      </w:r>
      <w:proofErr w:type="spellEnd"/>
      <w:r>
        <w:rPr>
          <w:rFonts w:ascii="Book Antiqua" w:hAnsi="Book Antiqua" w:cs="Arial"/>
          <w:u w:val="single"/>
        </w:rPr>
        <w:t xml:space="preserve"> (health claim: ECHR Article 8) Nigeria</w:t>
      </w:r>
      <w:r>
        <w:rPr>
          <w:rFonts w:ascii="Book Antiqua" w:hAnsi="Book Antiqua" w:cs="Arial"/>
        </w:rPr>
        <w:t xml:space="preserve"> [2013] UKUT 400.</w:t>
      </w:r>
    </w:p>
    <w:p w:rsidR="00957EF4" w:rsidRPr="00957EF4" w:rsidRDefault="007E25F1"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lastRenderedPageBreak/>
        <w:t>Fourthly</w:t>
      </w:r>
      <w:r w:rsidR="00C63834">
        <w:rPr>
          <w:rFonts w:ascii="Book Antiqua" w:hAnsi="Book Antiqua" w:cs="Arial"/>
        </w:rPr>
        <w:t>, it is contended</w:t>
      </w:r>
      <w:r>
        <w:rPr>
          <w:rFonts w:ascii="Book Antiqua" w:hAnsi="Book Antiqua" w:cs="Arial"/>
        </w:rPr>
        <w:t xml:space="preserve"> there was a failure to look at the appeal outside of the Immigration Rules on Article 8 ECHR grounds.   </w:t>
      </w:r>
    </w:p>
    <w:p w:rsidR="00B922E2" w:rsidRPr="00B922E2" w:rsidRDefault="00957EF4"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Mr Bramble accepted that the First-tier Tribunal had</w:t>
      </w:r>
      <w:r w:rsidR="00B922E2">
        <w:rPr>
          <w:rFonts w:ascii="Book Antiqua" w:hAnsi="Book Antiqua" w:cs="Arial"/>
        </w:rPr>
        <w:t xml:space="preserve"> materially</w:t>
      </w:r>
      <w:r>
        <w:rPr>
          <w:rFonts w:ascii="Book Antiqua" w:hAnsi="Book Antiqua" w:cs="Arial"/>
        </w:rPr>
        <w:t xml:space="preserve"> erred in law by failing to consider whether the third appellant could meet the requirements of paragraph 276ADE (1)(iv) </w:t>
      </w:r>
      <w:r w:rsidR="00B922E2">
        <w:rPr>
          <w:rFonts w:ascii="Book Antiqua" w:hAnsi="Book Antiqua" w:cs="Arial"/>
        </w:rPr>
        <w:t>when it was considered by the respondent that she had been in the UK for seven years as a child at page 6 of 13 of the reasons for refusal letter, although that letter stated she was not entitled to remain as it was reasonable to expect her to leave with her mother and sister as a family unit. He accepted that it was then a consequential error to consider whether the first appellant could meet the requirements of the EX 1 route under Appendix FM of the Immigration Rules or s.117</w:t>
      </w:r>
      <w:proofErr w:type="gramStart"/>
      <w:r w:rsidR="00B922E2">
        <w:rPr>
          <w:rFonts w:ascii="Book Antiqua" w:hAnsi="Book Antiqua" w:cs="Arial"/>
        </w:rPr>
        <w:t>B(</w:t>
      </w:r>
      <w:proofErr w:type="gramEnd"/>
      <w:r w:rsidR="00B922E2">
        <w:rPr>
          <w:rFonts w:ascii="Book Antiqua" w:hAnsi="Book Antiqua" w:cs="Arial"/>
        </w:rPr>
        <w:t xml:space="preserve">6) of the Nationality, Immigration and Asylum Act 2002. </w:t>
      </w:r>
    </w:p>
    <w:p w:rsidR="00546523" w:rsidRDefault="00B922E2"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 found that the First-tier Tribunal had therefore erred in law, for the reasons I now set out below. I set aside the decision of the First-tier Tribunal in its entirety. I then asked for evidence submissions on remaking. At the end of the hearing I informed the parties</w:t>
      </w:r>
      <w:r w:rsidR="003C1BA7">
        <w:rPr>
          <w:rFonts w:ascii="Book Antiqua" w:hAnsi="Book Antiqua" w:cs="Arial"/>
        </w:rPr>
        <w:t xml:space="preserve"> that</w:t>
      </w:r>
      <w:r>
        <w:rPr>
          <w:rFonts w:ascii="Book Antiqua" w:hAnsi="Book Antiqua" w:cs="Arial"/>
        </w:rPr>
        <w:t xml:space="preserve"> I was not g</w:t>
      </w:r>
      <w:r w:rsidR="003C1BA7">
        <w:rPr>
          <w:rFonts w:ascii="Book Antiqua" w:hAnsi="Book Antiqua" w:cs="Arial"/>
        </w:rPr>
        <w:t>oing to give</w:t>
      </w:r>
      <w:r>
        <w:rPr>
          <w:rFonts w:ascii="Book Antiqua" w:hAnsi="Book Antiqua" w:cs="Arial"/>
        </w:rPr>
        <w:t xml:space="preserve"> an oral judgement</w:t>
      </w:r>
      <w:r w:rsidR="003C1BA7">
        <w:rPr>
          <w:rFonts w:ascii="Book Antiqua" w:hAnsi="Book Antiqua" w:cs="Arial"/>
        </w:rPr>
        <w:t xml:space="preserve"> but</w:t>
      </w:r>
      <w:r>
        <w:rPr>
          <w:rFonts w:ascii="Book Antiqua" w:hAnsi="Book Antiqua" w:cs="Arial"/>
        </w:rPr>
        <w:t xml:space="preserve"> would send my reasons in writing, </w:t>
      </w:r>
      <w:r w:rsidR="003C1BA7">
        <w:rPr>
          <w:rFonts w:ascii="Book Antiqua" w:hAnsi="Book Antiqua" w:cs="Arial"/>
        </w:rPr>
        <w:t>however I indicated</w:t>
      </w:r>
      <w:r>
        <w:rPr>
          <w:rFonts w:ascii="Book Antiqua" w:hAnsi="Book Antiqua" w:cs="Arial"/>
        </w:rPr>
        <w:t xml:space="preserve"> that I would be allowing the appeal</w:t>
      </w:r>
      <w:r w:rsidR="003C1BA7">
        <w:rPr>
          <w:rFonts w:ascii="Book Antiqua" w:hAnsi="Book Antiqua" w:cs="Arial"/>
        </w:rPr>
        <w:t>s</w:t>
      </w:r>
      <w:r>
        <w:rPr>
          <w:rFonts w:ascii="Book Antiqua" w:hAnsi="Book Antiqua" w:cs="Arial"/>
        </w:rPr>
        <w:t xml:space="preserve"> on human rights grounds.  </w:t>
      </w:r>
      <w:r w:rsidR="007E25F1">
        <w:rPr>
          <w:rFonts w:ascii="Book Antiqua" w:hAnsi="Book Antiqua" w:cs="Arial"/>
        </w:rPr>
        <w:t xml:space="preserve"> </w:t>
      </w:r>
      <w:r w:rsidR="00A25E84">
        <w:rPr>
          <w:rFonts w:ascii="Book Antiqua" w:hAnsi="Book Antiqua" w:cs="Arial"/>
        </w:rPr>
        <w:t xml:space="preserve">  </w:t>
      </w:r>
      <w:r w:rsidR="00A25E84">
        <w:rPr>
          <w:rFonts w:ascii="Book Antiqua" w:hAnsi="Book Antiqua" w:cs="Arial"/>
          <w:u w:val="single"/>
        </w:rPr>
        <w:t xml:space="preserve"> </w:t>
      </w:r>
      <w:r w:rsidR="00A25E84">
        <w:rPr>
          <w:rFonts w:ascii="Book Antiqua" w:hAnsi="Book Antiqua" w:cs="Arial"/>
        </w:rPr>
        <w:t xml:space="preserve"> </w:t>
      </w:r>
    </w:p>
    <w:p w:rsidR="00546523" w:rsidRPr="00546523" w:rsidRDefault="00546523" w:rsidP="00546523">
      <w:pPr>
        <w:tabs>
          <w:tab w:val="left" w:pos="2520"/>
        </w:tabs>
        <w:spacing w:before="240"/>
        <w:jc w:val="both"/>
        <w:rPr>
          <w:rFonts w:ascii="Book Antiqua" w:hAnsi="Book Antiqua" w:cs="Arial"/>
          <w:i/>
        </w:rPr>
      </w:pPr>
      <w:r>
        <w:rPr>
          <w:rFonts w:ascii="Book Antiqua" w:hAnsi="Book Antiqua" w:cs="Arial"/>
          <w:i/>
        </w:rPr>
        <w:t>Conclusions</w:t>
      </w:r>
      <w:r w:rsidR="00A25E84">
        <w:rPr>
          <w:rFonts w:ascii="Book Antiqua" w:hAnsi="Book Antiqua" w:cs="Arial"/>
          <w:i/>
        </w:rPr>
        <w:t xml:space="preserve"> – Error of Law</w:t>
      </w:r>
    </w:p>
    <w:p w:rsidR="00546523" w:rsidRPr="008F131A" w:rsidRDefault="0035581B"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First-tier Tribunal failed to consider that the third appellant was a child at the date of application on 30</w:t>
      </w:r>
      <w:r w:rsidRPr="0035581B">
        <w:rPr>
          <w:rFonts w:ascii="Book Antiqua" w:hAnsi="Book Antiqua" w:cs="Arial"/>
          <w:vertAlign w:val="superscript"/>
        </w:rPr>
        <w:t>th</w:t>
      </w:r>
      <w:r>
        <w:rPr>
          <w:rFonts w:ascii="Book Antiqua" w:hAnsi="Book Antiqua" w:cs="Arial"/>
        </w:rPr>
        <w:t xml:space="preserve"> November 2015 as she was 17 years old, and that she therefore could</w:t>
      </w:r>
      <w:r w:rsidR="00871AF2">
        <w:rPr>
          <w:rFonts w:ascii="Book Antiqua" w:hAnsi="Book Antiqua" w:cs="Arial"/>
        </w:rPr>
        <w:t>,</w:t>
      </w:r>
      <w:r>
        <w:rPr>
          <w:rFonts w:ascii="Book Antiqua" w:hAnsi="Book Antiqua" w:cs="Arial"/>
        </w:rPr>
        <w:t xml:space="preserve"> at the date of</w:t>
      </w:r>
      <w:r w:rsidR="00871AF2">
        <w:rPr>
          <w:rFonts w:ascii="Book Antiqua" w:hAnsi="Book Antiqua" w:cs="Arial"/>
        </w:rPr>
        <w:t xml:space="preserve"> the</w:t>
      </w:r>
      <w:r>
        <w:rPr>
          <w:rFonts w:ascii="Book Antiqua" w:hAnsi="Book Antiqua" w:cs="Arial"/>
        </w:rPr>
        <w:t xml:space="preserve"> decision</w:t>
      </w:r>
      <w:r w:rsidR="00871AF2">
        <w:rPr>
          <w:rFonts w:ascii="Book Antiqua" w:hAnsi="Book Antiqua" w:cs="Arial"/>
        </w:rPr>
        <w:t xml:space="preserve"> under appeal,</w:t>
      </w:r>
      <w:r>
        <w:rPr>
          <w:rFonts w:ascii="Book Antiqua" w:hAnsi="Book Antiqua" w:cs="Arial"/>
        </w:rPr>
        <w:t xml:space="preserve"> have possibly shown compliance with paragraph 276ADE(iv) of the Immigration Rules, and</w:t>
      </w:r>
      <w:r w:rsidR="008F131A">
        <w:rPr>
          <w:rFonts w:ascii="Book Antiqua" w:hAnsi="Book Antiqua" w:cs="Arial"/>
        </w:rPr>
        <w:t xml:space="preserve"> through her that</w:t>
      </w:r>
      <w:r>
        <w:rPr>
          <w:rFonts w:ascii="Book Antiqua" w:hAnsi="Book Antiqua" w:cs="Arial"/>
        </w:rPr>
        <w:t xml:space="preserve"> her mother, the first appellant,</w:t>
      </w:r>
      <w:r w:rsidR="008F131A">
        <w:rPr>
          <w:rFonts w:ascii="Book Antiqua" w:hAnsi="Book Antiqua" w:cs="Arial"/>
        </w:rPr>
        <w:t xml:space="preserve"> was also</w:t>
      </w:r>
      <w:r w:rsidR="00871AF2">
        <w:rPr>
          <w:rFonts w:ascii="Book Antiqua" w:hAnsi="Book Antiqua" w:cs="Arial"/>
        </w:rPr>
        <w:t xml:space="preserve"> therefore</w:t>
      </w:r>
      <w:r w:rsidR="008F131A">
        <w:rPr>
          <w:rFonts w:ascii="Book Antiqua" w:hAnsi="Book Antiqua" w:cs="Arial"/>
        </w:rPr>
        <w:t xml:space="preserve"> potentially able to show an ability to meet</w:t>
      </w:r>
      <w:r>
        <w:rPr>
          <w:rFonts w:ascii="Book Antiqua" w:hAnsi="Book Antiqua" w:cs="Arial"/>
        </w:rPr>
        <w:t xml:space="preserve"> paragraph EX1 of Appendix FM of the Immigration Rules. If the</w:t>
      </w:r>
      <w:r w:rsidR="00B922E2">
        <w:rPr>
          <w:rFonts w:ascii="Book Antiqua" w:hAnsi="Book Antiqua" w:cs="Arial"/>
        </w:rPr>
        <w:t>se two</w:t>
      </w:r>
      <w:r>
        <w:rPr>
          <w:rFonts w:ascii="Book Antiqua" w:hAnsi="Book Antiqua" w:cs="Arial"/>
        </w:rPr>
        <w:t xml:space="preserve"> appellants were able to show compliance with the Immigration Rules at the date of decision there would be no public interest in their removal under s.117</w:t>
      </w:r>
      <w:proofErr w:type="gramStart"/>
      <w:r>
        <w:rPr>
          <w:rFonts w:ascii="Book Antiqua" w:hAnsi="Book Antiqua" w:cs="Arial"/>
        </w:rPr>
        <w:t>B(</w:t>
      </w:r>
      <w:proofErr w:type="gramEnd"/>
      <w:r>
        <w:rPr>
          <w:rFonts w:ascii="Book Antiqua" w:hAnsi="Book Antiqua" w:cs="Arial"/>
        </w:rPr>
        <w:t>1) of the Nationality, Immigration and Asylum Act 2002</w:t>
      </w:r>
      <w:r w:rsidR="00C63834">
        <w:rPr>
          <w:rFonts w:ascii="Book Antiqua" w:hAnsi="Book Antiqua" w:cs="Arial"/>
        </w:rPr>
        <w:t>, and this would be highly relevant to the proportionality of the interference with their private</w:t>
      </w:r>
      <w:r w:rsidR="003C1BA7">
        <w:rPr>
          <w:rFonts w:ascii="Book Antiqua" w:hAnsi="Book Antiqua" w:cs="Arial"/>
        </w:rPr>
        <w:t>/ family</w:t>
      </w:r>
      <w:r w:rsidR="00C63834">
        <w:rPr>
          <w:rFonts w:ascii="Book Antiqua" w:hAnsi="Book Antiqua" w:cs="Arial"/>
        </w:rPr>
        <w:t xml:space="preserve"> lives</w:t>
      </w:r>
      <w:r w:rsidR="008F131A">
        <w:rPr>
          <w:rFonts w:ascii="Book Antiqua" w:hAnsi="Book Antiqua" w:cs="Arial"/>
        </w:rPr>
        <w:t xml:space="preserve"> represented by their removal,</w:t>
      </w:r>
      <w:r w:rsidR="00C63834">
        <w:rPr>
          <w:rFonts w:ascii="Book Antiqua" w:hAnsi="Book Antiqua" w:cs="Arial"/>
        </w:rPr>
        <w:t xml:space="preserve"> and thus the determination of the human rights appeal</w:t>
      </w:r>
      <w:r>
        <w:rPr>
          <w:rFonts w:ascii="Book Antiqua" w:hAnsi="Book Antiqua" w:cs="Arial"/>
        </w:rPr>
        <w:t>.</w:t>
      </w:r>
      <w:r w:rsidR="005358CD">
        <w:rPr>
          <w:rFonts w:ascii="Book Antiqua" w:hAnsi="Book Antiqua" w:cs="Arial"/>
        </w:rPr>
        <w:t xml:space="preserve"> This was a material error </w:t>
      </w:r>
      <w:r w:rsidR="008F131A">
        <w:rPr>
          <w:rFonts w:ascii="Book Antiqua" w:hAnsi="Book Antiqua" w:cs="Arial"/>
        </w:rPr>
        <w:t>as the respondent had identified the applicability of paragraph 276ADE(1)(iv) in the reasons for refusal letter and there was</w:t>
      </w:r>
      <w:r w:rsidR="005358CD">
        <w:rPr>
          <w:rFonts w:ascii="Book Antiqua" w:hAnsi="Book Antiqua" w:cs="Arial"/>
        </w:rPr>
        <w:t xml:space="preserve"> evidence</w:t>
      </w:r>
      <w:r w:rsidR="008F131A">
        <w:rPr>
          <w:rFonts w:ascii="Book Antiqua" w:hAnsi="Book Antiqua" w:cs="Arial"/>
        </w:rPr>
        <w:t xml:space="preserve"> going to</w:t>
      </w:r>
      <w:r w:rsidR="005358CD">
        <w:rPr>
          <w:rFonts w:ascii="Book Antiqua" w:hAnsi="Book Antiqua" w:cs="Arial"/>
        </w:rPr>
        <w:t xml:space="preserve"> the issue of reasonableness of the third appellant being required to leave the UK being set out at page </w:t>
      </w:r>
      <w:r w:rsidR="00842B4E">
        <w:rPr>
          <w:rFonts w:ascii="Book Antiqua" w:hAnsi="Book Antiqua" w:cs="Arial"/>
        </w:rPr>
        <w:t>12 of the bundle in her witness statement, an</w:t>
      </w:r>
      <w:r w:rsidR="003C1BA7">
        <w:rPr>
          <w:rFonts w:ascii="Book Antiqua" w:hAnsi="Book Antiqua" w:cs="Arial"/>
        </w:rPr>
        <w:t>d</w:t>
      </w:r>
      <w:r w:rsidR="00842B4E">
        <w:rPr>
          <w:rFonts w:ascii="Book Antiqua" w:hAnsi="Book Antiqua" w:cs="Arial"/>
        </w:rPr>
        <w:t xml:space="preserve"> this was supported by the</w:t>
      </w:r>
      <w:r w:rsidR="008F131A">
        <w:rPr>
          <w:rFonts w:ascii="Book Antiqua" w:hAnsi="Book Antiqua" w:cs="Arial"/>
        </w:rPr>
        <w:t xml:space="preserve"> documentary</w:t>
      </w:r>
      <w:r w:rsidR="00842B4E">
        <w:rPr>
          <w:rFonts w:ascii="Book Antiqua" w:hAnsi="Book Antiqua" w:cs="Arial"/>
        </w:rPr>
        <w:t xml:space="preserve"> evidence of her educational achievements and medical problems</w:t>
      </w:r>
      <w:r w:rsidR="008F131A">
        <w:rPr>
          <w:rFonts w:ascii="Book Antiqua" w:hAnsi="Book Antiqua" w:cs="Arial"/>
        </w:rPr>
        <w:t xml:space="preserve"> (particularly </w:t>
      </w:r>
      <w:r w:rsidR="008F131A" w:rsidRPr="00842B4E">
        <w:rPr>
          <w:rFonts w:ascii="Book Antiqua" w:hAnsi="Book Antiqua" w:cs="Arial"/>
        </w:rPr>
        <w:t xml:space="preserve">the evidence from the Sickle Cell Society and the letter from her consultant haematologist Dr </w:t>
      </w:r>
      <w:proofErr w:type="spellStart"/>
      <w:r w:rsidR="008F131A" w:rsidRPr="00842B4E">
        <w:rPr>
          <w:rFonts w:ascii="Book Antiqua" w:hAnsi="Book Antiqua" w:cs="Arial"/>
        </w:rPr>
        <w:t>Yardumian</w:t>
      </w:r>
      <w:proofErr w:type="spellEnd"/>
      <w:r w:rsidR="008F131A" w:rsidRPr="00842B4E">
        <w:rPr>
          <w:rFonts w:ascii="Book Antiqua" w:hAnsi="Book Antiqua" w:cs="Arial"/>
        </w:rPr>
        <w:t xml:space="preserve"> dated 21</w:t>
      </w:r>
      <w:r w:rsidR="008F131A" w:rsidRPr="00842B4E">
        <w:rPr>
          <w:rFonts w:ascii="Book Antiqua" w:hAnsi="Book Antiqua" w:cs="Arial"/>
          <w:vertAlign w:val="superscript"/>
        </w:rPr>
        <w:t>st</w:t>
      </w:r>
      <w:r w:rsidR="008F131A" w:rsidRPr="00842B4E">
        <w:rPr>
          <w:rFonts w:ascii="Book Antiqua" w:hAnsi="Book Antiqua" w:cs="Arial"/>
        </w:rPr>
        <w:t xml:space="preserve"> July 2017</w:t>
      </w:r>
      <w:r w:rsidR="008F131A">
        <w:rPr>
          <w:rFonts w:ascii="Book Antiqua" w:hAnsi="Book Antiqua" w:cs="Arial"/>
        </w:rPr>
        <w:t>)</w:t>
      </w:r>
      <w:r w:rsidR="008F131A" w:rsidRPr="00842B4E">
        <w:rPr>
          <w:rFonts w:ascii="Book Antiqua" w:hAnsi="Book Antiqua" w:cs="Arial"/>
        </w:rPr>
        <w:t xml:space="preserve"> </w:t>
      </w:r>
      <w:r w:rsidR="00842B4E">
        <w:rPr>
          <w:rFonts w:ascii="Book Antiqua" w:hAnsi="Book Antiqua" w:cs="Arial"/>
        </w:rPr>
        <w:t xml:space="preserve"> also put before the First-tier Tribunal in the bundle. </w:t>
      </w:r>
      <w:r>
        <w:rPr>
          <w:rFonts w:ascii="Book Antiqua" w:hAnsi="Book Antiqua" w:cs="Arial"/>
        </w:rPr>
        <w:t xml:space="preserve"> </w:t>
      </w:r>
      <w:r w:rsidR="003C1BA7">
        <w:rPr>
          <w:rFonts w:ascii="Book Antiqua" w:hAnsi="Book Antiqua" w:cs="Arial"/>
        </w:rPr>
        <w:t xml:space="preserve">In circumstances where the first and third appellants could show a material error in the determination of their appeals the appeal of the second appellant was also unsafe as positive outcomes for these two appellants could potentially affect the proportionality of her removal in Article 8 ECHR terms too given her membership of their nuclear family. </w:t>
      </w:r>
    </w:p>
    <w:p w:rsidR="00E53484" w:rsidRDefault="00E53484" w:rsidP="008F131A">
      <w:pPr>
        <w:tabs>
          <w:tab w:val="left" w:pos="2520"/>
        </w:tabs>
        <w:spacing w:before="240"/>
        <w:jc w:val="both"/>
        <w:rPr>
          <w:rFonts w:ascii="Book Antiqua" w:hAnsi="Book Antiqua" w:cs="Arial"/>
          <w:i/>
        </w:rPr>
      </w:pPr>
    </w:p>
    <w:p w:rsidR="008F131A" w:rsidRPr="00F835FA" w:rsidRDefault="008F131A" w:rsidP="008F131A">
      <w:pPr>
        <w:tabs>
          <w:tab w:val="left" w:pos="2520"/>
        </w:tabs>
        <w:spacing w:before="240"/>
        <w:jc w:val="both"/>
        <w:rPr>
          <w:rFonts w:ascii="Book Antiqua" w:hAnsi="Book Antiqua" w:cs="Arial"/>
          <w:i/>
        </w:rPr>
      </w:pPr>
      <w:r w:rsidRPr="00F835FA">
        <w:rPr>
          <w:rFonts w:ascii="Book Antiqua" w:hAnsi="Book Antiqua" w:cs="Arial"/>
          <w:i/>
        </w:rPr>
        <w:lastRenderedPageBreak/>
        <w:t>Evidence and Submissions - Remaking</w:t>
      </w:r>
    </w:p>
    <w:p w:rsidR="00842B4E" w:rsidRPr="008B75B4" w:rsidRDefault="008F131A"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It was identified</w:t>
      </w:r>
      <w:r w:rsidR="00F835FA">
        <w:rPr>
          <w:rFonts w:ascii="Book Antiqua" w:hAnsi="Book Antiqua" w:cs="Arial"/>
        </w:rPr>
        <w:t xml:space="preserve"> by both representatives</w:t>
      </w:r>
      <w:r>
        <w:rPr>
          <w:rFonts w:ascii="Book Antiqua" w:hAnsi="Book Antiqua" w:cs="Arial"/>
        </w:rPr>
        <w:t xml:space="preserve"> that there was only one factual matter on which it was needed to call</w:t>
      </w:r>
      <w:r w:rsidR="003C1BA7">
        <w:rPr>
          <w:rFonts w:ascii="Book Antiqua" w:hAnsi="Book Antiqua" w:cs="Arial"/>
        </w:rPr>
        <w:t xml:space="preserve"> further oral</w:t>
      </w:r>
      <w:r>
        <w:rPr>
          <w:rFonts w:ascii="Book Antiqua" w:hAnsi="Book Antiqua" w:cs="Arial"/>
        </w:rPr>
        <w:t xml:space="preserve"> evidence. Mr Karim asked the first appellant to confirm her identity, address and adopt her witness statement. He then asked her to confirm the whereabouts of her son who had remained in Nigeria. </w:t>
      </w:r>
      <w:r w:rsidR="008B75B4">
        <w:rPr>
          <w:rFonts w:ascii="Book Antiqua" w:hAnsi="Book Antiqua" w:cs="Arial"/>
        </w:rPr>
        <w:t>The first appellant explained that her son had gone to live in Ghana with his Ghanaian girl-friend as due to her current circumstances she had been unable to send him money to continue his studies in Nigeria. She was unsure whether he would remain permanently in Ghana. She provided a letter she had received from Ghana from her son with the envelope which showed it had been sent from Kumasi in Ghana on 27</w:t>
      </w:r>
      <w:r w:rsidR="008B75B4" w:rsidRPr="008B75B4">
        <w:rPr>
          <w:rFonts w:ascii="Book Antiqua" w:hAnsi="Book Antiqua" w:cs="Arial"/>
          <w:vertAlign w:val="superscript"/>
        </w:rPr>
        <w:t>th</w:t>
      </w:r>
      <w:r w:rsidR="008B75B4">
        <w:rPr>
          <w:rFonts w:ascii="Book Antiqua" w:hAnsi="Book Antiqua" w:cs="Arial"/>
        </w:rPr>
        <w:t xml:space="preserve"> June 2018. The contents of the letter were consistent with the first appellant’s evidence. She said that the First-tier Tribunal had confused her in the questioning and so she had not initially understood that she was being asked about any children being in Nigeria but about wider family, but that she had explained this to them</w:t>
      </w:r>
      <w:r w:rsidR="003C1BA7">
        <w:rPr>
          <w:rFonts w:ascii="Book Antiqua" w:hAnsi="Book Antiqua" w:cs="Arial"/>
        </w:rPr>
        <w:t xml:space="preserve"> in her evidence at a later point</w:t>
      </w:r>
      <w:r w:rsidR="008B75B4">
        <w:rPr>
          <w:rFonts w:ascii="Book Antiqua" w:hAnsi="Book Antiqua" w:cs="Arial"/>
        </w:rPr>
        <w:t xml:space="preserve">. </w:t>
      </w:r>
      <w:r>
        <w:rPr>
          <w:rFonts w:ascii="Book Antiqua" w:hAnsi="Book Antiqua" w:cs="Arial"/>
        </w:rPr>
        <w:t xml:space="preserve">  </w:t>
      </w:r>
      <w:r w:rsidR="00842B4E">
        <w:rPr>
          <w:rFonts w:ascii="Book Antiqua" w:hAnsi="Book Antiqua" w:cs="Arial"/>
        </w:rPr>
        <w:t xml:space="preserve"> </w:t>
      </w:r>
    </w:p>
    <w:p w:rsidR="008B75B4" w:rsidRPr="008B75B4" w:rsidRDefault="008B75B4"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Mr Bramble relied upon the reasons for refusal letter,</w:t>
      </w:r>
      <w:r w:rsidR="003C1BA7">
        <w:rPr>
          <w:rFonts w:ascii="Book Antiqua" w:hAnsi="Book Antiqua" w:cs="Arial"/>
        </w:rPr>
        <w:t xml:space="preserve"> </w:t>
      </w:r>
      <w:r>
        <w:rPr>
          <w:rFonts w:ascii="Book Antiqua" w:hAnsi="Book Antiqua" w:cs="Arial"/>
        </w:rPr>
        <w:t xml:space="preserve">but made no further submissions with respect to the first and third appellants. He added that it was possible with respect to the second appellant that she would not be returning to live alone if she went back to Nigeria as her brother generally lived there, and this meant that she had a less strong case to remain. </w:t>
      </w:r>
    </w:p>
    <w:p w:rsidR="00B649CF" w:rsidRPr="00B649CF" w:rsidRDefault="008B75B4"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Mr Karim submitted that I should be guided by </w:t>
      </w:r>
      <w:r>
        <w:rPr>
          <w:rFonts w:ascii="Book Antiqua" w:hAnsi="Book Antiqua" w:cs="Arial"/>
          <w:u w:val="single"/>
        </w:rPr>
        <w:t>MA (Pakistan)</w:t>
      </w:r>
      <w:r>
        <w:rPr>
          <w:rFonts w:ascii="Book Antiqua" w:hAnsi="Book Antiqua" w:cs="Arial"/>
        </w:rPr>
        <w:t xml:space="preserve"> at paragraphs 46 and 49. I needed to give significant weight to the third appellant having been in the UK for seven years, and that there was a strong expectation that this meant it was in her best interests to remain in the UK, and that this would only be dislodged if there were powerful reason to find to the contrary. Further</w:t>
      </w:r>
      <w:r w:rsidR="003C1BA7">
        <w:rPr>
          <w:rFonts w:ascii="Book Antiqua" w:hAnsi="Book Antiqua" w:cs="Arial"/>
        </w:rPr>
        <w:t>,</w:t>
      </w:r>
      <w:r>
        <w:rPr>
          <w:rFonts w:ascii="Book Antiqua" w:hAnsi="Book Antiqua" w:cs="Arial"/>
        </w:rPr>
        <w:t xml:space="preserve"> following the guidance in </w:t>
      </w:r>
      <w:proofErr w:type="spellStart"/>
      <w:r>
        <w:rPr>
          <w:rFonts w:ascii="Book Antiqua" w:hAnsi="Book Antiqua" w:cs="Arial"/>
          <w:u w:val="single"/>
        </w:rPr>
        <w:t>Azimi</w:t>
      </w:r>
      <w:proofErr w:type="spellEnd"/>
      <w:r>
        <w:rPr>
          <w:rFonts w:ascii="Book Antiqua" w:hAnsi="Book Antiqua" w:cs="Arial"/>
          <w:u w:val="single"/>
        </w:rPr>
        <w:t>-Moayed</w:t>
      </w:r>
      <w:r w:rsidR="00B649CF">
        <w:rPr>
          <w:rFonts w:ascii="Book Antiqua" w:hAnsi="Book Antiqua" w:cs="Arial"/>
          <w:u w:val="single"/>
        </w:rPr>
        <w:t xml:space="preserve"> and others (decisions affecting children; onward appeals</w:t>
      </w:r>
      <w:r w:rsidR="00B649CF" w:rsidRPr="00B649CF">
        <w:rPr>
          <w:rFonts w:ascii="Book Antiqua" w:hAnsi="Book Antiqua" w:cs="Arial"/>
        </w:rPr>
        <w:t>) [2013] UKUT 197</w:t>
      </w:r>
      <w:r w:rsidR="003C1BA7">
        <w:rPr>
          <w:rFonts w:ascii="Book Antiqua" w:hAnsi="Book Antiqua" w:cs="Arial"/>
        </w:rPr>
        <w:t>,</w:t>
      </w:r>
      <w:r w:rsidR="00B649CF">
        <w:rPr>
          <w:rFonts w:ascii="Book Antiqua" w:hAnsi="Book Antiqua" w:cs="Arial"/>
        </w:rPr>
        <w:t xml:space="preserve"> it should be noted seven years of private life ties of children from the age of 4 years are more significant in this connection, and the third appellant’s ties were formed between the age of 10 and 18 years. The medical evidence, particularly the report at page 36, added further weight to the arguments that it was not reasonable to require the third appellant to leave</w:t>
      </w:r>
      <w:r w:rsidR="00871AF2">
        <w:rPr>
          <w:rFonts w:ascii="Book Antiqua" w:hAnsi="Book Antiqua" w:cs="Arial"/>
        </w:rPr>
        <w:t>,</w:t>
      </w:r>
      <w:r w:rsidR="00B649CF">
        <w:rPr>
          <w:rFonts w:ascii="Book Antiqua" w:hAnsi="Book Antiqua" w:cs="Arial"/>
        </w:rPr>
        <w:t xml:space="preserve"> as did her academic achievements and</w:t>
      </w:r>
      <w:r w:rsidR="003C1BA7">
        <w:rPr>
          <w:rFonts w:ascii="Book Antiqua" w:hAnsi="Book Antiqua" w:cs="Arial"/>
        </w:rPr>
        <w:t xml:space="preserve"> study</w:t>
      </w:r>
      <w:r w:rsidR="00B649CF">
        <w:rPr>
          <w:rFonts w:ascii="Book Antiqua" w:hAnsi="Book Antiqua" w:cs="Arial"/>
        </w:rPr>
        <w:t xml:space="preserve"> plans for the future. </w:t>
      </w:r>
    </w:p>
    <w:p w:rsidR="008B75B4" w:rsidRPr="00B649CF" w:rsidRDefault="00B649CF"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In this case there were no significant adverse factors: there was no deception as the appellants had simply overstayed, and there was no criminality. Mr Karim therefore argued that it was not reasonable to expect the third appellant to leave the UK, and therefore that she succeeded in her appeal under paragraph 276ADE(1)(iv) of the Immigration Rules and her mother under s.117</w:t>
      </w:r>
      <w:proofErr w:type="gramStart"/>
      <w:r>
        <w:rPr>
          <w:rFonts w:ascii="Book Antiqua" w:hAnsi="Book Antiqua" w:cs="Arial"/>
        </w:rPr>
        <w:t>B(</w:t>
      </w:r>
      <w:proofErr w:type="gramEnd"/>
      <w:r>
        <w:rPr>
          <w:rFonts w:ascii="Book Antiqua" w:hAnsi="Book Antiqua" w:cs="Arial"/>
        </w:rPr>
        <w:t>6) of the Nationality, Immigration and Asylum Act 2002</w:t>
      </w:r>
    </w:p>
    <w:p w:rsidR="00B649CF" w:rsidRPr="00F835FA" w:rsidRDefault="00B649CF"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In relation to the second appellant Mr Karim argued that her appeal should succeed as she lived with the other two appellants and had family life relationships with them. She also had strong private life ties as she had lived in the UK since she was </w:t>
      </w:r>
      <w:r>
        <w:rPr>
          <w:rFonts w:ascii="Book Antiqua" w:hAnsi="Book Antiqua" w:cs="Arial"/>
        </w:rPr>
        <w:lastRenderedPageBreak/>
        <w:t xml:space="preserve">12 years old, was educated here and had aspirations to become a barrister. She was likely to be a contributor economically in the future. She should not be blamed for the actions of her mother in causing her to overstay in the UK when she was a child. </w:t>
      </w:r>
      <w:r w:rsidR="00F835FA">
        <w:rPr>
          <w:rFonts w:ascii="Book Antiqua" w:hAnsi="Book Antiqua" w:cs="Arial"/>
        </w:rPr>
        <w:t xml:space="preserve">I should find that on the balance of probabilities her brother was now living in Ghana with his girlfriend and in-laws and that she would be a young, lone female if returned to Nigeria. </w:t>
      </w:r>
      <w:r>
        <w:rPr>
          <w:rFonts w:ascii="Book Antiqua" w:hAnsi="Book Antiqua" w:cs="Arial"/>
        </w:rPr>
        <w:t xml:space="preserve"> </w:t>
      </w:r>
    </w:p>
    <w:p w:rsidR="00F835FA" w:rsidRPr="00F835FA" w:rsidRDefault="00F835FA" w:rsidP="00F835FA">
      <w:pPr>
        <w:tabs>
          <w:tab w:val="left" w:pos="2520"/>
        </w:tabs>
        <w:spacing w:before="240"/>
        <w:jc w:val="both"/>
        <w:rPr>
          <w:rFonts w:ascii="Book Antiqua" w:hAnsi="Book Antiqua" w:cs="Arial"/>
          <w:i/>
        </w:rPr>
      </w:pPr>
      <w:r>
        <w:rPr>
          <w:rFonts w:ascii="Book Antiqua" w:hAnsi="Book Antiqua" w:cs="Arial"/>
          <w:i/>
        </w:rPr>
        <w:t xml:space="preserve">Conclusions – Remaking </w:t>
      </w:r>
    </w:p>
    <w:p w:rsidR="0088543A" w:rsidRPr="0088543A" w:rsidRDefault="00F835FA"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It is accepted by the respondent that the third appellant had spent seven years in the UK as a child at the time of application, and so could meet these aspects of paragraph 276ADE(1)(vi) of the Immigration Rules. The aspect in dispute is whether it was reasonable to require her to leave the UK. It is clear from the guidance of the Court of Appeal in </w:t>
      </w:r>
      <w:r>
        <w:rPr>
          <w:rFonts w:ascii="Book Antiqua" w:hAnsi="Book Antiqua" w:cs="Arial"/>
          <w:u w:val="single"/>
        </w:rPr>
        <w:t>MA Pakistan</w:t>
      </w:r>
      <w:r>
        <w:rPr>
          <w:rFonts w:ascii="Book Antiqua" w:hAnsi="Book Antiqua" w:cs="Arial"/>
        </w:rPr>
        <w:t xml:space="preserve"> </w:t>
      </w:r>
      <w:r w:rsidR="0088543A">
        <w:rPr>
          <w:rFonts w:ascii="Book Antiqua" w:hAnsi="Book Antiqua" w:cs="Arial"/>
        </w:rPr>
        <w:t>that there is a strong expectation that it would be in her best interests to remain, and that significant weight must be given to this factor when deciding whether it was reasonable to expect her to leave, but that the immigration history and</w:t>
      </w:r>
      <w:r w:rsidR="003C1BA7">
        <w:rPr>
          <w:rFonts w:ascii="Book Antiqua" w:hAnsi="Book Antiqua" w:cs="Arial"/>
        </w:rPr>
        <w:t xml:space="preserve"> any</w:t>
      </w:r>
      <w:r w:rsidR="0088543A">
        <w:rPr>
          <w:rFonts w:ascii="Book Antiqua" w:hAnsi="Book Antiqua" w:cs="Arial"/>
        </w:rPr>
        <w:t xml:space="preserve"> other negative matters relating to her family must be part of the balance. I accept the Upper Tribunal guidance taken from</w:t>
      </w:r>
      <w:r w:rsidR="0088543A" w:rsidRPr="0088543A">
        <w:rPr>
          <w:rFonts w:ascii="Book Antiqua" w:hAnsi="Book Antiqua" w:cs="Arial"/>
          <w:u w:val="single"/>
        </w:rPr>
        <w:t xml:space="preserve"> </w:t>
      </w:r>
      <w:proofErr w:type="spellStart"/>
      <w:r w:rsidR="0088543A">
        <w:rPr>
          <w:rFonts w:ascii="Book Antiqua" w:hAnsi="Book Antiqua" w:cs="Arial"/>
          <w:u w:val="single"/>
        </w:rPr>
        <w:t>Azimi</w:t>
      </w:r>
      <w:proofErr w:type="spellEnd"/>
      <w:r w:rsidR="0088543A">
        <w:rPr>
          <w:rFonts w:ascii="Book Antiqua" w:hAnsi="Book Antiqua" w:cs="Arial"/>
          <w:u w:val="single"/>
        </w:rPr>
        <w:t>-Moayed</w:t>
      </w:r>
      <w:r w:rsidR="0088543A">
        <w:rPr>
          <w:rFonts w:ascii="Book Antiqua" w:hAnsi="Book Antiqua" w:cs="Arial"/>
        </w:rPr>
        <w:t xml:space="preserve"> that the fact that it was the later part of this appellant’s childhood that she spent in the UK would be likely to make her ties to the UK stronger and her removal less likely to be reasonable.</w:t>
      </w:r>
    </w:p>
    <w:p w:rsidR="00762444" w:rsidRPr="00762444" w:rsidRDefault="0088543A"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third appellant’s uncontested evidence is that she wishes to remain in the UK as this has been her home since she was ten years old. It is the place where she has</w:t>
      </w:r>
      <w:r w:rsidR="00762444">
        <w:rPr>
          <w:rFonts w:ascii="Book Antiqua" w:hAnsi="Book Antiqua" w:cs="Arial"/>
        </w:rPr>
        <w:t xml:space="preserve"> all of</w:t>
      </w:r>
      <w:r>
        <w:rPr>
          <w:rFonts w:ascii="Book Antiqua" w:hAnsi="Book Antiqua" w:cs="Arial"/>
        </w:rPr>
        <w:t xml:space="preserve"> her friends and where she feels safe. She has been successful in studies in the UK and has a level 3 BTEC qualifications in business studies and science, and has a place to do an apprenticeship in bio-medical sciences and thereafter a degree in that subject.  She does not wish to return to Nigeria where she would not feel safe as her memories of that country are associated with emotional trauma as when she lived there they lived with her violent and controlling father who subjected her mother to</w:t>
      </w:r>
      <w:r w:rsidR="003C1BA7">
        <w:rPr>
          <w:rFonts w:ascii="Book Antiqua" w:hAnsi="Book Antiqua" w:cs="Arial"/>
        </w:rPr>
        <w:t xml:space="preserve"> physical and emotional</w:t>
      </w:r>
      <w:r>
        <w:rPr>
          <w:rFonts w:ascii="Book Antiqua" w:hAnsi="Book Antiqua" w:cs="Arial"/>
        </w:rPr>
        <w:t xml:space="preserve"> abuse. Further she does not believe she would be able to continue her education there, and is concerned that her sickle cell anaemia would be made worse</w:t>
      </w:r>
      <w:r w:rsidR="00762444">
        <w:rPr>
          <w:rFonts w:ascii="Book Antiqua" w:hAnsi="Book Antiqua" w:cs="Arial"/>
        </w:rPr>
        <w:t xml:space="preserve"> due to lack of appropriate medical health care and support from family and friends. I find</w:t>
      </w:r>
      <w:r w:rsidR="00871AF2" w:rsidRPr="00871AF2">
        <w:rPr>
          <w:rFonts w:ascii="Book Antiqua" w:hAnsi="Book Antiqua" w:cs="Arial"/>
        </w:rPr>
        <w:t xml:space="preserve"> </w:t>
      </w:r>
      <w:r w:rsidR="00871AF2">
        <w:rPr>
          <w:rFonts w:ascii="Book Antiqua" w:hAnsi="Book Antiqua" w:cs="Arial"/>
        </w:rPr>
        <w:t>on the basis of the witness evidence and the letter evidence provided to me</w:t>
      </w:r>
      <w:r w:rsidR="00762444">
        <w:rPr>
          <w:rFonts w:ascii="Book Antiqua" w:hAnsi="Book Antiqua" w:cs="Arial"/>
        </w:rPr>
        <w:t xml:space="preserve"> that the only family support in Nigeria was her brother, but he has now moved to Ghana for an unknown period of time to be with his girl-friend and her family</w:t>
      </w:r>
      <w:r w:rsidR="00871AF2">
        <w:rPr>
          <w:rFonts w:ascii="Book Antiqua" w:hAnsi="Book Antiqua" w:cs="Arial"/>
        </w:rPr>
        <w:t>.</w:t>
      </w:r>
      <w:r w:rsidR="00762444">
        <w:rPr>
          <w:rFonts w:ascii="Book Antiqua" w:hAnsi="Book Antiqua" w:cs="Arial"/>
        </w:rPr>
        <w:t xml:space="preserve"> </w:t>
      </w:r>
      <w:r w:rsidR="00871AF2">
        <w:rPr>
          <w:rFonts w:ascii="Book Antiqua" w:hAnsi="Book Antiqua" w:cs="Arial"/>
        </w:rPr>
        <w:t>If she returned she would not have any close family support.</w:t>
      </w:r>
    </w:p>
    <w:p w:rsidR="00762444" w:rsidRPr="00762444" w:rsidRDefault="00762444"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third appellant’s concerns about detriment to her health of returning to Nigeria are supported by the Sickle Cell Society in their letter of August 2017 and her consultant haematologist, Dr Anne </w:t>
      </w:r>
      <w:proofErr w:type="spellStart"/>
      <w:r>
        <w:rPr>
          <w:rFonts w:ascii="Book Antiqua" w:hAnsi="Book Antiqua" w:cs="Arial"/>
        </w:rPr>
        <w:t>Yardumian</w:t>
      </w:r>
      <w:proofErr w:type="spellEnd"/>
      <w:r w:rsidR="003C1BA7">
        <w:rPr>
          <w:rFonts w:ascii="Book Antiqua" w:hAnsi="Book Antiqua" w:cs="Arial"/>
        </w:rPr>
        <w:t>,</w:t>
      </w:r>
      <w:r>
        <w:rPr>
          <w:rFonts w:ascii="Book Antiqua" w:hAnsi="Book Antiqua" w:cs="Arial"/>
        </w:rPr>
        <w:t xml:space="preserve"> in her letter of July 2017. This evidence confirms that the third appellant suffers from</w:t>
      </w:r>
      <w:r w:rsidR="003C1BA7">
        <w:rPr>
          <w:rFonts w:ascii="Book Antiqua" w:hAnsi="Book Antiqua" w:cs="Arial"/>
        </w:rPr>
        <w:t xml:space="preserve"> sickle cell</w:t>
      </w:r>
      <w:r>
        <w:rPr>
          <w:rFonts w:ascii="Book Antiqua" w:hAnsi="Book Antiqua" w:cs="Arial"/>
        </w:rPr>
        <w:t xml:space="preserve"> crises during which she has significant bone and joint pain; that she takes medication that it is not believed she would received in Nigeria; that return to Nigeria would cause her to be at increased risk of serious complications and a shortened life expectancy, particularly as the care in Nigeria is expensive, patchy, frequently involves unsafe </w:t>
      </w:r>
      <w:r>
        <w:rPr>
          <w:rFonts w:ascii="Book Antiqua" w:hAnsi="Book Antiqua" w:cs="Arial"/>
        </w:rPr>
        <w:lastRenderedPageBreak/>
        <w:t>blood transfusion</w:t>
      </w:r>
      <w:r w:rsidR="00871AF2">
        <w:rPr>
          <w:rFonts w:ascii="Book Antiqua" w:hAnsi="Book Antiqua" w:cs="Arial"/>
        </w:rPr>
        <w:t>;</w:t>
      </w:r>
      <w:r>
        <w:rPr>
          <w:rFonts w:ascii="Book Antiqua" w:hAnsi="Book Antiqua" w:cs="Arial"/>
        </w:rPr>
        <w:t xml:space="preserve"> and that the health of those with sickle cell is</w:t>
      </w:r>
      <w:r w:rsidR="00871AF2">
        <w:rPr>
          <w:rFonts w:ascii="Book Antiqua" w:hAnsi="Book Antiqua" w:cs="Arial"/>
        </w:rPr>
        <w:t xml:space="preserve"> significantly</w:t>
      </w:r>
      <w:r>
        <w:rPr>
          <w:rFonts w:ascii="Book Antiqua" w:hAnsi="Book Antiqua" w:cs="Arial"/>
        </w:rPr>
        <w:t xml:space="preserve"> more </w:t>
      </w:r>
      <w:r w:rsidR="00871AF2">
        <w:rPr>
          <w:rFonts w:ascii="Book Antiqua" w:hAnsi="Book Antiqua" w:cs="Arial"/>
        </w:rPr>
        <w:t>endangered in Nigeria compared to the UK</w:t>
      </w:r>
      <w:r>
        <w:rPr>
          <w:rFonts w:ascii="Book Antiqua" w:hAnsi="Book Antiqua" w:cs="Arial"/>
        </w:rPr>
        <w:t xml:space="preserve"> due to</w:t>
      </w:r>
      <w:r w:rsidR="003C1BA7">
        <w:rPr>
          <w:rFonts w:ascii="Book Antiqua" w:hAnsi="Book Antiqua" w:cs="Arial"/>
        </w:rPr>
        <w:t xml:space="preserve"> the prevalence of</w:t>
      </w:r>
      <w:r>
        <w:rPr>
          <w:rFonts w:ascii="Book Antiqua" w:hAnsi="Book Antiqua" w:cs="Arial"/>
        </w:rPr>
        <w:t xml:space="preserve"> malarial infections. </w:t>
      </w:r>
    </w:p>
    <w:p w:rsidR="00F835FA" w:rsidRPr="00C873B7" w:rsidRDefault="00762444"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 have no hesitation in finding that it is in the third appellant’s best interests to remain in the UK given her health and</w:t>
      </w:r>
      <w:r w:rsidR="00C873B7">
        <w:rPr>
          <w:rFonts w:ascii="Book Antiqua" w:hAnsi="Book Antiqua" w:cs="Arial"/>
        </w:rPr>
        <w:t xml:space="preserve"> continuity of</w:t>
      </w:r>
      <w:r>
        <w:rPr>
          <w:rFonts w:ascii="Book Antiqua" w:hAnsi="Book Antiqua" w:cs="Arial"/>
        </w:rPr>
        <w:t xml:space="preserve"> education reasons for remaining, and her long-standing social integration in this country</w:t>
      </w:r>
      <w:r w:rsidR="00C873B7">
        <w:rPr>
          <w:rFonts w:ascii="Book Antiqua" w:hAnsi="Book Antiqua" w:cs="Arial"/>
        </w:rPr>
        <w:t xml:space="preserve">, and her negative psychological associations of Nigeria with living with her father’s violence and abuse. </w:t>
      </w:r>
      <w:r>
        <w:rPr>
          <w:rFonts w:ascii="Book Antiqua" w:hAnsi="Book Antiqua" w:cs="Arial"/>
        </w:rPr>
        <w:t xml:space="preserve"> </w:t>
      </w:r>
      <w:r w:rsidR="00C873B7">
        <w:rPr>
          <w:rFonts w:ascii="Book Antiqua" w:hAnsi="Book Antiqua" w:cs="Arial"/>
        </w:rPr>
        <w:t xml:space="preserve">This must be given significant weight when concluding whether or not it would be reasonable to expect her to leave the UK. </w:t>
      </w:r>
    </w:p>
    <w:p w:rsidR="00C873B7" w:rsidRPr="00C873B7" w:rsidRDefault="00C873B7"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I do not find that there </w:t>
      </w:r>
      <w:proofErr w:type="gramStart"/>
      <w:r>
        <w:rPr>
          <w:rFonts w:ascii="Book Antiqua" w:hAnsi="Book Antiqua" w:cs="Arial"/>
        </w:rPr>
        <w:t>are</w:t>
      </w:r>
      <w:proofErr w:type="gramEnd"/>
      <w:r>
        <w:rPr>
          <w:rFonts w:ascii="Book Antiqua" w:hAnsi="Book Antiqua" w:cs="Arial"/>
        </w:rPr>
        <w:t xml:space="preserve"> powerful reason to find that it would be reasonable to expect the third appellant to leave the UK given her best interest lie</w:t>
      </w:r>
      <w:r w:rsidR="003C1BA7">
        <w:rPr>
          <w:rFonts w:ascii="Book Antiqua" w:hAnsi="Book Antiqua" w:cs="Arial"/>
        </w:rPr>
        <w:t xml:space="preserve"> strongly</w:t>
      </w:r>
      <w:r>
        <w:rPr>
          <w:rFonts w:ascii="Book Antiqua" w:hAnsi="Book Antiqua" w:cs="Arial"/>
        </w:rPr>
        <w:t xml:space="preserve"> in favour of her remaining</w:t>
      </w:r>
      <w:r w:rsidR="008945F3">
        <w:rPr>
          <w:rFonts w:ascii="Book Antiqua" w:hAnsi="Book Antiqua" w:cs="Arial"/>
        </w:rPr>
        <w:t>.</w:t>
      </w:r>
      <w:r>
        <w:rPr>
          <w:rFonts w:ascii="Book Antiqua" w:hAnsi="Book Antiqua" w:cs="Arial"/>
        </w:rPr>
        <w:t xml:space="preserve"> </w:t>
      </w:r>
      <w:r w:rsidR="008945F3">
        <w:rPr>
          <w:rFonts w:ascii="Book Antiqua" w:hAnsi="Book Antiqua" w:cs="Arial"/>
        </w:rPr>
        <w:t>S</w:t>
      </w:r>
      <w:r>
        <w:rPr>
          <w:rFonts w:ascii="Book Antiqua" w:hAnsi="Book Antiqua" w:cs="Arial"/>
        </w:rPr>
        <w:t>he, the first and second appellants are overstayers in the UK. Whilst this is a factor against her, there are no criminal convictions held by any family member, or other additional wrong doing or bad character issues. In fact</w:t>
      </w:r>
      <w:r w:rsidR="008945F3">
        <w:rPr>
          <w:rFonts w:ascii="Book Antiqua" w:hAnsi="Book Antiqua" w:cs="Arial"/>
        </w:rPr>
        <w:t>,</w:t>
      </w:r>
      <w:r>
        <w:rPr>
          <w:rFonts w:ascii="Book Antiqua" w:hAnsi="Book Antiqua" w:cs="Arial"/>
        </w:rPr>
        <w:t xml:space="preserve"> to the contrary</w:t>
      </w:r>
      <w:r w:rsidR="008945F3">
        <w:rPr>
          <w:rFonts w:ascii="Book Antiqua" w:hAnsi="Book Antiqua" w:cs="Arial"/>
        </w:rPr>
        <w:t>,</w:t>
      </w:r>
      <w:r>
        <w:rPr>
          <w:rFonts w:ascii="Book Antiqua" w:hAnsi="Book Antiqua" w:cs="Arial"/>
        </w:rPr>
        <w:t xml:space="preserve"> there are positive character references from their church, the Shining Light Assembly and two other friends at pages 116 to 119 of the bundle.  I therefore conclude that the third appellant c</w:t>
      </w:r>
      <w:r w:rsidR="008945F3">
        <w:rPr>
          <w:rFonts w:ascii="Book Antiqua" w:hAnsi="Book Antiqua" w:cs="Arial"/>
        </w:rPr>
        <w:t>ould</w:t>
      </w:r>
      <w:r>
        <w:rPr>
          <w:rFonts w:ascii="Book Antiqua" w:hAnsi="Book Antiqua" w:cs="Arial"/>
        </w:rPr>
        <w:t xml:space="preserve"> meet the requirements of paragraph 276ADE(1)(iv) of the Immigration Rules</w:t>
      </w:r>
      <w:r w:rsidR="008945F3">
        <w:rPr>
          <w:rFonts w:ascii="Book Antiqua" w:hAnsi="Book Antiqua" w:cs="Arial"/>
        </w:rPr>
        <w:t xml:space="preserve"> at the date of decision</w:t>
      </w:r>
      <w:r>
        <w:rPr>
          <w:rFonts w:ascii="Book Antiqua" w:hAnsi="Book Antiqua" w:cs="Arial"/>
        </w:rPr>
        <w:t>, and that as such there is no public interest in her removal und</w:t>
      </w:r>
      <w:r w:rsidR="00B14E18">
        <w:rPr>
          <w:rFonts w:ascii="Book Antiqua" w:hAnsi="Book Antiqua" w:cs="Arial"/>
        </w:rPr>
        <w:t>er</w:t>
      </w:r>
      <w:r>
        <w:rPr>
          <w:rFonts w:ascii="Book Antiqua" w:hAnsi="Book Antiqua" w:cs="Arial"/>
        </w:rPr>
        <w:t xml:space="preserve"> s.117</w:t>
      </w:r>
      <w:proofErr w:type="gramStart"/>
      <w:r>
        <w:rPr>
          <w:rFonts w:ascii="Book Antiqua" w:hAnsi="Book Antiqua" w:cs="Arial"/>
        </w:rPr>
        <w:t>B(</w:t>
      </w:r>
      <w:proofErr w:type="gramEnd"/>
      <w:r>
        <w:rPr>
          <w:rFonts w:ascii="Book Antiqua" w:hAnsi="Book Antiqua" w:cs="Arial"/>
        </w:rPr>
        <w:t>1) of the Nationality, Immigration and Asylum Act 2002. I note that she is not currently financially self- supporting</w:t>
      </w:r>
      <w:r w:rsidR="008945F3">
        <w:rPr>
          <w:rFonts w:ascii="Book Antiqua" w:hAnsi="Book Antiqua" w:cs="Arial"/>
        </w:rPr>
        <w:t xml:space="preserve"> as a factor against her</w:t>
      </w:r>
      <w:r>
        <w:rPr>
          <w:rFonts w:ascii="Book Antiqua" w:hAnsi="Book Antiqua" w:cs="Arial"/>
        </w:rPr>
        <w:t>, although I find she is likely to be so in the future after completion of her studies. She speaks good English, and I find that she is integrated into society in the UK</w:t>
      </w:r>
      <w:r w:rsidR="008945F3">
        <w:rPr>
          <w:rFonts w:ascii="Book Antiqua" w:hAnsi="Book Antiqua" w:cs="Arial"/>
        </w:rPr>
        <w:t xml:space="preserve"> which is a neutral matter</w:t>
      </w:r>
      <w:r>
        <w:rPr>
          <w:rFonts w:ascii="Book Antiqua" w:hAnsi="Book Antiqua" w:cs="Arial"/>
        </w:rPr>
        <w:t xml:space="preserve">. In </w:t>
      </w:r>
      <w:r w:rsidR="008945F3">
        <w:rPr>
          <w:rFonts w:ascii="Book Antiqua" w:hAnsi="Book Antiqua" w:cs="Arial"/>
        </w:rPr>
        <w:t>the totality of these</w:t>
      </w:r>
      <w:r>
        <w:rPr>
          <w:rFonts w:ascii="Book Antiqua" w:hAnsi="Book Antiqua" w:cs="Arial"/>
        </w:rPr>
        <w:t xml:space="preserve"> circumstances I find that she is entitled to succeed in her appeal on Article 8 ECHR grounds as her removal would be a disproportionate interference with her right to respect </w:t>
      </w:r>
      <w:r w:rsidR="008945F3">
        <w:rPr>
          <w:rFonts w:ascii="Book Antiqua" w:hAnsi="Book Antiqua" w:cs="Arial"/>
        </w:rPr>
        <w:t>for</w:t>
      </w:r>
      <w:r>
        <w:rPr>
          <w:rFonts w:ascii="Book Antiqua" w:hAnsi="Book Antiqua" w:cs="Arial"/>
        </w:rPr>
        <w:t xml:space="preserve"> private life. </w:t>
      </w:r>
    </w:p>
    <w:p w:rsidR="00CF062E" w:rsidRPr="00CF062E" w:rsidRDefault="00C873B7"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As Mr Bramble has acknowledged </w:t>
      </w:r>
      <w:r w:rsidR="00CF062E">
        <w:rPr>
          <w:rFonts w:ascii="Book Antiqua" w:hAnsi="Book Antiqua" w:cs="Arial"/>
        </w:rPr>
        <w:t>the fact that it is not reasonable to expect the first appellant to leave the UK then in turn entitles the first appellant to succeed under EX1 of Appendix FM of the Immigration Rules as it is accepted that she is her mother and</w:t>
      </w:r>
      <w:r w:rsidR="008945F3">
        <w:rPr>
          <w:rFonts w:ascii="Book Antiqua" w:hAnsi="Book Antiqua" w:cs="Arial"/>
        </w:rPr>
        <w:t xml:space="preserve"> had and</w:t>
      </w:r>
      <w:r w:rsidR="00CF062E">
        <w:rPr>
          <w:rFonts w:ascii="Book Antiqua" w:hAnsi="Book Antiqua" w:cs="Arial"/>
        </w:rPr>
        <w:t xml:space="preserve"> has a genuine and subsisting parental relationship with her, and the the third appellant had lived in the UK for seven years as a child proceeding the application and it was not reasonable to expect her to leave the UK. Once again therefore there is no public interest in </w:t>
      </w:r>
      <w:r w:rsidR="008945F3">
        <w:rPr>
          <w:rFonts w:ascii="Book Antiqua" w:hAnsi="Book Antiqua" w:cs="Arial"/>
        </w:rPr>
        <w:t>the first appellant’s</w:t>
      </w:r>
      <w:r w:rsidR="00CF062E">
        <w:rPr>
          <w:rFonts w:ascii="Book Antiqua" w:hAnsi="Book Antiqua" w:cs="Arial"/>
        </w:rPr>
        <w:t xml:space="preserve"> removal</w:t>
      </w:r>
      <w:r w:rsidR="00B14E18" w:rsidRPr="00B14E18">
        <w:rPr>
          <w:rFonts w:ascii="Book Antiqua" w:hAnsi="Book Antiqua" w:cs="Arial"/>
        </w:rPr>
        <w:t xml:space="preserve"> </w:t>
      </w:r>
      <w:r w:rsidR="00B14E18">
        <w:rPr>
          <w:rFonts w:ascii="Book Antiqua" w:hAnsi="Book Antiqua" w:cs="Arial"/>
        </w:rPr>
        <w:t>under s.117</w:t>
      </w:r>
      <w:proofErr w:type="gramStart"/>
      <w:r w:rsidR="00B14E18">
        <w:rPr>
          <w:rFonts w:ascii="Book Antiqua" w:hAnsi="Book Antiqua" w:cs="Arial"/>
        </w:rPr>
        <w:t>B(</w:t>
      </w:r>
      <w:proofErr w:type="gramEnd"/>
      <w:r w:rsidR="00B14E18">
        <w:rPr>
          <w:rFonts w:ascii="Book Antiqua" w:hAnsi="Book Antiqua" w:cs="Arial"/>
        </w:rPr>
        <w:t>1) of the Nationality, Immigration and Asylum Act 2002</w:t>
      </w:r>
      <w:r w:rsidR="00CF062E">
        <w:rPr>
          <w:rFonts w:ascii="Book Antiqua" w:hAnsi="Book Antiqua" w:cs="Arial"/>
        </w:rPr>
        <w:t xml:space="preserve"> due to her ability to meet the family life Immigration Rules. A neutral factor is that the first appellant speaks fluent English, and against her is that there is no evidence that she is self-supporting.</w:t>
      </w:r>
      <w:r w:rsidR="008945F3">
        <w:rPr>
          <w:rFonts w:ascii="Book Antiqua" w:hAnsi="Book Antiqua" w:cs="Arial"/>
        </w:rPr>
        <w:t xml:space="preserve"> Only little weight can be given in her favour to her private life ties to the UK as these have all been made whilst she has been unlawfully present. </w:t>
      </w:r>
      <w:r w:rsidR="00CF062E">
        <w:rPr>
          <w:rFonts w:ascii="Book Antiqua" w:hAnsi="Book Antiqua" w:cs="Arial"/>
        </w:rPr>
        <w:t xml:space="preserve"> I find however that she is integrated into society in the UK, and that</w:t>
      </w:r>
      <w:r w:rsidR="008945F3">
        <w:rPr>
          <w:rFonts w:ascii="Book Antiqua" w:hAnsi="Book Antiqua" w:cs="Arial"/>
        </w:rPr>
        <w:t xml:space="preserve"> ultimately on consideration of the totality of the evidence</w:t>
      </w:r>
      <w:r w:rsidR="00CF062E">
        <w:rPr>
          <w:rFonts w:ascii="Book Antiqua" w:hAnsi="Book Antiqua" w:cs="Arial"/>
        </w:rPr>
        <w:t xml:space="preserve"> she is entitled to succeed in her appeal on Article 8 ECHR grounds as her removal would be a disproportionate interference with her right to respect to family life with the third appellant.</w:t>
      </w:r>
    </w:p>
    <w:p w:rsidR="00501F8A" w:rsidRPr="00501F8A" w:rsidRDefault="00CF062E"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lastRenderedPageBreak/>
        <w:t>This leave</w:t>
      </w:r>
      <w:r w:rsidR="008945F3">
        <w:rPr>
          <w:rFonts w:ascii="Book Antiqua" w:hAnsi="Book Antiqua" w:cs="Arial"/>
        </w:rPr>
        <w:t>s</w:t>
      </w:r>
      <w:r>
        <w:rPr>
          <w:rFonts w:ascii="Book Antiqua" w:hAnsi="Book Antiqua" w:cs="Arial"/>
        </w:rPr>
        <w:t xml:space="preserve"> the appeal of the second appellant </w:t>
      </w:r>
      <w:r w:rsidR="00CC34F5">
        <w:rPr>
          <w:rFonts w:ascii="Book Antiqua" w:hAnsi="Book Antiqua" w:cs="Arial"/>
        </w:rPr>
        <w:t xml:space="preserve">to be determined. The second appellant is 22 years old and live with the first and third appellants, having entered the UK when she was 12 years old. I find that she has family life ties with the first and third appellants, as I find that she has not moved on to </w:t>
      </w:r>
      <w:proofErr w:type="gramStart"/>
      <w:r w:rsidR="00CC34F5">
        <w:rPr>
          <w:rFonts w:ascii="Book Antiqua" w:hAnsi="Book Antiqua" w:cs="Arial"/>
        </w:rPr>
        <w:t>found</w:t>
      </w:r>
      <w:proofErr w:type="gramEnd"/>
      <w:r w:rsidR="00CC34F5">
        <w:rPr>
          <w:rFonts w:ascii="Book Antiqua" w:hAnsi="Book Antiqua" w:cs="Arial"/>
        </w:rPr>
        <w:t xml:space="preserve"> a family of her own or establish an independent life</w:t>
      </w:r>
      <w:r w:rsidR="008945F3">
        <w:rPr>
          <w:rFonts w:ascii="Book Antiqua" w:hAnsi="Book Antiqua" w:cs="Arial"/>
        </w:rPr>
        <w:t>. I find that she</w:t>
      </w:r>
      <w:r w:rsidR="00CC34F5">
        <w:rPr>
          <w:rFonts w:ascii="Book Antiqua" w:hAnsi="Book Antiqua" w:cs="Arial"/>
        </w:rPr>
        <w:t xml:space="preserve"> is more than normally financially and emotionally dependent on them</w:t>
      </w:r>
      <w:r w:rsidR="00501F8A">
        <w:rPr>
          <w:rFonts w:ascii="Book Antiqua" w:hAnsi="Book Antiqua" w:cs="Arial"/>
        </w:rPr>
        <w:t xml:space="preserve">, and they on her due to their medical issues: the first appellant having high blood pressure and the third appellant potentially </w:t>
      </w:r>
      <w:proofErr w:type="gramStart"/>
      <w:r w:rsidR="00501F8A">
        <w:rPr>
          <w:rFonts w:ascii="Book Antiqua" w:hAnsi="Book Antiqua" w:cs="Arial"/>
        </w:rPr>
        <w:t>life threatening</w:t>
      </w:r>
      <w:proofErr w:type="gramEnd"/>
      <w:r w:rsidR="00501F8A">
        <w:rPr>
          <w:rFonts w:ascii="Book Antiqua" w:hAnsi="Book Antiqua" w:cs="Arial"/>
        </w:rPr>
        <w:t xml:space="preserve"> sickle cell disease</w:t>
      </w:r>
      <w:r w:rsidR="00CC34F5">
        <w:rPr>
          <w:rFonts w:ascii="Book Antiqua" w:hAnsi="Book Antiqua" w:cs="Arial"/>
        </w:rPr>
        <w:t xml:space="preserve">. Like the </w:t>
      </w:r>
      <w:r w:rsidR="008945F3">
        <w:rPr>
          <w:rFonts w:ascii="Book Antiqua" w:hAnsi="Book Antiqua" w:cs="Arial"/>
        </w:rPr>
        <w:t>other</w:t>
      </w:r>
      <w:r w:rsidR="00CC34F5">
        <w:rPr>
          <w:rFonts w:ascii="Book Antiqua" w:hAnsi="Book Antiqua" w:cs="Arial"/>
        </w:rPr>
        <w:t xml:space="preserve"> appellant</w:t>
      </w:r>
      <w:r w:rsidR="008945F3">
        <w:rPr>
          <w:rFonts w:ascii="Book Antiqua" w:hAnsi="Book Antiqua" w:cs="Arial"/>
        </w:rPr>
        <w:t>s</w:t>
      </w:r>
      <w:r w:rsidR="00CC34F5">
        <w:rPr>
          <w:rFonts w:ascii="Book Antiqua" w:hAnsi="Book Antiqua" w:cs="Arial"/>
        </w:rPr>
        <w:t xml:space="preserve"> she </w:t>
      </w:r>
      <w:r w:rsidR="00501F8A">
        <w:rPr>
          <w:rFonts w:ascii="Book Antiqua" w:hAnsi="Book Antiqua" w:cs="Arial"/>
        </w:rPr>
        <w:t>had a traumatic early family life in Nigeria due to her father’s violence to the first appellant</w:t>
      </w:r>
      <w:r w:rsidR="008945F3">
        <w:rPr>
          <w:rFonts w:ascii="Book Antiqua" w:hAnsi="Book Antiqua" w:cs="Arial"/>
        </w:rPr>
        <w:t>,</w:t>
      </w:r>
      <w:r w:rsidR="00501F8A">
        <w:rPr>
          <w:rFonts w:ascii="Book Antiqua" w:hAnsi="Book Antiqua" w:cs="Arial"/>
        </w:rPr>
        <w:t xml:space="preserve"> her mother, making her current family life ties all the more strong and vital to her at the current time</w:t>
      </w:r>
      <w:r w:rsidR="008945F3">
        <w:rPr>
          <w:rFonts w:ascii="Book Antiqua" w:hAnsi="Book Antiqua" w:cs="Arial"/>
        </w:rPr>
        <w:t xml:space="preserve"> despite the fact she is now a young woman rather than a child</w:t>
      </w:r>
      <w:r w:rsidR="00501F8A">
        <w:rPr>
          <w:rFonts w:ascii="Book Antiqua" w:hAnsi="Book Antiqua" w:cs="Arial"/>
        </w:rPr>
        <w:t>. She also has strong private life ties with the UK having grown up in this country over the past 10 years, with six of those years being ones when she was a child and adolescent.  If she were required to leave this would also separate her from all of her friends, and her strong community ties which she has established through her church membership and voluntary work.</w:t>
      </w:r>
      <w:r>
        <w:rPr>
          <w:rFonts w:ascii="Book Antiqua" w:hAnsi="Book Antiqua" w:cs="Arial"/>
        </w:rPr>
        <w:t xml:space="preserve"> </w:t>
      </w:r>
      <w:r w:rsidR="00501F8A">
        <w:rPr>
          <w:rFonts w:ascii="Book Antiqua" w:hAnsi="Book Antiqua" w:cs="Arial"/>
        </w:rPr>
        <w:t xml:space="preserve">I find therefore that removal would interfere with the second appellant’s family and private life ties to the UK. </w:t>
      </w:r>
    </w:p>
    <w:p w:rsidR="00C873B7" w:rsidRPr="00842B4E" w:rsidRDefault="00501F8A"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In terms of the proportionality assessment against her is the fact that she cannot meet the requirements of the Immigration Rules, and weight must be given to the public interest in the maintenance of immigration control and the removal of those who do not meet the requirements of the Immigration Rules in accordance with s.117</w:t>
      </w:r>
      <w:proofErr w:type="gramStart"/>
      <w:r>
        <w:rPr>
          <w:rFonts w:ascii="Book Antiqua" w:hAnsi="Book Antiqua" w:cs="Arial"/>
        </w:rPr>
        <w:t>B(</w:t>
      </w:r>
      <w:proofErr w:type="gramEnd"/>
      <w:r>
        <w:rPr>
          <w:rFonts w:ascii="Book Antiqua" w:hAnsi="Book Antiqua" w:cs="Arial"/>
        </w:rPr>
        <w:t>1) of the Nationality, Immigration and Asylum Act 2002. It is further against this appellant that she is not currently self-supporting, although it is likely that she will become so when she has finished her degree studies in a few years</w:t>
      </w:r>
      <w:r w:rsidR="007A3E9C">
        <w:rPr>
          <w:rFonts w:ascii="Book Antiqua" w:hAnsi="Book Antiqua" w:cs="Arial"/>
        </w:rPr>
        <w:t>’</w:t>
      </w:r>
      <w:r>
        <w:rPr>
          <w:rFonts w:ascii="Book Antiqua" w:hAnsi="Book Antiqua" w:cs="Arial"/>
        </w:rPr>
        <w:t xml:space="preserve"> time.</w:t>
      </w:r>
      <w:r w:rsidR="007A3E9C">
        <w:rPr>
          <w:rFonts w:ascii="Book Antiqua" w:hAnsi="Book Antiqua" w:cs="Arial"/>
        </w:rPr>
        <w:t xml:space="preserve"> It is a neutral factor that she speaks fluent English and is integrated in the UK.</w:t>
      </w:r>
      <w:r>
        <w:rPr>
          <w:rFonts w:ascii="Book Antiqua" w:hAnsi="Book Antiqua" w:cs="Arial"/>
        </w:rPr>
        <w:t xml:space="preserve"> In her favour is the little weigh I am permitted to give to her extensive private life ties</w:t>
      </w:r>
      <w:r w:rsidR="007A3E9C">
        <w:rPr>
          <w:rFonts w:ascii="Book Antiqua" w:hAnsi="Book Antiqua" w:cs="Arial"/>
        </w:rPr>
        <w:t xml:space="preserve"> in accordance with s.117B(4) of the Nationality, Immigration and Asylum Act 2002</w:t>
      </w:r>
      <w:r>
        <w:rPr>
          <w:rFonts w:ascii="Book Antiqua" w:hAnsi="Book Antiqua" w:cs="Arial"/>
        </w:rPr>
        <w:t>, and also the weigh that I find that I can give to her family life ties in the exceptional circumstances of this case whereby the rest of her nuclear family are entitled to remain under the Immigration Rules</w:t>
      </w:r>
      <w:r w:rsidR="007A3E9C">
        <w:rPr>
          <w:rFonts w:ascii="Book Antiqua" w:hAnsi="Book Antiqua" w:cs="Arial"/>
        </w:rPr>
        <w:t xml:space="preserve">; the fact that these family ties </w:t>
      </w:r>
      <w:r w:rsidR="008945F3">
        <w:rPr>
          <w:rFonts w:ascii="Book Antiqua" w:hAnsi="Book Antiqua" w:cs="Arial"/>
        </w:rPr>
        <w:t>in</w:t>
      </w:r>
      <w:r w:rsidR="007A3E9C">
        <w:rPr>
          <w:rFonts w:ascii="Book Antiqua" w:hAnsi="Book Antiqua" w:cs="Arial"/>
        </w:rPr>
        <w:t xml:space="preserve"> the UK go back for a decade</w:t>
      </w:r>
      <w:r w:rsidR="008945F3">
        <w:rPr>
          <w:rFonts w:ascii="Book Antiqua" w:hAnsi="Book Antiqua" w:cs="Arial"/>
        </w:rPr>
        <w:t xml:space="preserve"> -</w:t>
      </w:r>
      <w:r w:rsidR="007A3E9C">
        <w:rPr>
          <w:rFonts w:ascii="Book Antiqua" w:hAnsi="Book Antiqua" w:cs="Arial"/>
        </w:rPr>
        <w:t xml:space="preserve"> during the majority of this time she was a child</w:t>
      </w:r>
      <w:r w:rsidR="008945F3">
        <w:rPr>
          <w:rFonts w:ascii="Book Antiqua" w:hAnsi="Book Antiqua" w:cs="Arial"/>
        </w:rPr>
        <w:t>,</w:t>
      </w:r>
      <w:r>
        <w:rPr>
          <w:rFonts w:ascii="Book Antiqua" w:hAnsi="Book Antiqua" w:cs="Arial"/>
        </w:rPr>
        <w:t xml:space="preserve"> and where I find she needs their</w:t>
      </w:r>
      <w:r w:rsidR="007A3E9C">
        <w:rPr>
          <w:rFonts w:ascii="Book Antiqua" w:hAnsi="Book Antiqua" w:cs="Arial"/>
        </w:rPr>
        <w:t xml:space="preserve"> emotional</w:t>
      </w:r>
      <w:r>
        <w:rPr>
          <w:rFonts w:ascii="Book Antiqua" w:hAnsi="Book Antiqua" w:cs="Arial"/>
        </w:rPr>
        <w:t xml:space="preserve"> support and </w:t>
      </w:r>
      <w:r w:rsidR="007A3E9C">
        <w:rPr>
          <w:rFonts w:ascii="Book Antiqua" w:hAnsi="Book Antiqua" w:cs="Arial"/>
        </w:rPr>
        <w:t>they</w:t>
      </w:r>
      <w:r>
        <w:rPr>
          <w:rFonts w:ascii="Book Antiqua" w:hAnsi="Book Antiqua" w:cs="Arial"/>
        </w:rPr>
        <w:t xml:space="preserve"> need</w:t>
      </w:r>
      <w:r w:rsidR="007A3E9C">
        <w:rPr>
          <w:rFonts w:ascii="Book Antiqua" w:hAnsi="Book Antiqua" w:cs="Arial"/>
        </w:rPr>
        <w:t xml:space="preserve"> hers due to medical issues and the traumatic family life they all endured in Nigeria</w:t>
      </w:r>
      <w:r>
        <w:rPr>
          <w:rFonts w:ascii="Book Antiqua" w:hAnsi="Book Antiqua" w:cs="Arial"/>
        </w:rPr>
        <w:t>.</w:t>
      </w:r>
      <w:r w:rsidR="007A3E9C">
        <w:rPr>
          <w:rFonts w:ascii="Book Antiqua" w:hAnsi="Book Antiqua" w:cs="Arial"/>
        </w:rPr>
        <w:t xml:space="preserve"> It is also relevant that I do not find that she could join her brother in Nigeria as he has now left that country for an indefinite period to join his girlfriend and her family in Ghana. Although the balancing exercise i</w:t>
      </w:r>
      <w:r w:rsidR="008945F3">
        <w:rPr>
          <w:rFonts w:ascii="Book Antiqua" w:hAnsi="Book Antiqua" w:cs="Arial"/>
        </w:rPr>
        <w:t>s</w:t>
      </w:r>
      <w:r w:rsidR="007A3E9C">
        <w:rPr>
          <w:rFonts w:ascii="Book Antiqua" w:hAnsi="Book Antiqua" w:cs="Arial"/>
        </w:rPr>
        <w:t xml:space="preserve"> finely balanced</w:t>
      </w:r>
      <w:r w:rsidR="008945F3">
        <w:rPr>
          <w:rFonts w:ascii="Book Antiqua" w:hAnsi="Book Antiqua" w:cs="Arial"/>
        </w:rPr>
        <w:t xml:space="preserve"> in the second appellant’s case</w:t>
      </w:r>
      <w:r w:rsidR="007A3E9C">
        <w:rPr>
          <w:rFonts w:ascii="Book Antiqua" w:hAnsi="Book Antiqua" w:cs="Arial"/>
        </w:rPr>
        <w:t xml:space="preserve"> I conclude that it would not be proportionate to her right to respect to family and private life </w:t>
      </w:r>
      <w:r w:rsidR="008945F3">
        <w:rPr>
          <w:rFonts w:ascii="Book Antiqua" w:hAnsi="Book Antiqua" w:cs="Arial"/>
        </w:rPr>
        <w:t>for her to be removed.</w:t>
      </w:r>
      <w:r>
        <w:rPr>
          <w:rFonts w:ascii="Book Antiqua" w:hAnsi="Book Antiqua" w:cs="Arial"/>
        </w:rPr>
        <w:t xml:space="preserve"> </w:t>
      </w:r>
      <w:r w:rsidR="00CF062E">
        <w:rPr>
          <w:rFonts w:ascii="Book Antiqua" w:hAnsi="Book Antiqua" w:cs="Arial"/>
        </w:rPr>
        <w:t xml:space="preserve">  </w:t>
      </w:r>
    </w:p>
    <w:p w:rsidR="00933B65" w:rsidRDefault="00933B65" w:rsidP="00933B65">
      <w:pPr>
        <w:tabs>
          <w:tab w:val="left" w:pos="567"/>
        </w:tabs>
        <w:jc w:val="both"/>
        <w:rPr>
          <w:rFonts w:ascii="Book Antiqua" w:hAnsi="Book Antiqua" w:cs="Arial"/>
        </w:rPr>
      </w:pPr>
    </w:p>
    <w:p w:rsidR="00933B65" w:rsidRPr="00270D89" w:rsidRDefault="00933B65" w:rsidP="00933B65">
      <w:pPr>
        <w:tabs>
          <w:tab w:val="left" w:pos="567"/>
        </w:tabs>
        <w:jc w:val="both"/>
        <w:rPr>
          <w:rFonts w:ascii="Book Antiqua" w:hAnsi="Book Antiqua" w:cs="Arial"/>
          <w:u w:val="single"/>
        </w:rPr>
      </w:pPr>
      <w:r>
        <w:rPr>
          <w:rFonts w:ascii="Book Antiqua" w:hAnsi="Book Antiqua" w:cs="Arial"/>
        </w:rPr>
        <w:t xml:space="preserve">          </w:t>
      </w:r>
      <w:r w:rsidR="00270D89" w:rsidRPr="00270D89">
        <w:rPr>
          <w:rFonts w:ascii="Book Antiqua" w:hAnsi="Book Antiqua" w:cs="Arial"/>
          <w:u w:val="single"/>
        </w:rPr>
        <w:t>Decision</w:t>
      </w:r>
      <w:r w:rsidRPr="00270D89">
        <w:rPr>
          <w:rFonts w:ascii="Book Antiqua" w:hAnsi="Book Antiqua" w:cs="Arial"/>
          <w:u w:val="single"/>
        </w:rPr>
        <w:t>:</w:t>
      </w:r>
    </w:p>
    <w:p w:rsidR="00933B65" w:rsidRDefault="00933B65" w:rsidP="00933B65">
      <w:pPr>
        <w:tabs>
          <w:tab w:val="left" w:pos="567"/>
        </w:tabs>
        <w:jc w:val="both"/>
        <w:rPr>
          <w:rFonts w:ascii="Book Antiqua" w:hAnsi="Book Antiqua" w:cs="Arial"/>
        </w:rPr>
      </w:pPr>
    </w:p>
    <w:p w:rsidR="00933B65" w:rsidRDefault="00933B65" w:rsidP="00546523">
      <w:pPr>
        <w:numPr>
          <w:ilvl w:val="0"/>
          <w:numId w:val="3"/>
        </w:numPr>
        <w:tabs>
          <w:tab w:val="left" w:pos="567"/>
        </w:tabs>
        <w:jc w:val="both"/>
        <w:rPr>
          <w:rFonts w:ascii="Book Antiqua" w:hAnsi="Book Antiqua" w:cs="Arial"/>
        </w:rPr>
      </w:pPr>
      <w:r>
        <w:rPr>
          <w:rFonts w:ascii="Book Antiqua" w:hAnsi="Book Antiqua" w:cs="Arial"/>
        </w:rPr>
        <w:t xml:space="preserve">The making of the </w:t>
      </w:r>
      <w:r w:rsidR="00614E94">
        <w:rPr>
          <w:rFonts w:ascii="Book Antiqua" w:hAnsi="Book Antiqua" w:cs="Arial"/>
        </w:rPr>
        <w:t>decision</w:t>
      </w:r>
      <w:r>
        <w:rPr>
          <w:rFonts w:ascii="Book Antiqua" w:hAnsi="Book Antiqua" w:cs="Arial"/>
        </w:rPr>
        <w:t xml:space="preserve"> of the First-tier Tribunal involve</w:t>
      </w:r>
      <w:r w:rsidR="00B922E2">
        <w:rPr>
          <w:rFonts w:ascii="Book Antiqua" w:hAnsi="Book Antiqua" w:cs="Arial"/>
        </w:rPr>
        <w:t>d</w:t>
      </w:r>
      <w:r>
        <w:rPr>
          <w:rFonts w:ascii="Book Antiqua" w:hAnsi="Book Antiqua" w:cs="Arial"/>
        </w:rPr>
        <w:t xml:space="preserve"> the making of an error on a point of law.</w:t>
      </w:r>
    </w:p>
    <w:p w:rsidR="00933B65" w:rsidRDefault="00933B65" w:rsidP="00933B65">
      <w:pPr>
        <w:tabs>
          <w:tab w:val="left" w:pos="567"/>
        </w:tabs>
        <w:jc w:val="both"/>
        <w:rPr>
          <w:rFonts w:ascii="Book Antiqua" w:hAnsi="Book Antiqua" w:cs="Arial"/>
        </w:rPr>
      </w:pPr>
    </w:p>
    <w:p w:rsidR="00933B65" w:rsidRDefault="00614E94" w:rsidP="00546523">
      <w:pPr>
        <w:numPr>
          <w:ilvl w:val="0"/>
          <w:numId w:val="3"/>
        </w:numPr>
        <w:tabs>
          <w:tab w:val="left" w:pos="567"/>
        </w:tabs>
        <w:jc w:val="both"/>
        <w:rPr>
          <w:rFonts w:ascii="Book Antiqua" w:hAnsi="Book Antiqua" w:cs="Arial"/>
        </w:rPr>
      </w:pPr>
      <w:r>
        <w:rPr>
          <w:rFonts w:ascii="Book Antiqua" w:hAnsi="Book Antiqua" w:cs="Arial"/>
        </w:rPr>
        <w:t>I</w:t>
      </w:r>
      <w:r w:rsidR="00933B65">
        <w:rPr>
          <w:rFonts w:ascii="Book Antiqua" w:hAnsi="Book Antiqua" w:cs="Arial"/>
        </w:rPr>
        <w:t xml:space="preserve"> set aside</w:t>
      </w:r>
      <w:r w:rsidR="00B922E2">
        <w:rPr>
          <w:rFonts w:ascii="Book Antiqua" w:hAnsi="Book Antiqua" w:cs="Arial"/>
        </w:rPr>
        <w:t xml:space="preserve"> </w:t>
      </w:r>
      <w:r w:rsidR="00933B65">
        <w:rPr>
          <w:rFonts w:ascii="Book Antiqua" w:hAnsi="Book Antiqua" w:cs="Arial"/>
        </w:rPr>
        <w:t xml:space="preserve">the </w:t>
      </w:r>
      <w:r>
        <w:rPr>
          <w:rFonts w:ascii="Book Antiqua" w:hAnsi="Book Antiqua" w:cs="Arial"/>
        </w:rPr>
        <w:t>decision</w:t>
      </w:r>
      <w:r w:rsidR="00B922E2">
        <w:rPr>
          <w:rFonts w:ascii="Book Antiqua" w:hAnsi="Book Antiqua" w:cs="Arial"/>
        </w:rPr>
        <w:t xml:space="preserve"> of the First-tier Tribunal.</w:t>
      </w:r>
      <w:r w:rsidR="00933B65">
        <w:rPr>
          <w:rFonts w:ascii="Book Antiqua" w:hAnsi="Book Antiqua" w:cs="Arial"/>
        </w:rPr>
        <w:t xml:space="preserve"> </w:t>
      </w:r>
    </w:p>
    <w:p w:rsidR="00933B65" w:rsidRDefault="00933B65" w:rsidP="00933B65">
      <w:pPr>
        <w:tabs>
          <w:tab w:val="left" w:pos="567"/>
        </w:tabs>
        <w:jc w:val="both"/>
        <w:rPr>
          <w:rFonts w:ascii="Book Antiqua" w:hAnsi="Book Antiqua" w:cs="Arial"/>
        </w:rPr>
      </w:pPr>
    </w:p>
    <w:p w:rsidR="00933B65" w:rsidRDefault="00614E94" w:rsidP="00546523">
      <w:pPr>
        <w:numPr>
          <w:ilvl w:val="0"/>
          <w:numId w:val="3"/>
        </w:numPr>
        <w:tabs>
          <w:tab w:val="left" w:pos="567"/>
        </w:tabs>
        <w:jc w:val="both"/>
        <w:rPr>
          <w:rFonts w:ascii="Book Antiqua" w:hAnsi="Book Antiqua" w:cs="Arial"/>
        </w:rPr>
      </w:pPr>
      <w:r>
        <w:rPr>
          <w:rFonts w:ascii="Book Antiqua" w:hAnsi="Book Antiqua" w:cs="Arial"/>
        </w:rPr>
        <w:t>I</w:t>
      </w:r>
      <w:r w:rsidR="00933B65">
        <w:rPr>
          <w:rFonts w:ascii="Book Antiqua" w:hAnsi="Book Antiqua" w:cs="Arial"/>
        </w:rPr>
        <w:t xml:space="preserve"> re-make the decision</w:t>
      </w:r>
      <w:r w:rsidR="008945F3">
        <w:rPr>
          <w:rFonts w:ascii="Book Antiqua" w:hAnsi="Book Antiqua" w:cs="Arial"/>
        </w:rPr>
        <w:t>s</w:t>
      </w:r>
      <w:r w:rsidR="00933B65">
        <w:rPr>
          <w:rFonts w:ascii="Book Antiqua" w:hAnsi="Book Antiqua" w:cs="Arial"/>
        </w:rPr>
        <w:t xml:space="preserve"> in the appeal</w:t>
      </w:r>
      <w:r w:rsidR="007A3E9C">
        <w:rPr>
          <w:rFonts w:ascii="Book Antiqua" w:hAnsi="Book Antiqua" w:cs="Arial"/>
        </w:rPr>
        <w:t>s</w:t>
      </w:r>
      <w:r w:rsidR="00933B65">
        <w:rPr>
          <w:rFonts w:ascii="Book Antiqua" w:hAnsi="Book Antiqua" w:cs="Arial"/>
        </w:rPr>
        <w:t xml:space="preserve"> by allowing</w:t>
      </w:r>
      <w:r w:rsidR="00B922E2">
        <w:rPr>
          <w:rFonts w:ascii="Book Antiqua" w:hAnsi="Book Antiqua" w:cs="Arial"/>
        </w:rPr>
        <w:t xml:space="preserve"> </w:t>
      </w:r>
      <w:r w:rsidR="007A3E9C">
        <w:rPr>
          <w:rFonts w:ascii="Book Antiqua" w:hAnsi="Book Antiqua" w:cs="Arial"/>
        </w:rPr>
        <w:t>them all</w:t>
      </w:r>
      <w:r w:rsidR="00B922E2">
        <w:rPr>
          <w:rFonts w:ascii="Book Antiqua" w:hAnsi="Book Antiqua" w:cs="Arial"/>
        </w:rPr>
        <w:t xml:space="preserve"> on Article 8 ECHR grounds</w:t>
      </w:r>
      <w:r w:rsidR="00270D89">
        <w:rPr>
          <w:rFonts w:ascii="Book Antiqua" w:hAnsi="Book Antiqua" w:cs="Arial"/>
        </w:rPr>
        <w:t>.</w:t>
      </w:r>
    </w:p>
    <w:p w:rsidR="00270D89" w:rsidRDefault="00270D89" w:rsidP="00933B65">
      <w:pPr>
        <w:tabs>
          <w:tab w:val="left" w:pos="567"/>
        </w:tabs>
        <w:jc w:val="both"/>
        <w:rPr>
          <w:rFonts w:ascii="Book Antiqua" w:hAnsi="Book Antiqua" w:cs="Arial"/>
        </w:rPr>
      </w:pPr>
    </w:p>
    <w:p w:rsidR="00270D89" w:rsidRDefault="00270D89" w:rsidP="00933B65">
      <w:pPr>
        <w:tabs>
          <w:tab w:val="left" w:pos="567"/>
        </w:tabs>
        <w:jc w:val="both"/>
        <w:rPr>
          <w:rFonts w:ascii="Book Antiqua" w:hAnsi="Book Antiqua" w:cs="Arial"/>
        </w:rPr>
      </w:pPr>
    </w:p>
    <w:p w:rsidR="00546523" w:rsidRDefault="00546523" w:rsidP="00933B65">
      <w:pPr>
        <w:tabs>
          <w:tab w:val="left" w:pos="567"/>
        </w:tabs>
        <w:jc w:val="both"/>
        <w:rPr>
          <w:rFonts w:ascii="Book Antiqua" w:hAnsi="Book Antiqua" w:cs="Arial"/>
        </w:rPr>
      </w:pPr>
    </w:p>
    <w:p w:rsidR="00546523" w:rsidRDefault="00546523" w:rsidP="00933B65">
      <w:pPr>
        <w:tabs>
          <w:tab w:val="left" w:pos="567"/>
        </w:tabs>
        <w:jc w:val="both"/>
        <w:rPr>
          <w:rFonts w:ascii="Book Antiqua" w:hAnsi="Book Antiqua" w:cs="Arial"/>
        </w:rPr>
      </w:pPr>
    </w:p>
    <w:p w:rsidR="00270D89" w:rsidRDefault="00270D89" w:rsidP="00933B65">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sidR="00607ACC">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71702E">
        <w:rPr>
          <w:rFonts w:ascii="Book Antiqua" w:hAnsi="Book Antiqua" w:cs="Arial"/>
        </w:rPr>
        <w:t xml:space="preserve"> </w:t>
      </w:r>
      <w:r w:rsidR="00842B4E">
        <w:rPr>
          <w:rFonts w:ascii="Book Antiqua" w:hAnsi="Book Antiqua" w:cs="Arial"/>
        </w:rPr>
        <w:t>1</w:t>
      </w:r>
      <w:r w:rsidR="007A3E9C">
        <w:rPr>
          <w:rFonts w:ascii="Book Antiqua" w:hAnsi="Book Antiqua" w:cs="Arial"/>
        </w:rPr>
        <w:t>1</w:t>
      </w:r>
      <w:r w:rsidR="00842B4E" w:rsidRPr="00842B4E">
        <w:rPr>
          <w:rFonts w:ascii="Book Antiqua" w:hAnsi="Book Antiqua" w:cs="Arial"/>
          <w:vertAlign w:val="superscript"/>
        </w:rPr>
        <w:t>th</w:t>
      </w:r>
      <w:r w:rsidR="00842B4E">
        <w:rPr>
          <w:rFonts w:ascii="Book Antiqua" w:hAnsi="Book Antiqua" w:cs="Arial"/>
        </w:rPr>
        <w:t xml:space="preserve"> July</w:t>
      </w:r>
      <w:r w:rsidR="00027238">
        <w:rPr>
          <w:rFonts w:ascii="Book Antiqua" w:hAnsi="Book Antiqua" w:cs="Arial"/>
        </w:rPr>
        <w:t xml:space="preserve"> </w:t>
      </w:r>
      <w:r w:rsidR="0071702E">
        <w:rPr>
          <w:rFonts w:ascii="Book Antiqua" w:hAnsi="Book Antiqua" w:cs="Arial"/>
        </w:rPr>
        <w:t>201</w:t>
      </w:r>
      <w:r w:rsidR="00787B10">
        <w:rPr>
          <w:rFonts w:ascii="Book Antiqua" w:hAnsi="Book Antiqua" w:cs="Arial"/>
        </w:rPr>
        <w:t>8</w:t>
      </w:r>
    </w:p>
    <w:p w:rsidR="00270D89" w:rsidRDefault="00546523" w:rsidP="00933B65">
      <w:pPr>
        <w:tabs>
          <w:tab w:val="left" w:pos="567"/>
        </w:tabs>
        <w:jc w:val="both"/>
        <w:rPr>
          <w:rFonts w:ascii="Book Antiqua" w:hAnsi="Book Antiqua" w:cs="Arial"/>
        </w:rPr>
      </w:pPr>
      <w:r>
        <w:rPr>
          <w:rFonts w:ascii="Book Antiqua" w:hAnsi="Book Antiqua" w:cs="Arial"/>
        </w:rPr>
        <w:t>Upper Tribunal Judge Lindsley</w:t>
      </w:r>
    </w:p>
    <w:p w:rsidR="00546523" w:rsidRDefault="00546523" w:rsidP="00933B65">
      <w:pPr>
        <w:tabs>
          <w:tab w:val="left" w:pos="567"/>
        </w:tabs>
        <w:jc w:val="both"/>
        <w:rPr>
          <w:rFonts w:ascii="Book Antiqua" w:hAnsi="Book Antiqua" w:cs="Arial"/>
        </w:rPr>
      </w:pPr>
    </w:p>
    <w:p w:rsidR="00E53484" w:rsidRDefault="00E53484" w:rsidP="00933B65">
      <w:pPr>
        <w:tabs>
          <w:tab w:val="left" w:pos="567"/>
        </w:tabs>
        <w:jc w:val="both"/>
        <w:rPr>
          <w:rFonts w:ascii="Book Antiqua" w:hAnsi="Book Antiqua" w:cs="Arial"/>
        </w:rPr>
      </w:pPr>
    </w:p>
    <w:p w:rsidR="00E53484" w:rsidRDefault="00E53484" w:rsidP="00933B65">
      <w:pPr>
        <w:tabs>
          <w:tab w:val="left" w:pos="567"/>
        </w:tabs>
        <w:jc w:val="both"/>
        <w:rPr>
          <w:rFonts w:ascii="Book Antiqua" w:hAnsi="Book Antiqua" w:cs="Arial"/>
        </w:rPr>
      </w:pPr>
    </w:p>
    <w:p w:rsidR="00546523" w:rsidRPr="00614E94" w:rsidRDefault="00546523" w:rsidP="00546523">
      <w:pPr>
        <w:tabs>
          <w:tab w:val="left" w:pos="567"/>
        </w:tabs>
        <w:jc w:val="both"/>
        <w:rPr>
          <w:rFonts w:ascii="Book Antiqua" w:hAnsi="Book Antiqua" w:cs="Arial"/>
          <w:i/>
        </w:rPr>
      </w:pPr>
      <w:r w:rsidRPr="00557A4C">
        <w:rPr>
          <w:rFonts w:ascii="Book Antiqua" w:hAnsi="Book Antiqua" w:cs="Arial"/>
          <w:u w:val="single"/>
        </w:rPr>
        <w:t>Fee Award</w:t>
      </w:r>
      <w:r w:rsidRPr="00614E94">
        <w:rPr>
          <w:rFonts w:ascii="Book Antiqua" w:hAnsi="Book Antiqua" w:cs="Arial"/>
          <w:i/>
        </w:rPr>
        <w:t xml:space="preserve"> </w:t>
      </w:r>
      <w:r>
        <w:rPr>
          <w:rFonts w:ascii="Book Antiqua" w:hAnsi="Book Antiqua" w:cs="Arial"/>
          <w:i/>
        </w:rPr>
        <w:tab/>
      </w:r>
      <w:r>
        <w:rPr>
          <w:rFonts w:ascii="Book Antiqua" w:hAnsi="Book Antiqua" w:cs="Arial"/>
          <w:i/>
        </w:rPr>
        <w:tab/>
      </w:r>
      <w:r w:rsidRPr="0057020B">
        <w:rPr>
          <w:rFonts w:ascii="Book Antiqua" w:hAnsi="Book Antiqua" w:cs="Arial"/>
        </w:rPr>
        <w:t xml:space="preserve">Note: this is </w:t>
      </w:r>
      <w:r w:rsidRPr="0057020B">
        <w:rPr>
          <w:rFonts w:ascii="Book Antiqua" w:hAnsi="Book Antiqua" w:cs="Arial"/>
          <w:b/>
        </w:rPr>
        <w:t>not</w:t>
      </w:r>
      <w:r w:rsidRPr="0057020B">
        <w:rPr>
          <w:rFonts w:ascii="Book Antiqua" w:hAnsi="Book Antiqua" w:cs="Arial"/>
        </w:rPr>
        <w:t xml:space="preserve"> part of the determination.</w:t>
      </w:r>
    </w:p>
    <w:p w:rsidR="00546523" w:rsidRDefault="00546523" w:rsidP="00546523">
      <w:pPr>
        <w:tabs>
          <w:tab w:val="left" w:pos="567"/>
        </w:tabs>
        <w:jc w:val="both"/>
        <w:rPr>
          <w:rFonts w:ascii="Book Antiqua" w:hAnsi="Book Antiqua" w:cs="Arial"/>
        </w:rPr>
      </w:pPr>
    </w:p>
    <w:p w:rsidR="00546523" w:rsidRDefault="00546523" w:rsidP="00546523">
      <w:pPr>
        <w:tabs>
          <w:tab w:val="left" w:pos="567"/>
        </w:tabs>
        <w:ind w:left="567"/>
        <w:jc w:val="both"/>
        <w:rPr>
          <w:rFonts w:ascii="Book Antiqua" w:hAnsi="Book Antiqua" w:cs="Arial"/>
        </w:rPr>
      </w:pPr>
      <w:r>
        <w:rPr>
          <w:rFonts w:ascii="Book Antiqua" w:hAnsi="Book Antiqua" w:cs="Arial"/>
        </w:rPr>
        <w:t xml:space="preserve">In the light of my decision to re-make the decision in the appeal by allowing it, I have considered whether to make a fee award. </w:t>
      </w:r>
      <w:r w:rsidR="00B922E2">
        <w:rPr>
          <w:rFonts w:ascii="Book Antiqua" w:hAnsi="Book Antiqua" w:cs="Arial"/>
        </w:rPr>
        <w:t>I</w:t>
      </w:r>
      <w:r>
        <w:rPr>
          <w:rFonts w:ascii="Book Antiqua" w:hAnsi="Book Antiqua" w:cs="Arial"/>
        </w:rPr>
        <w:t xml:space="preserve"> have had regard to the Joint Presidential Guidance Note: Fee Awards in Immigration Appeals. I have decided to make a whole fee award</w:t>
      </w:r>
      <w:r w:rsidR="00B922E2">
        <w:rPr>
          <w:rFonts w:ascii="Book Antiqua" w:hAnsi="Book Antiqua" w:cs="Arial"/>
        </w:rPr>
        <w:t xml:space="preserve"> </w:t>
      </w:r>
      <w:r>
        <w:rPr>
          <w:rFonts w:ascii="Book Antiqua" w:hAnsi="Book Antiqua" w:cs="Arial"/>
        </w:rPr>
        <w:t>because</w:t>
      </w:r>
      <w:r w:rsidR="00B14E18">
        <w:rPr>
          <w:rFonts w:ascii="Book Antiqua" w:hAnsi="Book Antiqua" w:cs="Arial"/>
        </w:rPr>
        <w:t xml:space="preserve"> the</w:t>
      </w:r>
      <w:r w:rsidR="007A3E9C">
        <w:rPr>
          <w:rFonts w:ascii="Book Antiqua" w:hAnsi="Book Antiqua" w:cs="Arial"/>
        </w:rPr>
        <w:t xml:space="preserve"> key information </w:t>
      </w:r>
      <w:r w:rsidR="00B14E18">
        <w:rPr>
          <w:rFonts w:ascii="Book Antiqua" w:hAnsi="Book Antiqua" w:cs="Arial"/>
        </w:rPr>
        <w:t>supporting</w:t>
      </w:r>
      <w:r w:rsidR="007A3E9C">
        <w:rPr>
          <w:rFonts w:ascii="Book Antiqua" w:hAnsi="Book Antiqua" w:cs="Arial"/>
        </w:rPr>
        <w:t xml:space="preserve"> documentation which led to this appeal being</w:t>
      </w:r>
      <w:r w:rsidR="00B14E18">
        <w:rPr>
          <w:rFonts w:ascii="Book Antiqua" w:hAnsi="Book Antiqua" w:cs="Arial"/>
        </w:rPr>
        <w:t xml:space="preserve"> allowed</w:t>
      </w:r>
      <w:r w:rsidR="007A3E9C">
        <w:rPr>
          <w:rFonts w:ascii="Book Antiqua" w:hAnsi="Book Antiqua" w:cs="Arial"/>
        </w:rPr>
        <w:t xml:space="preserve"> was provided to the respondent in the representations made by Adel Jibs &amp; Co Solicitors dated 27</w:t>
      </w:r>
      <w:r w:rsidR="007A3E9C" w:rsidRPr="007A3E9C">
        <w:rPr>
          <w:rFonts w:ascii="Book Antiqua" w:hAnsi="Book Antiqua" w:cs="Arial"/>
          <w:vertAlign w:val="superscript"/>
        </w:rPr>
        <w:t>th</w:t>
      </w:r>
      <w:r w:rsidR="007A3E9C">
        <w:rPr>
          <w:rFonts w:ascii="Book Antiqua" w:hAnsi="Book Antiqua" w:cs="Arial"/>
        </w:rPr>
        <w:t xml:space="preserve"> November 2015. </w:t>
      </w:r>
    </w:p>
    <w:p w:rsidR="00546523" w:rsidRDefault="00546523" w:rsidP="00933B65">
      <w:pPr>
        <w:tabs>
          <w:tab w:val="left" w:pos="567"/>
        </w:tabs>
        <w:jc w:val="both"/>
        <w:rPr>
          <w:rFonts w:ascii="Book Antiqua" w:hAnsi="Book Antiqua" w:cs="Arial"/>
        </w:rPr>
      </w:pPr>
    </w:p>
    <w:p w:rsidR="00546523" w:rsidRDefault="00546523" w:rsidP="00546523">
      <w:pPr>
        <w:tabs>
          <w:tab w:val="left" w:pos="567"/>
        </w:tabs>
        <w:jc w:val="both"/>
        <w:rPr>
          <w:rFonts w:ascii="Book Antiqua" w:hAnsi="Book Antiqua" w:cs="Arial"/>
        </w:rPr>
      </w:pPr>
      <w:r>
        <w:rPr>
          <w:rFonts w:ascii="Book Antiqua" w:hAnsi="Book Antiqua" w:cs="Arial"/>
        </w:rPr>
        <w:t xml:space="preserve">Signed: </w:t>
      </w:r>
      <w:r w:rsidR="00607ACC">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7A3E9C">
        <w:rPr>
          <w:rFonts w:ascii="Book Antiqua" w:hAnsi="Book Antiqua" w:cs="Arial"/>
        </w:rPr>
        <w:t>11</w:t>
      </w:r>
      <w:r w:rsidR="007A3E9C" w:rsidRPr="007A3E9C">
        <w:rPr>
          <w:rFonts w:ascii="Book Antiqua" w:hAnsi="Book Antiqua" w:cs="Arial"/>
          <w:vertAlign w:val="superscript"/>
        </w:rPr>
        <w:t>th</w:t>
      </w:r>
      <w:r w:rsidR="007A3E9C">
        <w:rPr>
          <w:rFonts w:ascii="Book Antiqua" w:hAnsi="Book Antiqua" w:cs="Arial"/>
        </w:rPr>
        <w:t xml:space="preserve"> July 2018</w:t>
      </w:r>
    </w:p>
    <w:p w:rsidR="00546523" w:rsidRDefault="00546523" w:rsidP="00546523">
      <w:pPr>
        <w:tabs>
          <w:tab w:val="left" w:pos="567"/>
        </w:tabs>
        <w:jc w:val="both"/>
        <w:rPr>
          <w:rFonts w:ascii="Book Antiqua" w:hAnsi="Book Antiqua" w:cs="Arial"/>
        </w:rPr>
      </w:pPr>
      <w:r>
        <w:rPr>
          <w:rFonts w:ascii="Book Antiqua" w:hAnsi="Book Antiqua" w:cs="Arial"/>
        </w:rPr>
        <w:t>Upper Tribunal Judge Lindsley</w:t>
      </w:r>
    </w:p>
    <w:p w:rsidR="00546523" w:rsidRDefault="00546523" w:rsidP="00933B65">
      <w:pPr>
        <w:tabs>
          <w:tab w:val="left" w:pos="567"/>
        </w:tabs>
        <w:jc w:val="both"/>
        <w:rPr>
          <w:rFonts w:ascii="Book Antiqua" w:hAnsi="Book Antiqua" w:cs="Arial"/>
        </w:rPr>
      </w:pPr>
    </w:p>
    <w:p w:rsidR="00933B65" w:rsidRDefault="00933B65" w:rsidP="00933B65">
      <w:pPr>
        <w:tabs>
          <w:tab w:val="left" w:pos="567"/>
        </w:tabs>
        <w:jc w:val="both"/>
        <w:rPr>
          <w:rFonts w:ascii="Book Antiqua" w:hAnsi="Book Antiqua" w:cs="Arial"/>
        </w:rPr>
      </w:pPr>
    </w:p>
    <w:p w:rsidR="00933B65" w:rsidRDefault="00933B65" w:rsidP="008832E8">
      <w:pPr>
        <w:tabs>
          <w:tab w:val="left" w:pos="567"/>
        </w:tabs>
        <w:ind w:left="567"/>
        <w:jc w:val="both"/>
        <w:rPr>
          <w:rFonts w:ascii="Book Antiqua" w:hAnsi="Book Antiqua" w:cs="Arial"/>
        </w:rPr>
      </w:pPr>
      <w:r>
        <w:rPr>
          <w:rFonts w:ascii="Book Antiqua" w:hAnsi="Book Antiqua" w:cs="Arial"/>
        </w:rPr>
        <w:tab/>
      </w:r>
    </w:p>
    <w:p w:rsidR="008832E8" w:rsidRDefault="008832E8" w:rsidP="00933B65">
      <w:pPr>
        <w:tabs>
          <w:tab w:val="left" w:pos="567"/>
        </w:tabs>
        <w:ind w:left="567"/>
        <w:jc w:val="both"/>
        <w:rPr>
          <w:rFonts w:ascii="Book Antiqua" w:hAnsi="Book Antiqua" w:cs="Arial"/>
        </w:rPr>
      </w:pPr>
    </w:p>
    <w:sectPr w:rsidR="008832E8"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70C" w:rsidRDefault="004B470C">
      <w:r>
        <w:separator/>
      </w:r>
    </w:p>
  </w:endnote>
  <w:endnote w:type="continuationSeparator" w:id="0">
    <w:p w:rsidR="004B470C" w:rsidRDefault="004B4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8C6302">
      <w:rPr>
        <w:rStyle w:val="PageNumber"/>
        <w:rFonts w:ascii="Arial" w:hAnsi="Arial" w:cs="Arial"/>
        <w:noProof/>
        <w:sz w:val="16"/>
        <w:szCs w:val="16"/>
      </w:rPr>
      <w:t>8</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614E94" w:rsidP="00614E94">
    <w:pPr>
      <w:jc w:val="center"/>
      <w:rPr>
        <w:rFonts w:ascii="Arial" w:hAnsi="Arial" w:cs="Arial"/>
        <w:b/>
      </w:rPr>
    </w:pPr>
    <w:r w:rsidRPr="00090CF9">
      <w:rPr>
        <w:rFonts w:ascii="Arial" w:hAnsi="Arial" w:cs="Arial"/>
        <w:b/>
        <w:spacing w:val="-6"/>
      </w:rPr>
      <w:t>©</w:t>
    </w:r>
    <w:r w:rsidR="001F5280">
      <w:rPr>
        <w:rFonts w:ascii="Arial" w:hAnsi="Arial" w:cs="Arial"/>
        <w:b/>
      </w:rPr>
      <w:t xml:space="preserve"> CROWN COPYRIGHT 201</w:t>
    </w:r>
    <w:r w:rsidR="00787B10">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70C" w:rsidRDefault="004B470C">
      <w:r>
        <w:separator/>
      </w:r>
    </w:p>
  </w:footnote>
  <w:footnote w:type="continuationSeparator" w:id="0">
    <w:p w:rsidR="004B470C" w:rsidRDefault="004B4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27D" w:rsidRPr="000E79B1" w:rsidRDefault="0016227D" w:rsidP="000E79B1">
    <w:pPr>
      <w:tabs>
        <w:tab w:val="right" w:pos="9720"/>
      </w:tabs>
      <w:ind w:right="-82"/>
      <w:jc w:val="right"/>
      <w:rPr>
        <w:rFonts w:ascii="Book Antiqua" w:hAnsi="Book Antiqua" w:cs="Arial"/>
        <w:color w:val="000000"/>
        <w:sz w:val="20"/>
        <w:szCs w:val="20"/>
      </w:rPr>
    </w:pPr>
    <w:r w:rsidRPr="000E79B1">
      <w:rPr>
        <w:rFonts w:ascii="Book Antiqua" w:hAnsi="Book Antiqua" w:cs="Arial"/>
        <w:color w:val="000000"/>
        <w:sz w:val="20"/>
        <w:szCs w:val="20"/>
      </w:rPr>
      <w:t>Appeal Number: HU/11255/2016,</w:t>
    </w:r>
  </w:p>
  <w:p w:rsidR="0016227D" w:rsidRPr="000E79B1" w:rsidRDefault="0016227D" w:rsidP="000E79B1">
    <w:pPr>
      <w:tabs>
        <w:tab w:val="right" w:pos="9720"/>
      </w:tabs>
      <w:ind w:right="-82"/>
      <w:jc w:val="right"/>
      <w:rPr>
        <w:rFonts w:ascii="Book Antiqua" w:hAnsi="Book Antiqua" w:cs="Arial"/>
        <w:color w:val="000000"/>
        <w:sz w:val="20"/>
        <w:szCs w:val="20"/>
      </w:rPr>
    </w:pPr>
    <w:r w:rsidRPr="000E79B1">
      <w:rPr>
        <w:rFonts w:ascii="Book Antiqua" w:hAnsi="Book Antiqua" w:cs="Arial"/>
        <w:color w:val="000000"/>
        <w:sz w:val="20"/>
        <w:szCs w:val="20"/>
      </w:rPr>
      <w:t>HU/12808/2016</w:t>
    </w:r>
  </w:p>
  <w:p w:rsidR="0016227D" w:rsidRPr="000E79B1" w:rsidRDefault="0016227D" w:rsidP="000E79B1">
    <w:pPr>
      <w:tabs>
        <w:tab w:val="right" w:pos="9720"/>
      </w:tabs>
      <w:ind w:right="-82"/>
      <w:jc w:val="right"/>
      <w:rPr>
        <w:rFonts w:ascii="Book Antiqua" w:hAnsi="Book Antiqua" w:cs="Arial"/>
        <w:color w:val="000000"/>
        <w:sz w:val="20"/>
        <w:szCs w:val="20"/>
      </w:rPr>
    </w:pPr>
    <w:r w:rsidRPr="000E79B1">
      <w:rPr>
        <w:rFonts w:ascii="Book Antiqua" w:hAnsi="Book Antiqua" w:cs="Arial"/>
        <w:color w:val="000000"/>
        <w:sz w:val="20"/>
        <w:szCs w:val="20"/>
      </w:rPr>
      <w:t>HU/12811/2016</w:t>
    </w:r>
  </w:p>
  <w:p w:rsidR="00614E94" w:rsidRPr="000E79B1" w:rsidRDefault="00614E94" w:rsidP="000E79B1">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27238"/>
    <w:rsid w:val="00073814"/>
    <w:rsid w:val="00081ABF"/>
    <w:rsid w:val="000B7418"/>
    <w:rsid w:val="000E79B1"/>
    <w:rsid w:val="0016227D"/>
    <w:rsid w:val="001F5280"/>
    <w:rsid w:val="00266FFE"/>
    <w:rsid w:val="00270D89"/>
    <w:rsid w:val="00282753"/>
    <w:rsid w:val="00284315"/>
    <w:rsid w:val="00295AF8"/>
    <w:rsid w:val="002B4AEE"/>
    <w:rsid w:val="00306EE9"/>
    <w:rsid w:val="0035581B"/>
    <w:rsid w:val="003B5957"/>
    <w:rsid w:val="003C1BA7"/>
    <w:rsid w:val="004171D0"/>
    <w:rsid w:val="004229FB"/>
    <w:rsid w:val="004A012D"/>
    <w:rsid w:val="004B470C"/>
    <w:rsid w:val="004E3D7D"/>
    <w:rsid w:val="00501F8A"/>
    <w:rsid w:val="00532B35"/>
    <w:rsid w:val="005358CD"/>
    <w:rsid w:val="00546523"/>
    <w:rsid w:val="0057020B"/>
    <w:rsid w:val="00607ACC"/>
    <w:rsid w:val="00614E94"/>
    <w:rsid w:val="00685F6F"/>
    <w:rsid w:val="006A364A"/>
    <w:rsid w:val="006E071F"/>
    <w:rsid w:val="0071702E"/>
    <w:rsid w:val="00762444"/>
    <w:rsid w:val="00787B10"/>
    <w:rsid w:val="00794FFE"/>
    <w:rsid w:val="007A3E9C"/>
    <w:rsid w:val="007D6500"/>
    <w:rsid w:val="007E25F1"/>
    <w:rsid w:val="00816491"/>
    <w:rsid w:val="00842B4E"/>
    <w:rsid w:val="00871AF2"/>
    <w:rsid w:val="008832E8"/>
    <w:rsid w:val="0088543A"/>
    <w:rsid w:val="008945F3"/>
    <w:rsid w:val="008B75B4"/>
    <w:rsid w:val="008C6302"/>
    <w:rsid w:val="008F131A"/>
    <w:rsid w:val="00933B65"/>
    <w:rsid w:val="00957EF4"/>
    <w:rsid w:val="009701EB"/>
    <w:rsid w:val="009D7857"/>
    <w:rsid w:val="00A25E84"/>
    <w:rsid w:val="00A86A8D"/>
    <w:rsid w:val="00B14E18"/>
    <w:rsid w:val="00B649CF"/>
    <w:rsid w:val="00B922E2"/>
    <w:rsid w:val="00BB57B9"/>
    <w:rsid w:val="00C30DB1"/>
    <w:rsid w:val="00C63834"/>
    <w:rsid w:val="00C873B7"/>
    <w:rsid w:val="00CB3667"/>
    <w:rsid w:val="00CB4622"/>
    <w:rsid w:val="00CC34F5"/>
    <w:rsid w:val="00CC4BE0"/>
    <w:rsid w:val="00CF062E"/>
    <w:rsid w:val="00D36F32"/>
    <w:rsid w:val="00D77C0C"/>
    <w:rsid w:val="00E1607A"/>
    <w:rsid w:val="00E47760"/>
    <w:rsid w:val="00E53484"/>
    <w:rsid w:val="00F153D6"/>
    <w:rsid w:val="00F648C0"/>
    <w:rsid w:val="00F835FA"/>
    <w:rsid w:val="00FA0A2E"/>
    <w:rsid w:val="00FB0516"/>
    <w:rsid w:val="00FC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16A997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278C8-F01C-48A3-AF93-AE407DC68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3582</Words>
  <Characters>17049</Characters>
  <Application>Microsoft Office Word</Application>
  <DocSecurity>0</DocSecurity>
  <Lines>142</Lines>
  <Paragraphs>41</Paragraphs>
  <ScaleCrop>false</ScaleCrop>
  <Company/>
  <LinksUpToDate>false</LinksUpToDate>
  <CharactersWithSpaces>20590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2018-07-30T10:08:00Z</dcterms:created>
  <dcterms:modified xsi:type="dcterms:W3CDTF">2018-07-30T10:08:00Z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