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CBDA6" w14:textId="77777777" w:rsidR="00CB7FD7" w:rsidRPr="005951F2" w:rsidRDefault="00232F00" w:rsidP="00CB7FD7">
      <w:pPr>
        <w:jc w:val="center"/>
        <w:rPr>
          <w:rFonts w:ascii="Book Antiqua" w:hAnsi="Book Antiqua" w:cs="Arial"/>
          <w:sz w:val="16"/>
          <w:szCs w:val="16"/>
        </w:rPr>
      </w:pPr>
      <w:r w:rsidRPr="005951F2">
        <w:rPr>
          <w:noProof/>
          <w:sz w:val="16"/>
          <w:szCs w:val="16"/>
        </w:rPr>
        <w:drawing>
          <wp:inline distT="0" distB="0" distL="0" distR="0" wp14:anchorId="3E76BF53" wp14:editId="6C969AC8">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0A4409B3" w14:textId="77777777" w:rsidR="00D94AFC" w:rsidRPr="005951F2" w:rsidRDefault="00D94AFC">
      <w:pPr>
        <w:rPr>
          <w:rFonts w:ascii="Book Antiqua" w:hAnsi="Book Antiqua" w:cs="Arial"/>
          <w:sz w:val="16"/>
          <w:szCs w:val="16"/>
        </w:rPr>
      </w:pPr>
    </w:p>
    <w:p w14:paraId="6F34D6D1"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5921F201" w14:textId="77777777"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232F00" w:rsidRPr="00232F00">
        <w:rPr>
          <w:rFonts w:ascii="Book Antiqua" w:hAnsi="Book Antiqua" w:cs="Arial"/>
          <w:caps/>
        </w:rPr>
        <w:t>HU/11444/2016</w:t>
      </w:r>
      <w:bookmarkEnd w:id="0"/>
    </w:p>
    <w:p w14:paraId="064E07BA" w14:textId="77777777" w:rsidR="00C345E1" w:rsidRPr="00CE6902" w:rsidRDefault="00C345E1" w:rsidP="00C345E1">
      <w:pPr>
        <w:jc w:val="center"/>
        <w:rPr>
          <w:rFonts w:ascii="Book Antiqua" w:hAnsi="Book Antiqua" w:cs="Arial"/>
        </w:rPr>
      </w:pPr>
    </w:p>
    <w:p w14:paraId="7A8B2B9B" w14:textId="77777777" w:rsidR="00C345E1" w:rsidRPr="00CE6902" w:rsidRDefault="00C345E1" w:rsidP="00C345E1">
      <w:pPr>
        <w:jc w:val="center"/>
        <w:rPr>
          <w:rFonts w:ascii="Book Antiqua" w:hAnsi="Book Antiqua" w:cs="Arial"/>
        </w:rPr>
      </w:pPr>
    </w:p>
    <w:p w14:paraId="4814CCA0"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60FADE94" w14:textId="77777777" w:rsidR="00C345E1" w:rsidRPr="00CE6902" w:rsidRDefault="00C345E1" w:rsidP="00C345E1">
      <w:pPr>
        <w:jc w:val="center"/>
        <w:rPr>
          <w:rFonts w:ascii="Book Antiqua" w:hAnsi="Book Antiqua" w:cs="Arial"/>
          <w:b/>
          <w:u w:val="single"/>
        </w:rPr>
      </w:pPr>
    </w:p>
    <w:p w14:paraId="1339C669" w14:textId="77777777"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CE6902" w14:paraId="645B6ABE" w14:textId="77777777" w:rsidTr="0027136A">
        <w:tc>
          <w:tcPr>
            <w:tcW w:w="4957" w:type="dxa"/>
          </w:tcPr>
          <w:p w14:paraId="2A7D5A2D"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232F00">
              <w:rPr>
                <w:rFonts w:ascii="Book Antiqua" w:hAnsi="Book Antiqua" w:cs="Arial"/>
                <w:b/>
              </w:rPr>
              <w:t>Bradford</w:t>
            </w:r>
          </w:p>
        </w:tc>
        <w:tc>
          <w:tcPr>
            <w:tcW w:w="5051" w:type="dxa"/>
            <w:gridSpan w:val="2"/>
          </w:tcPr>
          <w:p w14:paraId="25F93462" w14:textId="77777777"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14:paraId="42DE5F82" w14:textId="77777777" w:rsidTr="0027136A">
        <w:tc>
          <w:tcPr>
            <w:tcW w:w="4957" w:type="dxa"/>
          </w:tcPr>
          <w:p w14:paraId="221ADE61"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232F00">
              <w:rPr>
                <w:rFonts w:ascii="Book Antiqua" w:hAnsi="Book Antiqua" w:cs="Arial"/>
                <w:b/>
              </w:rPr>
              <w:t>20</w:t>
            </w:r>
            <w:r w:rsidR="00232F00" w:rsidRPr="00232F00">
              <w:rPr>
                <w:rFonts w:ascii="Book Antiqua" w:hAnsi="Book Antiqua" w:cs="Arial"/>
                <w:b/>
                <w:vertAlign w:val="superscript"/>
              </w:rPr>
              <w:t>th</w:t>
            </w:r>
            <w:r w:rsidR="00232F00">
              <w:rPr>
                <w:rFonts w:ascii="Book Antiqua" w:hAnsi="Book Antiqua" w:cs="Arial"/>
                <w:b/>
              </w:rPr>
              <w:t xml:space="preserve"> August 2018</w:t>
            </w:r>
          </w:p>
        </w:tc>
        <w:tc>
          <w:tcPr>
            <w:tcW w:w="5051" w:type="dxa"/>
            <w:gridSpan w:val="2"/>
          </w:tcPr>
          <w:p w14:paraId="7BD20387" w14:textId="4C8C5E12" w:rsidR="00D22636" w:rsidRPr="00CE6902" w:rsidRDefault="0027136A" w:rsidP="004A1848">
            <w:pPr>
              <w:jc w:val="both"/>
              <w:rPr>
                <w:rFonts w:ascii="Book Antiqua" w:hAnsi="Book Antiqua" w:cs="Arial"/>
                <w:b/>
              </w:rPr>
            </w:pPr>
            <w:r>
              <w:rPr>
                <w:rFonts w:ascii="Book Antiqua" w:hAnsi="Book Antiqua" w:cs="Arial"/>
                <w:b/>
              </w:rPr>
              <w:t>On 0</w:t>
            </w:r>
            <w:r w:rsidR="00C0188E">
              <w:rPr>
                <w:rFonts w:ascii="Book Antiqua" w:hAnsi="Book Antiqua" w:cs="Arial"/>
                <w:b/>
              </w:rPr>
              <w:t>6</w:t>
            </w:r>
            <w:r w:rsidRPr="0027136A">
              <w:rPr>
                <w:rFonts w:ascii="Book Antiqua" w:hAnsi="Book Antiqua" w:cs="Arial"/>
                <w:b/>
                <w:vertAlign w:val="superscript"/>
              </w:rPr>
              <w:t>th</w:t>
            </w:r>
            <w:r>
              <w:rPr>
                <w:rFonts w:ascii="Book Antiqua" w:hAnsi="Book Antiqua" w:cs="Arial"/>
                <w:b/>
              </w:rPr>
              <w:t xml:space="preserve"> September 2018 </w:t>
            </w:r>
          </w:p>
        </w:tc>
      </w:tr>
      <w:tr w:rsidR="00D22636" w:rsidRPr="00CE6902" w14:paraId="5A7682B8" w14:textId="77777777" w:rsidTr="0027136A">
        <w:tc>
          <w:tcPr>
            <w:tcW w:w="6048" w:type="dxa"/>
            <w:gridSpan w:val="2"/>
          </w:tcPr>
          <w:p w14:paraId="6802D5AA" w14:textId="77777777" w:rsidR="00D22636" w:rsidRPr="00CE6902" w:rsidRDefault="00D22636" w:rsidP="004A1848">
            <w:pPr>
              <w:jc w:val="both"/>
              <w:rPr>
                <w:rFonts w:ascii="Book Antiqua" w:hAnsi="Book Antiqua" w:cs="Arial"/>
                <w:b/>
              </w:rPr>
            </w:pPr>
          </w:p>
        </w:tc>
        <w:tc>
          <w:tcPr>
            <w:tcW w:w="3960" w:type="dxa"/>
          </w:tcPr>
          <w:p w14:paraId="4FCBD9FC" w14:textId="0A6A9CD5" w:rsidR="00D22636" w:rsidRPr="00CE6902" w:rsidRDefault="00D22636" w:rsidP="004A1848">
            <w:pPr>
              <w:jc w:val="both"/>
              <w:rPr>
                <w:rFonts w:ascii="Book Antiqua" w:hAnsi="Book Antiqua" w:cs="Arial"/>
                <w:b/>
              </w:rPr>
            </w:pPr>
          </w:p>
        </w:tc>
      </w:tr>
    </w:tbl>
    <w:p w14:paraId="0F81B572" w14:textId="77777777" w:rsidR="00A15234" w:rsidRPr="00CE6902" w:rsidRDefault="00A15234" w:rsidP="00A15234">
      <w:pPr>
        <w:jc w:val="center"/>
        <w:rPr>
          <w:rFonts w:ascii="Book Antiqua" w:hAnsi="Book Antiqua" w:cs="Arial"/>
        </w:rPr>
      </w:pPr>
    </w:p>
    <w:p w14:paraId="5E701BBC"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0DE4ED1E" w14:textId="77777777" w:rsidR="00A15234" w:rsidRPr="00CE6902" w:rsidRDefault="00A15234" w:rsidP="00A15234">
      <w:pPr>
        <w:jc w:val="center"/>
        <w:rPr>
          <w:rFonts w:ascii="Book Antiqua" w:hAnsi="Book Antiqua" w:cs="Arial"/>
          <w:b/>
        </w:rPr>
      </w:pPr>
    </w:p>
    <w:p w14:paraId="22694801"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3BFC195E" w14:textId="2F2A2418" w:rsidR="00A845DC" w:rsidRDefault="00A845DC" w:rsidP="00A15234">
      <w:pPr>
        <w:jc w:val="center"/>
        <w:rPr>
          <w:rFonts w:ascii="Book Antiqua" w:hAnsi="Book Antiqua" w:cs="Arial"/>
          <w:b/>
        </w:rPr>
      </w:pPr>
    </w:p>
    <w:p w14:paraId="7EB76D9A" w14:textId="77777777" w:rsidR="005951F2" w:rsidRPr="00CE6902" w:rsidRDefault="005951F2" w:rsidP="00A15234">
      <w:pPr>
        <w:jc w:val="center"/>
        <w:rPr>
          <w:rFonts w:ascii="Book Antiqua" w:hAnsi="Book Antiqua" w:cs="Arial"/>
          <w:b/>
        </w:rPr>
      </w:pPr>
    </w:p>
    <w:p w14:paraId="5165FE2B" w14:textId="77777777"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50D49B5A" w14:textId="77777777" w:rsidR="00A845DC" w:rsidRPr="00CE6902" w:rsidRDefault="00A845DC" w:rsidP="00A15234">
      <w:pPr>
        <w:jc w:val="center"/>
        <w:rPr>
          <w:rFonts w:ascii="Book Antiqua" w:hAnsi="Book Antiqua" w:cs="Arial"/>
          <w:b/>
        </w:rPr>
      </w:pPr>
    </w:p>
    <w:p w14:paraId="07589C79" w14:textId="77777777" w:rsidR="00232F00" w:rsidRDefault="00232F00" w:rsidP="00742A8D">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1B939DAC"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091496BF"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75E7C6E5" w14:textId="77777777" w:rsidR="00DD5071" w:rsidRPr="00CE6902" w:rsidRDefault="00DD5071" w:rsidP="00704B61">
      <w:pPr>
        <w:jc w:val="center"/>
        <w:rPr>
          <w:rFonts w:ascii="Book Antiqua" w:hAnsi="Book Antiqua" w:cs="Arial"/>
          <w:b/>
        </w:rPr>
      </w:pPr>
    </w:p>
    <w:p w14:paraId="57C63128" w14:textId="601A5645" w:rsidR="00232F00" w:rsidRDefault="00232F00" w:rsidP="00232F00">
      <w:pPr>
        <w:jc w:val="center"/>
        <w:rPr>
          <w:rFonts w:ascii="Book Antiqua" w:hAnsi="Book Antiqua" w:cs="Arial"/>
          <w:b/>
          <w:caps/>
        </w:rPr>
      </w:pPr>
      <w:r w:rsidRPr="00232F00">
        <w:rPr>
          <w:rFonts w:ascii="Book Antiqua" w:hAnsi="Book Antiqua" w:cs="Arial"/>
          <w:b/>
          <w:caps/>
        </w:rPr>
        <w:t xml:space="preserve">Gina </w:t>
      </w:r>
      <w:r w:rsidR="0006352E">
        <w:rPr>
          <w:rFonts w:ascii="Book Antiqua" w:hAnsi="Book Antiqua" w:cs="Arial"/>
          <w:b/>
          <w:caps/>
        </w:rPr>
        <w:t>[</w:t>
      </w:r>
      <w:r w:rsidRPr="00232F00">
        <w:rPr>
          <w:rFonts w:ascii="Book Antiqua" w:hAnsi="Book Antiqua" w:cs="Arial"/>
          <w:b/>
          <w:caps/>
        </w:rPr>
        <w:t>P</w:t>
      </w:r>
      <w:r w:rsidR="0006352E">
        <w:rPr>
          <w:rFonts w:ascii="Book Antiqua" w:hAnsi="Book Antiqua" w:cs="Arial"/>
          <w:b/>
          <w:caps/>
        </w:rPr>
        <w:t>]</w:t>
      </w:r>
    </w:p>
    <w:p w14:paraId="6958B002" w14:textId="42E2DFDA" w:rsidR="00232F00" w:rsidRPr="005951F2" w:rsidRDefault="00232F00" w:rsidP="00232F00">
      <w:pPr>
        <w:jc w:val="center"/>
        <w:rPr>
          <w:rFonts w:ascii="Book Antiqua" w:hAnsi="Book Antiqua" w:cs="Arial"/>
          <w:b/>
          <w:caps/>
          <w:sz w:val="22"/>
        </w:rPr>
      </w:pPr>
      <w:r w:rsidRPr="005951F2">
        <w:rPr>
          <w:rFonts w:ascii="Book Antiqua" w:hAnsi="Book Antiqua" w:cs="Arial"/>
          <w:b/>
          <w:caps/>
          <w:sz w:val="22"/>
        </w:rPr>
        <w:t>(ANONYMITY DIRECTION</w:t>
      </w:r>
      <w:r w:rsidR="00B214A5" w:rsidRPr="005951F2">
        <w:rPr>
          <w:rFonts w:ascii="Book Antiqua" w:hAnsi="Book Antiqua" w:cs="Arial"/>
          <w:b/>
          <w:caps/>
          <w:sz w:val="22"/>
        </w:rPr>
        <w:t xml:space="preserve"> NOT MADE</w:t>
      </w:r>
      <w:r w:rsidR="00BA6C59" w:rsidRPr="005951F2">
        <w:rPr>
          <w:rFonts w:ascii="Book Antiqua" w:hAnsi="Book Antiqua" w:cs="Arial"/>
          <w:b/>
          <w:caps/>
          <w:sz w:val="22"/>
        </w:rPr>
        <w:t>)</w:t>
      </w:r>
    </w:p>
    <w:p w14:paraId="667543F0"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3BBC2B40" w14:textId="77777777" w:rsidR="00DD5071" w:rsidRPr="00CE6902" w:rsidRDefault="00DD5071" w:rsidP="00DD5071">
      <w:pPr>
        <w:rPr>
          <w:rFonts w:ascii="Book Antiqua" w:hAnsi="Book Antiqua" w:cs="Arial"/>
          <w:u w:val="single"/>
        </w:rPr>
      </w:pPr>
    </w:p>
    <w:p w14:paraId="3CD400A8" w14:textId="77777777" w:rsidR="00DD5071" w:rsidRPr="00CE6902" w:rsidRDefault="00DD5071" w:rsidP="00DD5071">
      <w:pPr>
        <w:rPr>
          <w:rFonts w:ascii="Book Antiqua" w:hAnsi="Book Antiqua" w:cs="Arial"/>
          <w:u w:val="single"/>
        </w:rPr>
      </w:pPr>
    </w:p>
    <w:p w14:paraId="2C29EEAC"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626FFA47" w14:textId="047E8370" w:rsidR="00DE7DB7" w:rsidRPr="00CE6902" w:rsidRDefault="00DE7DB7" w:rsidP="00FE0600">
      <w:pPr>
        <w:tabs>
          <w:tab w:val="left" w:pos="2552"/>
        </w:tabs>
        <w:rPr>
          <w:rFonts w:ascii="Book Antiqua" w:hAnsi="Book Antiqua" w:cs="Arial"/>
        </w:rPr>
      </w:pPr>
      <w:r w:rsidRPr="00CE6902">
        <w:rPr>
          <w:rFonts w:ascii="Book Antiqua" w:hAnsi="Book Antiqua" w:cs="Arial"/>
        </w:rPr>
        <w:t>For the Appellant:</w:t>
      </w:r>
      <w:r w:rsidR="00FE0600">
        <w:rPr>
          <w:rFonts w:ascii="Book Antiqua" w:hAnsi="Book Antiqua" w:cs="Arial"/>
        </w:rPr>
        <w:tab/>
      </w:r>
      <w:r w:rsidR="00232F00">
        <w:rPr>
          <w:rFonts w:ascii="Book Antiqua" w:hAnsi="Book Antiqua" w:cs="Arial"/>
        </w:rPr>
        <w:t>Mrs R Pettersen</w:t>
      </w:r>
      <w:r w:rsidR="00B214A5">
        <w:rPr>
          <w:rFonts w:ascii="Book Antiqua" w:hAnsi="Book Antiqua" w:cs="Arial"/>
        </w:rPr>
        <w:t>,</w:t>
      </w:r>
      <w:r w:rsidR="00FE0600">
        <w:rPr>
          <w:rFonts w:ascii="Book Antiqua" w:hAnsi="Book Antiqua" w:cs="Arial"/>
        </w:rPr>
        <w:t xml:space="preserve"> </w:t>
      </w:r>
      <w:r w:rsidR="00B214A5">
        <w:rPr>
          <w:rFonts w:ascii="Book Antiqua" w:hAnsi="Book Antiqua" w:cs="Arial"/>
        </w:rPr>
        <w:t>HOPO</w:t>
      </w:r>
    </w:p>
    <w:p w14:paraId="7CE16475" w14:textId="787B2189" w:rsidR="00DE7DB7" w:rsidRPr="00CE6902" w:rsidRDefault="00DE7DB7" w:rsidP="00FE0600">
      <w:pPr>
        <w:tabs>
          <w:tab w:val="left" w:pos="2552"/>
        </w:tabs>
        <w:rPr>
          <w:rFonts w:ascii="Book Antiqua" w:hAnsi="Book Antiqua" w:cs="Arial"/>
        </w:rPr>
      </w:pPr>
      <w:r w:rsidRPr="00CE6902">
        <w:rPr>
          <w:rFonts w:ascii="Book Antiqua" w:hAnsi="Book Antiqua" w:cs="Arial"/>
        </w:rPr>
        <w:t>For the Respondent:</w:t>
      </w:r>
      <w:r w:rsidR="00FE0600">
        <w:rPr>
          <w:rFonts w:ascii="Book Antiqua" w:hAnsi="Book Antiqua" w:cs="Arial"/>
        </w:rPr>
        <w:tab/>
      </w:r>
      <w:r w:rsidR="00232F00">
        <w:rPr>
          <w:rFonts w:ascii="Book Antiqua" w:hAnsi="Book Antiqua" w:cs="Arial"/>
        </w:rPr>
        <w:t xml:space="preserve">Barras White Legal Solicitors </w:t>
      </w:r>
    </w:p>
    <w:p w14:paraId="6DD7E791" w14:textId="77777777" w:rsidR="00DE7DB7" w:rsidRPr="00CE6902" w:rsidRDefault="00DE7DB7" w:rsidP="00402B9E">
      <w:pPr>
        <w:tabs>
          <w:tab w:val="left" w:pos="2520"/>
        </w:tabs>
        <w:jc w:val="center"/>
        <w:rPr>
          <w:rFonts w:ascii="Book Antiqua" w:hAnsi="Book Antiqua" w:cs="Arial"/>
        </w:rPr>
      </w:pPr>
    </w:p>
    <w:p w14:paraId="0EDBAAAD" w14:textId="77777777" w:rsidR="00DE7DB7" w:rsidRPr="00CE6902" w:rsidRDefault="00DE7DB7" w:rsidP="00402B9E">
      <w:pPr>
        <w:tabs>
          <w:tab w:val="left" w:pos="2520"/>
        </w:tabs>
        <w:jc w:val="center"/>
        <w:rPr>
          <w:rFonts w:ascii="Book Antiqua" w:hAnsi="Book Antiqua" w:cs="Arial"/>
        </w:rPr>
      </w:pPr>
    </w:p>
    <w:p w14:paraId="1C2F7236"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3FDCB7DD" w14:textId="77777777" w:rsidR="00C665DF" w:rsidRDefault="003C0117" w:rsidP="005951F2">
      <w:pPr>
        <w:numPr>
          <w:ilvl w:val="0"/>
          <w:numId w:val="3"/>
        </w:numPr>
        <w:spacing w:before="160"/>
        <w:jc w:val="both"/>
        <w:rPr>
          <w:rFonts w:ascii="Book Antiqua" w:hAnsi="Book Antiqua" w:cs="Arial"/>
        </w:rPr>
      </w:pPr>
      <w:r>
        <w:rPr>
          <w:rFonts w:ascii="Book Antiqua" w:hAnsi="Book Antiqua" w:cs="Arial"/>
        </w:rPr>
        <w:t>This is the Secretary of State’s appeal against the decision of Judge Bradshaw made following a hearing at Bradford on 20</w:t>
      </w:r>
      <w:r w:rsidRPr="003C0117">
        <w:rPr>
          <w:rFonts w:ascii="Book Antiqua" w:hAnsi="Book Antiqua" w:cs="Arial"/>
          <w:vertAlign w:val="superscript"/>
        </w:rPr>
        <w:t>th</w:t>
      </w:r>
      <w:r>
        <w:rPr>
          <w:rFonts w:ascii="Book Antiqua" w:hAnsi="Book Antiqua" w:cs="Arial"/>
        </w:rPr>
        <w:t xml:space="preserve"> June 2017.  </w:t>
      </w:r>
    </w:p>
    <w:p w14:paraId="11866A36" w14:textId="77777777" w:rsidR="003C0117" w:rsidRPr="003C0117" w:rsidRDefault="003C0117" w:rsidP="005951F2">
      <w:pPr>
        <w:spacing w:before="160"/>
        <w:jc w:val="both"/>
        <w:rPr>
          <w:rFonts w:ascii="Book Antiqua" w:hAnsi="Book Antiqua" w:cs="Arial"/>
          <w:b/>
          <w:u w:val="single"/>
        </w:rPr>
      </w:pPr>
      <w:r>
        <w:rPr>
          <w:rFonts w:ascii="Book Antiqua" w:hAnsi="Book Antiqua" w:cs="Arial"/>
          <w:b/>
          <w:u w:val="single"/>
        </w:rPr>
        <w:t>Background</w:t>
      </w:r>
    </w:p>
    <w:p w14:paraId="275E418F" w14:textId="777AA290" w:rsidR="006E4925" w:rsidRDefault="006E4925" w:rsidP="005951F2">
      <w:pPr>
        <w:numPr>
          <w:ilvl w:val="0"/>
          <w:numId w:val="3"/>
        </w:numPr>
        <w:spacing w:before="160"/>
        <w:jc w:val="both"/>
        <w:rPr>
          <w:rFonts w:ascii="Book Antiqua" w:hAnsi="Book Antiqua" w:cs="Arial"/>
        </w:rPr>
      </w:pPr>
      <w:r>
        <w:rPr>
          <w:rFonts w:ascii="Book Antiqua" w:hAnsi="Book Antiqua" w:cs="Arial"/>
        </w:rPr>
        <w:t>The claimant</w:t>
      </w:r>
      <w:r w:rsidR="003C0117">
        <w:rPr>
          <w:rFonts w:ascii="Book Antiqua" w:hAnsi="Book Antiqua" w:cs="Arial"/>
        </w:rPr>
        <w:t xml:space="preserve"> is a citizen of the USA born on 23</w:t>
      </w:r>
      <w:r w:rsidR="003C0117" w:rsidRPr="003C0117">
        <w:rPr>
          <w:rFonts w:ascii="Book Antiqua" w:hAnsi="Book Antiqua" w:cs="Arial"/>
          <w:vertAlign w:val="superscript"/>
        </w:rPr>
        <w:t>rd</w:t>
      </w:r>
      <w:r w:rsidR="003C0117">
        <w:rPr>
          <w:rFonts w:ascii="Book Antiqua" w:hAnsi="Book Antiqua" w:cs="Arial"/>
        </w:rPr>
        <w:t xml:space="preserve"> September 1981.  </w:t>
      </w:r>
    </w:p>
    <w:p w14:paraId="6CA553AF" w14:textId="6CD60B1F" w:rsidR="003C0117" w:rsidRDefault="003C0117" w:rsidP="005951F2">
      <w:pPr>
        <w:numPr>
          <w:ilvl w:val="0"/>
          <w:numId w:val="3"/>
        </w:numPr>
        <w:spacing w:before="160"/>
        <w:jc w:val="both"/>
        <w:rPr>
          <w:rFonts w:ascii="Book Antiqua" w:hAnsi="Book Antiqua" w:cs="Arial"/>
        </w:rPr>
      </w:pPr>
      <w:r>
        <w:rPr>
          <w:rFonts w:ascii="Book Antiqua" w:hAnsi="Book Antiqua" w:cs="Arial"/>
        </w:rPr>
        <w:t>She entered the UK on 31</w:t>
      </w:r>
      <w:r w:rsidRPr="003C0117">
        <w:rPr>
          <w:rFonts w:ascii="Book Antiqua" w:hAnsi="Book Antiqua" w:cs="Arial"/>
          <w:vertAlign w:val="superscript"/>
        </w:rPr>
        <w:t>st</w:t>
      </w:r>
      <w:r>
        <w:rPr>
          <w:rFonts w:ascii="Book Antiqua" w:hAnsi="Book Antiqua" w:cs="Arial"/>
        </w:rPr>
        <w:t xml:space="preserve"> July 2015 from Australia with her child</w:t>
      </w:r>
      <w:r w:rsidR="006E4925">
        <w:rPr>
          <w:rFonts w:ascii="Book Antiqua" w:hAnsi="Book Antiqua" w:cs="Arial"/>
        </w:rPr>
        <w:t>,</w:t>
      </w:r>
      <w:r>
        <w:rPr>
          <w:rFonts w:ascii="Book Antiqua" w:hAnsi="Book Antiqua" w:cs="Arial"/>
        </w:rPr>
        <w:t xml:space="preserve"> born on 7</w:t>
      </w:r>
      <w:r w:rsidRPr="003C0117">
        <w:rPr>
          <w:rFonts w:ascii="Book Antiqua" w:hAnsi="Book Antiqua" w:cs="Arial"/>
          <w:vertAlign w:val="superscript"/>
        </w:rPr>
        <w:t>th</w:t>
      </w:r>
      <w:r>
        <w:rPr>
          <w:rFonts w:ascii="Book Antiqua" w:hAnsi="Book Antiqua" w:cs="Arial"/>
        </w:rPr>
        <w:t xml:space="preserve"> March 2012</w:t>
      </w:r>
      <w:r w:rsidR="006E4925">
        <w:rPr>
          <w:rFonts w:ascii="Book Antiqua" w:hAnsi="Book Antiqua" w:cs="Arial"/>
        </w:rPr>
        <w:t>,</w:t>
      </w:r>
      <w:r>
        <w:rPr>
          <w:rFonts w:ascii="Book Antiqua" w:hAnsi="Book Antiqua" w:cs="Arial"/>
        </w:rPr>
        <w:t xml:space="preserve"> with entry clearance as a visitor valid to 31</w:t>
      </w:r>
      <w:r w:rsidRPr="003C0117">
        <w:rPr>
          <w:rFonts w:ascii="Book Antiqua" w:hAnsi="Book Antiqua" w:cs="Arial"/>
          <w:vertAlign w:val="superscript"/>
        </w:rPr>
        <w:t>st</w:t>
      </w:r>
      <w:r>
        <w:rPr>
          <w:rFonts w:ascii="Book Antiqua" w:hAnsi="Book Antiqua" w:cs="Arial"/>
        </w:rPr>
        <w:t xml:space="preserve"> January 2016.  On 28</w:t>
      </w:r>
      <w:r w:rsidRPr="003C0117">
        <w:rPr>
          <w:rFonts w:ascii="Book Antiqua" w:hAnsi="Book Antiqua" w:cs="Arial"/>
          <w:vertAlign w:val="superscript"/>
        </w:rPr>
        <w:t>th</w:t>
      </w:r>
      <w:r>
        <w:rPr>
          <w:rFonts w:ascii="Book Antiqua" w:hAnsi="Book Antiqua" w:cs="Arial"/>
        </w:rPr>
        <w:t xml:space="preserve"> January 2016 </w:t>
      </w:r>
      <w:r>
        <w:rPr>
          <w:rFonts w:ascii="Book Antiqua" w:hAnsi="Book Antiqua" w:cs="Arial"/>
        </w:rPr>
        <w:lastRenderedPageBreak/>
        <w:t>she applied for further</w:t>
      </w:r>
      <w:r w:rsidR="006E4925">
        <w:rPr>
          <w:rFonts w:ascii="Book Antiqua" w:hAnsi="Book Antiqua" w:cs="Arial"/>
        </w:rPr>
        <w:t xml:space="preserve"> leave to remain in the UK as the </w:t>
      </w:r>
      <w:r>
        <w:rPr>
          <w:rFonts w:ascii="Book Antiqua" w:hAnsi="Book Antiqua" w:cs="Arial"/>
        </w:rPr>
        <w:t xml:space="preserve">partner </w:t>
      </w:r>
      <w:r w:rsidR="000F1FA6">
        <w:rPr>
          <w:rFonts w:ascii="Book Antiqua" w:hAnsi="Book Antiqua" w:cs="Arial"/>
        </w:rPr>
        <w:t>of</w:t>
      </w:r>
      <w:r>
        <w:rPr>
          <w:rFonts w:ascii="Book Antiqua" w:hAnsi="Book Antiqua" w:cs="Arial"/>
        </w:rPr>
        <w:t xml:space="preserve"> a British citizen </w:t>
      </w:r>
      <w:r w:rsidR="0006352E">
        <w:rPr>
          <w:rFonts w:ascii="Book Antiqua" w:hAnsi="Book Antiqua" w:cs="Arial"/>
        </w:rPr>
        <w:t>[</w:t>
      </w:r>
      <w:r>
        <w:rPr>
          <w:rFonts w:ascii="Book Antiqua" w:hAnsi="Book Antiqua" w:cs="Arial"/>
        </w:rPr>
        <w:t>JM</w:t>
      </w:r>
      <w:r w:rsidR="0006352E">
        <w:rPr>
          <w:rFonts w:ascii="Book Antiqua" w:hAnsi="Book Antiqua" w:cs="Arial"/>
        </w:rPr>
        <w:t xml:space="preserve">] </w:t>
      </w:r>
      <w:r>
        <w:rPr>
          <w:rFonts w:ascii="Book Antiqua" w:hAnsi="Book Antiqua" w:cs="Arial"/>
        </w:rPr>
        <w:t>born on 28</w:t>
      </w:r>
      <w:r w:rsidRPr="003C0117">
        <w:rPr>
          <w:rFonts w:ascii="Book Antiqua" w:hAnsi="Book Antiqua" w:cs="Arial"/>
          <w:vertAlign w:val="superscript"/>
        </w:rPr>
        <w:t>th</w:t>
      </w:r>
      <w:r>
        <w:rPr>
          <w:rFonts w:ascii="Book Antiqua" w:hAnsi="Book Antiqua" w:cs="Arial"/>
        </w:rPr>
        <w:t xml:space="preserve"> April 1983 and as the parent of her British citizen child.  She was refused on 15</w:t>
      </w:r>
      <w:r w:rsidRPr="003C0117">
        <w:rPr>
          <w:rFonts w:ascii="Book Antiqua" w:hAnsi="Book Antiqua" w:cs="Arial"/>
          <w:vertAlign w:val="superscript"/>
        </w:rPr>
        <w:t>th</w:t>
      </w:r>
      <w:r>
        <w:rPr>
          <w:rFonts w:ascii="Book Antiqua" w:hAnsi="Book Antiqua" w:cs="Arial"/>
        </w:rPr>
        <w:t xml:space="preserve"> April 2016 and her appeal then came before Judge Bradshaw.  </w:t>
      </w:r>
    </w:p>
    <w:p w14:paraId="60EDEEA9" w14:textId="5B8938C4" w:rsidR="006E4925" w:rsidRDefault="003C0117" w:rsidP="005951F2">
      <w:pPr>
        <w:numPr>
          <w:ilvl w:val="0"/>
          <w:numId w:val="3"/>
        </w:numPr>
        <w:spacing w:before="160"/>
        <w:jc w:val="both"/>
        <w:rPr>
          <w:rFonts w:ascii="Book Antiqua" w:hAnsi="Book Antiqua" w:cs="Arial"/>
        </w:rPr>
      </w:pPr>
      <w:r>
        <w:rPr>
          <w:rFonts w:ascii="Book Antiqua" w:hAnsi="Book Antiqua" w:cs="Arial"/>
        </w:rPr>
        <w:t>Judge Bradshaw recorded that the claimant was very emotional and upset and her evidence was somewhat chaotic.  Basically</w:t>
      </w:r>
      <w:r w:rsidR="00AD09C4">
        <w:rPr>
          <w:rFonts w:ascii="Book Antiqua" w:hAnsi="Book Antiqua" w:cs="Arial"/>
        </w:rPr>
        <w:t>,</w:t>
      </w:r>
      <w:r>
        <w:rPr>
          <w:rFonts w:ascii="Book Antiqua" w:hAnsi="Book Antiqua" w:cs="Arial"/>
        </w:rPr>
        <w:t xml:space="preserve"> she has had a drug problem from the age of 24, was clean after a year and has been receiving treatment since.  Her partner also developed a drug problem, whilst the couple were living together in the US</w:t>
      </w:r>
      <w:r w:rsidR="000F1FA6">
        <w:rPr>
          <w:rFonts w:ascii="Book Antiqua" w:hAnsi="Book Antiqua" w:cs="Arial"/>
        </w:rPr>
        <w:t>,</w:t>
      </w:r>
      <w:r>
        <w:rPr>
          <w:rFonts w:ascii="Book Antiqua" w:hAnsi="Book Antiqua" w:cs="Arial"/>
        </w:rPr>
        <w:t xml:space="preserve"> and they decided that it was best for the family to help him return to the UK for treatment to seek help for his drug </w:t>
      </w:r>
      <w:r w:rsidR="00AD09C4">
        <w:rPr>
          <w:rFonts w:ascii="Book Antiqua" w:hAnsi="Book Antiqua" w:cs="Arial"/>
        </w:rPr>
        <w:t>addiction problems.  He came back</w:t>
      </w:r>
      <w:r>
        <w:rPr>
          <w:rFonts w:ascii="Book Antiqua" w:hAnsi="Book Antiqua" w:cs="Arial"/>
        </w:rPr>
        <w:t xml:space="preserve"> on 14</w:t>
      </w:r>
      <w:r w:rsidRPr="003C0117">
        <w:rPr>
          <w:rFonts w:ascii="Book Antiqua" w:hAnsi="Book Antiqua" w:cs="Arial"/>
          <w:vertAlign w:val="superscript"/>
        </w:rPr>
        <w:t>th</w:t>
      </w:r>
      <w:r>
        <w:rPr>
          <w:rFonts w:ascii="Book Antiqua" w:hAnsi="Book Antiqua" w:cs="Arial"/>
        </w:rPr>
        <w:t xml:space="preserve"> September 2014 but the couple remained in constant contact.  They made arrangements to meet in Australia in May 2015 but his visa was refused and the claimant then decided to travel to the UK to be with him.  They are both in therapy here.  </w:t>
      </w:r>
    </w:p>
    <w:p w14:paraId="1D885803" w14:textId="65B72F23" w:rsidR="003C0117" w:rsidRDefault="003C0117" w:rsidP="005951F2">
      <w:pPr>
        <w:numPr>
          <w:ilvl w:val="0"/>
          <w:numId w:val="3"/>
        </w:numPr>
        <w:spacing w:before="160"/>
        <w:jc w:val="both"/>
        <w:rPr>
          <w:rFonts w:ascii="Book Antiqua" w:hAnsi="Book Antiqua" w:cs="Arial"/>
        </w:rPr>
      </w:pPr>
      <w:r>
        <w:rPr>
          <w:rFonts w:ascii="Book Antiqua" w:hAnsi="Book Antiqua" w:cs="Arial"/>
        </w:rPr>
        <w:t>The claimant’s partner’s family is in the UK and he works</w:t>
      </w:r>
      <w:r w:rsidR="000F1FA6">
        <w:rPr>
          <w:rFonts w:ascii="Book Antiqua" w:hAnsi="Book Antiqua" w:cs="Arial"/>
        </w:rPr>
        <w:t>,</w:t>
      </w:r>
      <w:r>
        <w:rPr>
          <w:rFonts w:ascii="Book Antiqua" w:hAnsi="Book Antiqua" w:cs="Arial"/>
        </w:rPr>
        <w:t xml:space="preserve"> having several jobs through agencies</w:t>
      </w:r>
      <w:r w:rsidR="00346E19">
        <w:rPr>
          <w:rFonts w:ascii="Book Antiqua" w:hAnsi="Book Antiqua" w:cs="Arial"/>
        </w:rPr>
        <w:t>,</w:t>
      </w:r>
      <w:r>
        <w:rPr>
          <w:rFonts w:ascii="Book Antiqua" w:hAnsi="Book Antiqua" w:cs="Arial"/>
        </w:rPr>
        <w:t xml:space="preserve"> and he studies on an IT course.  The claimant herself is estranged from her mother but has a sister in Australia.  Both the claimant, her partner and her partner’s mother all gave evidence.  The judge accepted that the evidence overall was consistent and credible</w:t>
      </w:r>
      <w:r w:rsidR="006E4925">
        <w:rPr>
          <w:rFonts w:ascii="Book Antiqua" w:hAnsi="Book Antiqua" w:cs="Arial"/>
        </w:rPr>
        <w:t>. She recognised</w:t>
      </w:r>
      <w:r>
        <w:rPr>
          <w:rFonts w:ascii="Book Antiqua" w:hAnsi="Book Antiqua" w:cs="Arial"/>
        </w:rPr>
        <w:t xml:space="preserve"> that the claimant had failed to produce any independent medical evidence and had not provided any evidence of failed visa applications for her partner nor indeed evidence of the caution which he was said to have received in the USA for possession.  </w:t>
      </w:r>
    </w:p>
    <w:p w14:paraId="12A53340" w14:textId="77777777" w:rsidR="003C0117" w:rsidRDefault="003C0117" w:rsidP="005951F2">
      <w:pPr>
        <w:numPr>
          <w:ilvl w:val="0"/>
          <w:numId w:val="3"/>
        </w:numPr>
        <w:spacing w:before="160"/>
        <w:jc w:val="both"/>
        <w:rPr>
          <w:rFonts w:ascii="Book Antiqua" w:hAnsi="Book Antiqua" w:cs="Arial"/>
        </w:rPr>
      </w:pPr>
      <w:r>
        <w:rPr>
          <w:rFonts w:ascii="Book Antiqua" w:hAnsi="Book Antiqua" w:cs="Arial"/>
        </w:rPr>
        <w:t>The judge wrote as follows:</w:t>
      </w:r>
    </w:p>
    <w:p w14:paraId="66ABCEA7" w14:textId="77777777" w:rsidR="003C0117" w:rsidRPr="0006352E" w:rsidRDefault="003C0117" w:rsidP="005951F2">
      <w:pPr>
        <w:spacing w:before="120"/>
        <w:ind w:left="1134"/>
        <w:jc w:val="both"/>
        <w:rPr>
          <w:rFonts w:ascii="Book Antiqua" w:hAnsi="Book Antiqua" w:cs="Arial"/>
          <w:sz w:val="22"/>
          <w:szCs w:val="22"/>
        </w:rPr>
      </w:pPr>
      <w:r w:rsidRPr="0006352E">
        <w:rPr>
          <w:rFonts w:ascii="Book Antiqua" w:hAnsi="Book Antiqua" w:cs="Arial"/>
          <w:sz w:val="22"/>
          <w:szCs w:val="22"/>
        </w:rPr>
        <w:t xml:space="preserve">“Nationality is not a trump card but it is not enough to say that </w:t>
      </w:r>
      <w:proofErr w:type="spellStart"/>
      <w:r w:rsidR="00563EF2" w:rsidRPr="0006352E">
        <w:rPr>
          <w:rFonts w:ascii="Book Antiqua" w:hAnsi="Book Antiqua" w:cs="Arial"/>
          <w:sz w:val="22"/>
          <w:szCs w:val="22"/>
        </w:rPr>
        <w:t>E</w:t>
      </w:r>
      <w:proofErr w:type="spellEnd"/>
      <w:r w:rsidRPr="0006352E">
        <w:rPr>
          <w:rFonts w:ascii="Book Antiqua" w:hAnsi="Book Antiqua" w:cs="Arial"/>
          <w:sz w:val="22"/>
          <w:szCs w:val="22"/>
        </w:rPr>
        <w:t xml:space="preserve"> can readily adapt to life in another country and without her father if the appellant had to return to apply for entry clearance.  The appellant did not present any cogent arguments that she cannot return to the US with or without E but the question for me to answer is whether it is reasonable to expect the child to leave the UK and whether it is proportionate to require the appellant to return to the US to apply for entry clearance.  </w:t>
      </w:r>
    </w:p>
    <w:p w14:paraId="6823C38B" w14:textId="77777777" w:rsidR="003C0117" w:rsidRPr="0006352E" w:rsidRDefault="003C0117" w:rsidP="005951F2">
      <w:pPr>
        <w:spacing w:before="120"/>
        <w:ind w:left="1134"/>
        <w:jc w:val="both"/>
        <w:rPr>
          <w:rFonts w:ascii="Book Antiqua" w:hAnsi="Book Antiqua" w:cs="Arial"/>
          <w:sz w:val="22"/>
          <w:szCs w:val="22"/>
        </w:rPr>
      </w:pPr>
      <w:r w:rsidRPr="0006352E">
        <w:rPr>
          <w:rFonts w:ascii="Book Antiqua" w:hAnsi="Book Antiqua" w:cs="Arial"/>
          <w:sz w:val="22"/>
          <w:szCs w:val="22"/>
        </w:rPr>
        <w:t xml:space="preserve">It is undoubtedly in the best interests of the child to be with both parents if that is possible; to have stability and continuity of social and educational provisions; to not disrupt ties she has developed in the UK.  </w:t>
      </w:r>
    </w:p>
    <w:p w14:paraId="3F119465" w14:textId="77777777" w:rsidR="003C0117" w:rsidRPr="0006352E" w:rsidRDefault="003C0117" w:rsidP="005951F2">
      <w:pPr>
        <w:spacing w:before="120"/>
        <w:ind w:left="1134"/>
        <w:jc w:val="both"/>
        <w:rPr>
          <w:rFonts w:ascii="Book Antiqua" w:hAnsi="Book Antiqua" w:cs="Arial"/>
          <w:sz w:val="22"/>
          <w:szCs w:val="22"/>
        </w:rPr>
      </w:pPr>
      <w:r w:rsidRPr="0006352E">
        <w:rPr>
          <w:rFonts w:ascii="Book Antiqua" w:hAnsi="Book Antiqua" w:cs="Arial"/>
          <w:sz w:val="22"/>
          <w:szCs w:val="22"/>
        </w:rPr>
        <w:t xml:space="preserve">It is not necessarily unlawful to require return to apply because the rationale behind the policy is to deter others from entering without entry clearance.  </w:t>
      </w:r>
      <w:proofErr w:type="gramStart"/>
      <w:r w:rsidRPr="0006352E">
        <w:rPr>
          <w:rFonts w:ascii="Book Antiqua" w:hAnsi="Book Antiqua" w:cs="Arial"/>
          <w:sz w:val="22"/>
          <w:szCs w:val="22"/>
        </w:rPr>
        <w:t>However</w:t>
      </w:r>
      <w:proofErr w:type="gramEnd"/>
      <w:r w:rsidRPr="0006352E">
        <w:rPr>
          <w:rFonts w:ascii="Book Antiqua" w:hAnsi="Book Antiqua" w:cs="Arial"/>
          <w:sz w:val="22"/>
          <w:szCs w:val="22"/>
        </w:rPr>
        <w:t xml:space="preserve"> it is necessary to consider the prospective length of separation and the degree of family disruption which is invariably a highly relevant factor in the assessment of proportionality.  </w:t>
      </w:r>
    </w:p>
    <w:p w14:paraId="2076CBEC" w14:textId="09523221" w:rsidR="003C0117" w:rsidRPr="0006352E" w:rsidRDefault="0006352E" w:rsidP="005951F2">
      <w:pPr>
        <w:spacing w:before="120"/>
        <w:ind w:left="1134"/>
        <w:jc w:val="both"/>
        <w:rPr>
          <w:rFonts w:ascii="Book Antiqua" w:hAnsi="Book Antiqua" w:cs="Arial"/>
          <w:sz w:val="22"/>
          <w:szCs w:val="22"/>
        </w:rPr>
      </w:pPr>
      <w:r w:rsidRPr="0006352E">
        <w:rPr>
          <w:rFonts w:ascii="Book Antiqua" w:hAnsi="Book Antiqua" w:cs="Arial"/>
          <w:sz w:val="22"/>
          <w:szCs w:val="22"/>
        </w:rPr>
        <w:t>[JM]</w:t>
      </w:r>
      <w:r w:rsidRPr="0006352E">
        <w:rPr>
          <w:rFonts w:ascii="Book Antiqua" w:hAnsi="Book Antiqua" w:cs="Arial"/>
          <w:sz w:val="22"/>
          <w:szCs w:val="22"/>
        </w:rPr>
        <w:t xml:space="preserve"> </w:t>
      </w:r>
      <w:r w:rsidR="003C0117" w:rsidRPr="0006352E">
        <w:rPr>
          <w:rFonts w:ascii="Book Antiqua" w:hAnsi="Book Antiqua" w:cs="Arial"/>
          <w:sz w:val="22"/>
          <w:szCs w:val="22"/>
        </w:rPr>
        <w:t xml:space="preserve">is working and it would appear he might be able to meet the financial requirements but when?  He wants to work full-time and on a full-time contract but he must keep up his ongoing addiction treatment.  He is unlikely to be able to obtain a visa to return to the US in his particular circumstances; he has applied twice and been refused.  There is no certainty as to how long </w:t>
      </w:r>
      <w:r w:rsidR="00837D28" w:rsidRPr="0006352E">
        <w:rPr>
          <w:rFonts w:ascii="Book Antiqua" w:hAnsi="Book Antiqua" w:cs="Arial"/>
          <w:sz w:val="22"/>
          <w:szCs w:val="22"/>
        </w:rPr>
        <w:t xml:space="preserve">any application by the appellant for entry clearance may take to resolve.  </w:t>
      </w:r>
    </w:p>
    <w:p w14:paraId="0879DF6D" w14:textId="77777777" w:rsidR="00837D28" w:rsidRPr="0006352E" w:rsidRDefault="00837D28" w:rsidP="005951F2">
      <w:pPr>
        <w:spacing w:before="120"/>
        <w:ind w:left="1134"/>
        <w:jc w:val="both"/>
        <w:rPr>
          <w:rFonts w:ascii="Book Antiqua" w:hAnsi="Book Antiqua" w:cs="Arial"/>
          <w:sz w:val="22"/>
          <w:szCs w:val="22"/>
        </w:rPr>
      </w:pPr>
      <w:r w:rsidRPr="0006352E">
        <w:rPr>
          <w:rFonts w:ascii="Book Antiqua" w:hAnsi="Book Antiqua" w:cs="Arial"/>
          <w:sz w:val="22"/>
          <w:szCs w:val="22"/>
        </w:rPr>
        <w:t xml:space="preserve">Weighty reasons are required to justify separating a parent from a lawfully settled minor child as here.  </w:t>
      </w:r>
    </w:p>
    <w:p w14:paraId="467CFF09" w14:textId="0D58F6ED" w:rsidR="00837D28" w:rsidRPr="0006352E" w:rsidRDefault="00837D28" w:rsidP="005951F2">
      <w:pPr>
        <w:spacing w:before="120"/>
        <w:ind w:left="1134"/>
        <w:jc w:val="both"/>
        <w:rPr>
          <w:rFonts w:ascii="Book Antiqua" w:hAnsi="Book Antiqua" w:cs="Arial"/>
          <w:sz w:val="22"/>
          <w:szCs w:val="22"/>
        </w:rPr>
      </w:pPr>
      <w:r w:rsidRPr="0006352E">
        <w:rPr>
          <w:rFonts w:ascii="Book Antiqua" w:hAnsi="Book Antiqua" w:cs="Arial"/>
          <w:sz w:val="22"/>
          <w:szCs w:val="22"/>
        </w:rPr>
        <w:t xml:space="preserve">E is very young and necessarily more focused on her parents but she has already suffered a separation from her father and they missed each other.  Given their history of addiction </w:t>
      </w:r>
      <w:r w:rsidRPr="0006352E">
        <w:rPr>
          <w:rFonts w:ascii="Book Antiqua" w:hAnsi="Book Antiqua" w:cs="Arial"/>
          <w:sz w:val="22"/>
          <w:szCs w:val="22"/>
        </w:rPr>
        <w:lastRenderedPageBreak/>
        <w:t xml:space="preserve">both the appellant and </w:t>
      </w:r>
      <w:r w:rsidR="0006352E" w:rsidRPr="0006352E">
        <w:rPr>
          <w:rFonts w:ascii="Book Antiqua" w:hAnsi="Book Antiqua" w:cs="Arial"/>
          <w:sz w:val="22"/>
          <w:szCs w:val="22"/>
        </w:rPr>
        <w:t>[JM]</w:t>
      </w:r>
      <w:r w:rsidRPr="0006352E">
        <w:rPr>
          <w:rFonts w:ascii="Book Antiqua" w:hAnsi="Book Antiqua" w:cs="Arial"/>
          <w:sz w:val="22"/>
          <w:szCs w:val="22"/>
        </w:rPr>
        <w:t xml:space="preserve"> could be said to be vulnerable.  The appellant clearly and credibly demonstrated vulnerability when giving evidence.  </w:t>
      </w:r>
      <w:r w:rsidR="0006352E" w:rsidRPr="0006352E">
        <w:rPr>
          <w:rFonts w:ascii="Book Antiqua" w:hAnsi="Book Antiqua" w:cs="Arial"/>
          <w:sz w:val="22"/>
          <w:szCs w:val="22"/>
        </w:rPr>
        <w:t>[JM]</w:t>
      </w:r>
      <w:r w:rsidR="000F5A68" w:rsidRPr="0006352E">
        <w:rPr>
          <w:rFonts w:ascii="Book Antiqua" w:hAnsi="Book Antiqua" w:cs="Arial"/>
          <w:sz w:val="22"/>
          <w:szCs w:val="22"/>
        </w:rPr>
        <w:t xml:space="preserve"> is d</w:t>
      </w:r>
      <w:r w:rsidRPr="0006352E">
        <w:rPr>
          <w:rFonts w:ascii="Book Antiqua" w:hAnsi="Book Antiqua" w:cs="Arial"/>
          <w:sz w:val="22"/>
          <w:szCs w:val="22"/>
        </w:rPr>
        <w:t xml:space="preserve">oing well with work but needs the stability of his wife and child as much as the appellant E do.  His mother’s evidence on this matter was compelling.  </w:t>
      </w:r>
    </w:p>
    <w:p w14:paraId="4450DD14" w14:textId="77777777" w:rsidR="00837D28" w:rsidRPr="0006352E" w:rsidRDefault="00837D28" w:rsidP="005951F2">
      <w:pPr>
        <w:spacing w:before="120"/>
        <w:ind w:left="1134"/>
        <w:jc w:val="both"/>
        <w:rPr>
          <w:rFonts w:ascii="Book Antiqua" w:hAnsi="Book Antiqua" w:cs="Arial"/>
          <w:sz w:val="22"/>
          <w:szCs w:val="22"/>
        </w:rPr>
      </w:pPr>
      <w:r w:rsidRPr="0006352E">
        <w:rPr>
          <w:rFonts w:ascii="Book Antiqua" w:hAnsi="Book Antiqua" w:cs="Arial"/>
          <w:sz w:val="22"/>
          <w:szCs w:val="22"/>
        </w:rPr>
        <w:t>I find having considered all the evidence in the round and having weighed the factors on both sides that it is not reasonable to expect E to have to leave the UK nor is it proportionate to separate the family and require the appellant to return to the US to apply for entry clearance when the chances of success are uncertain and the length of consequent separation could be considerable.”</w:t>
      </w:r>
    </w:p>
    <w:p w14:paraId="6D3E15D0" w14:textId="77777777" w:rsidR="003C0117" w:rsidRDefault="00837D28" w:rsidP="005951F2">
      <w:pPr>
        <w:numPr>
          <w:ilvl w:val="0"/>
          <w:numId w:val="3"/>
        </w:numPr>
        <w:spacing w:before="160"/>
        <w:jc w:val="both"/>
        <w:rPr>
          <w:rFonts w:ascii="Book Antiqua" w:hAnsi="Book Antiqua" w:cs="Arial"/>
        </w:rPr>
      </w:pPr>
      <w:r>
        <w:rPr>
          <w:rFonts w:ascii="Book Antiqua" w:hAnsi="Book Antiqua" w:cs="Arial"/>
        </w:rPr>
        <w:t xml:space="preserve">On that basis she allowed the appeal.  </w:t>
      </w:r>
    </w:p>
    <w:p w14:paraId="01D7CCB2" w14:textId="77777777" w:rsidR="00837D28" w:rsidRPr="00837D28" w:rsidRDefault="00837D28" w:rsidP="005951F2">
      <w:pPr>
        <w:spacing w:before="160"/>
        <w:jc w:val="both"/>
        <w:rPr>
          <w:rFonts w:ascii="Book Antiqua" w:hAnsi="Book Antiqua" w:cs="Arial"/>
          <w:b/>
          <w:u w:val="single"/>
        </w:rPr>
      </w:pPr>
      <w:r>
        <w:rPr>
          <w:rFonts w:ascii="Book Antiqua" w:hAnsi="Book Antiqua" w:cs="Arial"/>
          <w:b/>
          <w:u w:val="single"/>
        </w:rPr>
        <w:t>The Grounds of Application</w:t>
      </w:r>
    </w:p>
    <w:p w14:paraId="4ED46D27" w14:textId="56E5946D" w:rsidR="00837D28" w:rsidRDefault="00837D28" w:rsidP="005951F2">
      <w:pPr>
        <w:numPr>
          <w:ilvl w:val="0"/>
          <w:numId w:val="3"/>
        </w:numPr>
        <w:spacing w:before="160"/>
        <w:jc w:val="both"/>
        <w:rPr>
          <w:rFonts w:ascii="Book Antiqua" w:hAnsi="Book Antiqua" w:cs="Arial"/>
        </w:rPr>
      </w:pPr>
      <w:r>
        <w:rPr>
          <w:rFonts w:ascii="Book Antiqua" w:hAnsi="Book Antiqua" w:cs="Arial"/>
        </w:rPr>
        <w:t xml:space="preserve">The Secretary of State sought permission to appeal on the grounds that the judge had failed to resolve a conflict of fact having allowed the appeal on the premise that the claimant’s partner could not return to the US with the family if she were returned due to the difficulties he has </w:t>
      </w:r>
      <w:r w:rsidR="00914E17">
        <w:rPr>
          <w:rFonts w:ascii="Book Antiqua" w:hAnsi="Book Antiqua" w:cs="Arial"/>
        </w:rPr>
        <w:t>encountered</w:t>
      </w:r>
      <w:r>
        <w:rPr>
          <w:rFonts w:ascii="Book Antiqua" w:hAnsi="Book Antiqua" w:cs="Arial"/>
        </w:rPr>
        <w:t xml:space="preserve"> with US immigration.  The claimant has not provided any objective evidence of her claims regarding her partner’s visa applications or police caution or of her medical requirements which also stand in the way of her return, or of the claims that her partner could meet the financial t</w:t>
      </w:r>
      <w:r w:rsidR="00AD09C4">
        <w:rPr>
          <w:rFonts w:ascii="Book Antiqua" w:hAnsi="Book Antiqua" w:cs="Arial"/>
        </w:rPr>
        <w:t>hreshold.  Given that she relied</w:t>
      </w:r>
      <w:r>
        <w:rPr>
          <w:rFonts w:ascii="Book Antiqua" w:hAnsi="Book Antiqua" w:cs="Arial"/>
        </w:rPr>
        <w:t xml:space="preserve"> heavily on these matters and given how easy it would have been to obtain such evidence it is submitted that they cannot be given any weight in the overall assessment.  If the claimant’s partner cannot evidence his claims of difficulties with US immigration there is no reason why the claimant, her partner and child cannot return to the USA as a family unit.  </w:t>
      </w:r>
    </w:p>
    <w:p w14:paraId="466C5C9E" w14:textId="77777777" w:rsidR="00E76080" w:rsidRDefault="00E76080" w:rsidP="005951F2">
      <w:pPr>
        <w:numPr>
          <w:ilvl w:val="0"/>
          <w:numId w:val="3"/>
        </w:numPr>
        <w:spacing w:before="160"/>
        <w:jc w:val="both"/>
        <w:rPr>
          <w:rFonts w:ascii="Book Antiqua" w:hAnsi="Book Antiqua" w:cs="Arial"/>
        </w:rPr>
      </w:pPr>
      <w:r>
        <w:rPr>
          <w:rFonts w:ascii="Book Antiqua" w:hAnsi="Book Antiqua" w:cs="Arial"/>
        </w:rPr>
        <w:t xml:space="preserve">Second, the judge failed to conduct a proper assessment of the claimant’s credibility.  The judge noted that the claimant did not fully disclose </w:t>
      </w:r>
      <w:r w:rsidR="00E36F60">
        <w:rPr>
          <w:rFonts w:ascii="Book Antiqua" w:hAnsi="Book Antiqua" w:cs="Arial"/>
        </w:rPr>
        <w:t>her</w:t>
      </w:r>
      <w:r>
        <w:rPr>
          <w:rFonts w:ascii="Book Antiqua" w:hAnsi="Book Antiqua" w:cs="Arial"/>
        </w:rPr>
        <w:t xml:space="preserve"> situation to the Entry Clearance Officer which should weigh heavily against her general credibility but the judge failed to take this into account.  The judge found the claimant to be a chaotic and emotional witness and later that she was unconvincing, factors which should have been taken into consideration when assessing overall credibility.  </w:t>
      </w:r>
    </w:p>
    <w:p w14:paraId="4629F602" w14:textId="77777777" w:rsidR="00E76080" w:rsidRDefault="00E76080" w:rsidP="005951F2">
      <w:pPr>
        <w:numPr>
          <w:ilvl w:val="0"/>
          <w:numId w:val="3"/>
        </w:numPr>
        <w:spacing w:before="160"/>
        <w:jc w:val="both"/>
        <w:rPr>
          <w:rFonts w:ascii="Book Antiqua" w:hAnsi="Book Antiqua" w:cs="Arial"/>
        </w:rPr>
      </w:pPr>
      <w:r>
        <w:rPr>
          <w:rFonts w:ascii="Book Antiqua" w:hAnsi="Book Antiqua" w:cs="Arial"/>
        </w:rPr>
        <w:t>Permission to appeal was refused by Judge Hodgkinson on 8</w:t>
      </w:r>
      <w:r w:rsidRPr="00E76080">
        <w:rPr>
          <w:rFonts w:ascii="Book Antiqua" w:hAnsi="Book Antiqua" w:cs="Arial"/>
          <w:vertAlign w:val="superscript"/>
        </w:rPr>
        <w:t>th</w:t>
      </w:r>
      <w:r>
        <w:rPr>
          <w:rFonts w:ascii="Book Antiqua" w:hAnsi="Book Antiqua" w:cs="Arial"/>
        </w:rPr>
        <w:t xml:space="preserve"> January 2018 but subsequently granted upon reapplication by Upper Tribunal Judge </w:t>
      </w:r>
      <w:proofErr w:type="spellStart"/>
      <w:r>
        <w:rPr>
          <w:rFonts w:ascii="Book Antiqua" w:hAnsi="Book Antiqua" w:cs="Arial"/>
        </w:rPr>
        <w:t>Kebede</w:t>
      </w:r>
      <w:proofErr w:type="spellEnd"/>
      <w:r>
        <w:rPr>
          <w:rFonts w:ascii="Book Antiqua" w:hAnsi="Book Antiqua" w:cs="Arial"/>
        </w:rPr>
        <w:t xml:space="preserve"> on 19</w:t>
      </w:r>
      <w:r w:rsidRPr="00E76080">
        <w:rPr>
          <w:rFonts w:ascii="Book Antiqua" w:hAnsi="Book Antiqua" w:cs="Arial"/>
          <w:vertAlign w:val="superscript"/>
        </w:rPr>
        <w:t>th</w:t>
      </w:r>
      <w:r>
        <w:rPr>
          <w:rFonts w:ascii="Book Antiqua" w:hAnsi="Book Antiqua" w:cs="Arial"/>
        </w:rPr>
        <w:t xml:space="preserve"> March 2018.  </w:t>
      </w:r>
    </w:p>
    <w:p w14:paraId="52CF980C" w14:textId="77777777" w:rsidR="00E76080" w:rsidRPr="00E76080" w:rsidRDefault="00E76080" w:rsidP="005951F2">
      <w:pPr>
        <w:spacing w:before="160"/>
        <w:jc w:val="both"/>
        <w:rPr>
          <w:rFonts w:ascii="Book Antiqua" w:hAnsi="Book Antiqua" w:cs="Arial"/>
          <w:b/>
          <w:u w:val="single"/>
        </w:rPr>
      </w:pPr>
      <w:r>
        <w:rPr>
          <w:rFonts w:ascii="Book Antiqua" w:hAnsi="Book Antiqua" w:cs="Arial"/>
          <w:b/>
          <w:u w:val="single"/>
        </w:rPr>
        <w:t>The Hearing</w:t>
      </w:r>
    </w:p>
    <w:p w14:paraId="0108DEBA" w14:textId="7A37A7CC" w:rsidR="00E76080" w:rsidRDefault="00E76080" w:rsidP="005951F2">
      <w:pPr>
        <w:numPr>
          <w:ilvl w:val="0"/>
          <w:numId w:val="3"/>
        </w:numPr>
        <w:spacing w:before="160"/>
        <w:jc w:val="both"/>
        <w:rPr>
          <w:rFonts w:ascii="Book Antiqua" w:hAnsi="Book Antiqua" w:cs="Arial"/>
        </w:rPr>
      </w:pPr>
      <w:r>
        <w:rPr>
          <w:rFonts w:ascii="Book Antiqua" w:hAnsi="Book Antiqua" w:cs="Arial"/>
        </w:rPr>
        <w:t xml:space="preserve">The claimant did not appear.  I am satisfied that she was served with notice at her last known address and there is no explanation for her absence.  </w:t>
      </w:r>
      <w:r w:rsidR="00AD09C4">
        <w:rPr>
          <w:rFonts w:ascii="Book Antiqua" w:hAnsi="Book Antiqua" w:cs="Arial"/>
        </w:rPr>
        <w:t>I decided to proceed.</w:t>
      </w:r>
    </w:p>
    <w:p w14:paraId="4C553B4B" w14:textId="77777777" w:rsidR="00E76080" w:rsidRDefault="00502F87" w:rsidP="005951F2">
      <w:pPr>
        <w:numPr>
          <w:ilvl w:val="0"/>
          <w:numId w:val="3"/>
        </w:numPr>
        <w:spacing w:before="160"/>
        <w:jc w:val="both"/>
        <w:rPr>
          <w:rFonts w:ascii="Book Antiqua" w:hAnsi="Book Antiqua" w:cs="Arial"/>
        </w:rPr>
      </w:pPr>
      <w:r>
        <w:rPr>
          <w:rFonts w:ascii="Book Antiqua" w:hAnsi="Book Antiqua" w:cs="Arial"/>
        </w:rPr>
        <w:t xml:space="preserve">Mrs Pettersen relied upon her grounds.  </w:t>
      </w:r>
      <w:r w:rsidR="001D59CF">
        <w:rPr>
          <w:rFonts w:ascii="Book Antiqua" w:hAnsi="Book Antiqua" w:cs="Arial"/>
        </w:rPr>
        <w:t>S</w:t>
      </w:r>
      <w:r>
        <w:rPr>
          <w:rFonts w:ascii="Book Antiqua" w:hAnsi="Book Antiqua" w:cs="Arial"/>
        </w:rPr>
        <w:t xml:space="preserve">he submitted that the child was not being required to leave the UK and could remain here with her father and her grandmother.  She asked that the decision be overturned.  </w:t>
      </w:r>
    </w:p>
    <w:p w14:paraId="136E3C3A" w14:textId="77777777" w:rsidR="00AD09C4" w:rsidRDefault="00502F87" w:rsidP="005951F2">
      <w:pPr>
        <w:numPr>
          <w:ilvl w:val="0"/>
          <w:numId w:val="3"/>
        </w:numPr>
        <w:spacing w:before="160"/>
        <w:jc w:val="both"/>
        <w:rPr>
          <w:rFonts w:ascii="Book Antiqua" w:hAnsi="Book Antiqua" w:cs="Arial"/>
        </w:rPr>
      </w:pPr>
      <w:r>
        <w:rPr>
          <w:rFonts w:ascii="Book Antiqua" w:hAnsi="Book Antiqua" w:cs="Arial"/>
        </w:rPr>
        <w:t>I conclude however that the grounds amount to a disagreement with the decision.  Although they state that the judge failed to resolve a conflict of f</w:t>
      </w:r>
      <w:r w:rsidR="00923544">
        <w:rPr>
          <w:rFonts w:ascii="Book Antiqua" w:hAnsi="Book Antiqua" w:cs="Arial"/>
        </w:rPr>
        <w:t xml:space="preserve">act, </w:t>
      </w:r>
      <w:r>
        <w:rPr>
          <w:rFonts w:ascii="Book Antiqua" w:hAnsi="Book Antiqua" w:cs="Arial"/>
        </w:rPr>
        <w:t xml:space="preserve">the real complaint is that the judge failed to find in the Secretary of State’s favour.  </w:t>
      </w:r>
    </w:p>
    <w:p w14:paraId="7CD08F26" w14:textId="6E3AB421" w:rsidR="00502F87" w:rsidRDefault="00502F87" w:rsidP="005951F2">
      <w:pPr>
        <w:numPr>
          <w:ilvl w:val="0"/>
          <w:numId w:val="3"/>
        </w:numPr>
        <w:spacing w:before="160"/>
        <w:jc w:val="both"/>
        <w:rPr>
          <w:rFonts w:ascii="Book Antiqua" w:hAnsi="Book Antiqua" w:cs="Arial"/>
        </w:rPr>
      </w:pPr>
      <w:r>
        <w:rPr>
          <w:rFonts w:ascii="Book Antiqua" w:hAnsi="Book Antiqua" w:cs="Arial"/>
        </w:rPr>
        <w:lastRenderedPageBreak/>
        <w:t xml:space="preserve">The judge recorded the Presenting Officer’s arguments that the claimant had failed to produce independent medical evidence to support her assertions.  She observed that certain aspects of her evidence were unconvincing.  </w:t>
      </w:r>
      <w:proofErr w:type="gramStart"/>
      <w:r>
        <w:rPr>
          <w:rFonts w:ascii="Book Antiqua" w:hAnsi="Book Antiqua" w:cs="Arial"/>
        </w:rPr>
        <w:t>Nevertheless</w:t>
      </w:r>
      <w:proofErr w:type="gramEnd"/>
      <w:r>
        <w:rPr>
          <w:rFonts w:ascii="Book Antiqua" w:hAnsi="Book Antiqua" w:cs="Arial"/>
        </w:rPr>
        <w:t xml:space="preserve"> the judge, having heard the oral evidence, was entitled to conclude that the claimant had given consistent and credible evidence about the matters in dispute which were fully supported by the evidence of her husband and perhaps more importantly, by her mother-in-law.  The judge said that Ms Atkinson’s evidence was credible and compelling.  Given the health problems of the claimant, and the manner in which she gave evidence, it is perhaps unsurprising that she was not sufficiently organised to obtain documentary evidence in support of her claims.  The judge could have found that the lack of objective evidence was sufficiently material so as to lead her to conclude that the claimant was not telling the truth.  </w:t>
      </w:r>
      <w:proofErr w:type="gramStart"/>
      <w:r>
        <w:rPr>
          <w:rFonts w:ascii="Book Antiqua" w:hAnsi="Book Antiqua" w:cs="Arial"/>
        </w:rPr>
        <w:t>However</w:t>
      </w:r>
      <w:proofErr w:type="gramEnd"/>
      <w:r>
        <w:rPr>
          <w:rFonts w:ascii="Book Antiqua" w:hAnsi="Book Antiqua" w:cs="Arial"/>
        </w:rPr>
        <w:t xml:space="preserve"> she was equally entitled to find that s</w:t>
      </w:r>
      <w:r w:rsidR="00AD09C4">
        <w:rPr>
          <w:rFonts w:ascii="Book Antiqua" w:hAnsi="Book Antiqua" w:cs="Arial"/>
        </w:rPr>
        <w:t>he was being truthful</w:t>
      </w:r>
      <w:r w:rsidR="000C3212">
        <w:rPr>
          <w:rFonts w:ascii="Book Antiqua" w:hAnsi="Book Antiqua" w:cs="Arial"/>
        </w:rPr>
        <w:t>, not least</w:t>
      </w:r>
      <w:r w:rsidR="00AD09C4">
        <w:rPr>
          <w:rFonts w:ascii="Book Antiqua" w:hAnsi="Book Antiqua" w:cs="Arial"/>
        </w:rPr>
        <w:t xml:space="preserve"> because she</w:t>
      </w:r>
      <w:r>
        <w:rPr>
          <w:rFonts w:ascii="Book Antiqua" w:hAnsi="Book Antiqua" w:cs="Arial"/>
        </w:rPr>
        <w:t xml:space="preserve"> was consistent with all of the other witnesses.  </w:t>
      </w:r>
    </w:p>
    <w:p w14:paraId="6810A77A" w14:textId="77777777" w:rsidR="00502F87" w:rsidRDefault="00502F87" w:rsidP="005951F2">
      <w:pPr>
        <w:numPr>
          <w:ilvl w:val="0"/>
          <w:numId w:val="3"/>
        </w:numPr>
        <w:spacing w:before="160"/>
        <w:jc w:val="both"/>
        <w:rPr>
          <w:rFonts w:ascii="Book Antiqua" w:hAnsi="Book Antiqua" w:cs="Arial"/>
        </w:rPr>
      </w:pPr>
      <w:r>
        <w:rPr>
          <w:rFonts w:ascii="Book Antiqua" w:hAnsi="Book Antiqua" w:cs="Arial"/>
        </w:rPr>
        <w:t xml:space="preserve">So far as the claimant not fully disclosing her situation to the Entry Clearance Officer, it was her evidence that </w:t>
      </w:r>
      <w:r w:rsidR="00797D18">
        <w:rPr>
          <w:rFonts w:ascii="Book Antiqua" w:hAnsi="Book Antiqua" w:cs="Arial"/>
        </w:rPr>
        <w:t xml:space="preserve">at the time when she applied for entry clearance the couple were estranged and she did not know what she would find when she saw him.  </w:t>
      </w:r>
    </w:p>
    <w:p w14:paraId="61F5EB21" w14:textId="5D1D4C99" w:rsidR="00797D18" w:rsidRDefault="00797D18" w:rsidP="005951F2">
      <w:pPr>
        <w:numPr>
          <w:ilvl w:val="0"/>
          <w:numId w:val="3"/>
        </w:numPr>
        <w:spacing w:before="160"/>
        <w:jc w:val="both"/>
        <w:rPr>
          <w:rFonts w:ascii="Book Antiqua" w:hAnsi="Book Antiqua" w:cs="Arial"/>
        </w:rPr>
      </w:pPr>
      <w:r>
        <w:rPr>
          <w:rFonts w:ascii="Book Antiqua" w:hAnsi="Book Antiqua" w:cs="Arial"/>
        </w:rPr>
        <w:t xml:space="preserve">The grounds do not criticise the judge’s approach to the law.  They argue that the judge was not entitled to find the claimant’s evidence to be credible.  However, for the above reasons, they are not made out.  </w:t>
      </w:r>
    </w:p>
    <w:p w14:paraId="324A3BD6" w14:textId="77777777" w:rsidR="00BF3B8C" w:rsidRPr="00BF3B8C" w:rsidRDefault="00BF3B8C" w:rsidP="005951F2">
      <w:pPr>
        <w:spacing w:before="160"/>
        <w:jc w:val="both"/>
        <w:rPr>
          <w:rFonts w:ascii="Book Antiqua" w:hAnsi="Book Antiqua" w:cs="Arial"/>
          <w:b/>
          <w:u w:val="single"/>
        </w:rPr>
      </w:pPr>
      <w:r w:rsidRPr="00BF3B8C">
        <w:rPr>
          <w:rFonts w:ascii="Book Antiqua" w:hAnsi="Book Antiqua" w:cs="Arial"/>
          <w:b/>
          <w:u w:val="single"/>
        </w:rPr>
        <w:t>Notice of Decision</w:t>
      </w:r>
    </w:p>
    <w:p w14:paraId="744A9681" w14:textId="77777777" w:rsidR="00BF3B8C" w:rsidRPr="00BF3B8C" w:rsidRDefault="00797D18" w:rsidP="005951F2">
      <w:pPr>
        <w:spacing w:before="160"/>
        <w:jc w:val="both"/>
        <w:rPr>
          <w:rFonts w:ascii="Book Antiqua" w:hAnsi="Book Antiqua" w:cs="Arial"/>
        </w:rPr>
      </w:pPr>
      <w:r>
        <w:rPr>
          <w:rFonts w:ascii="Book Antiqua" w:hAnsi="Book Antiqua" w:cs="Arial"/>
        </w:rPr>
        <w:t xml:space="preserve">The original judge did not err in law.  Her decision stands.  The Secretary of State’s appeal is dismissed.  </w:t>
      </w:r>
    </w:p>
    <w:p w14:paraId="06417EFB" w14:textId="77777777" w:rsidR="00BF3B8C" w:rsidRPr="00BF3B8C" w:rsidRDefault="00BF3B8C" w:rsidP="005951F2">
      <w:pPr>
        <w:spacing w:before="160"/>
        <w:jc w:val="both"/>
        <w:rPr>
          <w:rFonts w:ascii="Book Antiqua" w:hAnsi="Book Antiqua" w:cs="Arial"/>
        </w:rPr>
      </w:pPr>
      <w:r w:rsidRPr="00BF3B8C">
        <w:rPr>
          <w:rFonts w:ascii="Book Antiqua" w:hAnsi="Book Antiqua" w:cs="Arial"/>
        </w:rPr>
        <w:t>No anonymity direction is made.</w:t>
      </w:r>
    </w:p>
    <w:p w14:paraId="19B123C6" w14:textId="77777777" w:rsidR="00BF3B8C" w:rsidRPr="00BF3B8C" w:rsidRDefault="00BF3B8C" w:rsidP="00BF3B8C">
      <w:pPr>
        <w:jc w:val="both"/>
        <w:rPr>
          <w:rFonts w:ascii="Book Antiqua" w:hAnsi="Book Antiqua" w:cs="Arial"/>
        </w:rPr>
      </w:pPr>
    </w:p>
    <w:p w14:paraId="5F6E5917" w14:textId="77777777" w:rsidR="000369F5" w:rsidRPr="00CE6902" w:rsidRDefault="000369F5" w:rsidP="00BF3B8C">
      <w:pPr>
        <w:tabs>
          <w:tab w:val="left" w:pos="2520"/>
        </w:tabs>
        <w:jc w:val="both"/>
        <w:rPr>
          <w:rFonts w:ascii="Book Antiqua" w:hAnsi="Book Antiqua" w:cs="Arial"/>
        </w:rPr>
      </w:pPr>
    </w:p>
    <w:p w14:paraId="275CB2A8" w14:textId="779C1B75"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E102DD" w:rsidRPr="00F27BB4">
        <w:rPr>
          <w:noProof/>
        </w:rPr>
        <w:drawing>
          <wp:inline distT="0" distB="0" distL="0" distR="0" wp14:anchorId="1DAC2E98" wp14:editId="71842E4B">
            <wp:extent cx="1421130" cy="6051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1130" cy="605155"/>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E102DD">
        <w:rPr>
          <w:rFonts w:ascii="Book Antiqua" w:hAnsi="Book Antiqua" w:cs="Arial"/>
        </w:rPr>
        <w:t xml:space="preserve"> 31 August 2018</w:t>
      </w:r>
    </w:p>
    <w:p w14:paraId="3CF567A8" w14:textId="77777777" w:rsidR="001F2716" w:rsidRPr="00CE6902" w:rsidRDefault="001F2716" w:rsidP="000369F5">
      <w:pPr>
        <w:tabs>
          <w:tab w:val="left" w:pos="2520"/>
        </w:tabs>
        <w:jc w:val="both"/>
        <w:rPr>
          <w:rFonts w:ascii="Book Antiqua" w:hAnsi="Book Antiqua" w:cs="Arial"/>
        </w:rPr>
      </w:pPr>
    </w:p>
    <w:p w14:paraId="2D9670D3" w14:textId="77777777" w:rsidR="005B7789"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p w14:paraId="7F730B7E" w14:textId="77777777" w:rsidR="00CB7FD7" w:rsidRPr="00CE6902" w:rsidRDefault="00CB7FD7" w:rsidP="000369F5">
      <w:pPr>
        <w:tabs>
          <w:tab w:val="left" w:pos="2520"/>
        </w:tabs>
        <w:jc w:val="both"/>
        <w:rPr>
          <w:rFonts w:ascii="Book Antiqua" w:hAnsi="Book Antiqua" w:cs="Arial"/>
        </w:rPr>
      </w:pPr>
    </w:p>
    <w:p w14:paraId="7B8CCD7E" w14:textId="77777777" w:rsidR="00BF3B8C" w:rsidRDefault="00BF3B8C" w:rsidP="00BF3B8C">
      <w:pPr>
        <w:tabs>
          <w:tab w:val="left" w:pos="2520"/>
        </w:tabs>
        <w:jc w:val="both"/>
        <w:rPr>
          <w:rFonts w:ascii="Book Antiqua" w:hAnsi="Book Antiqua" w:cs="Arial"/>
        </w:rPr>
      </w:pPr>
    </w:p>
    <w:p w14:paraId="1324810B" w14:textId="77777777" w:rsidR="005B7789" w:rsidRPr="00CE6902" w:rsidRDefault="005B7789" w:rsidP="005B7789">
      <w:pPr>
        <w:rPr>
          <w:rFonts w:ascii="Book Antiqua" w:hAnsi="Book Antiqua" w:cs="Arial"/>
        </w:rPr>
      </w:pPr>
    </w:p>
    <w:p w14:paraId="7A774AC6" w14:textId="77777777" w:rsidR="005B7789" w:rsidRPr="00CE6902" w:rsidRDefault="005B7789" w:rsidP="005B7789">
      <w:pPr>
        <w:tabs>
          <w:tab w:val="left" w:pos="2520"/>
        </w:tabs>
        <w:ind w:left="540" w:hanging="540"/>
        <w:jc w:val="both"/>
        <w:rPr>
          <w:rFonts w:ascii="Book Antiqua" w:hAnsi="Book Antiqua" w:cs="Arial"/>
        </w:rPr>
      </w:pPr>
    </w:p>
    <w:p w14:paraId="4D7C8E95" w14:textId="77777777" w:rsidR="005B7789" w:rsidRPr="00CE6902" w:rsidRDefault="005B7789" w:rsidP="000369F5">
      <w:pPr>
        <w:tabs>
          <w:tab w:val="left" w:pos="2520"/>
        </w:tabs>
        <w:jc w:val="both"/>
        <w:rPr>
          <w:rFonts w:ascii="Book Antiqua" w:hAnsi="Book Antiqua" w:cs="Arial"/>
        </w:rPr>
      </w:pP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BB4CD" w14:textId="77777777" w:rsidR="006F751F" w:rsidRDefault="006F751F">
      <w:r>
        <w:separator/>
      </w:r>
    </w:p>
  </w:endnote>
  <w:endnote w:type="continuationSeparator" w:id="0">
    <w:p w14:paraId="3C9C0264" w14:textId="77777777" w:rsidR="006F751F" w:rsidRDefault="006F7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BF6E2" w14:textId="1E5EFD4F" w:rsidR="00797D18" w:rsidRPr="00CE6902" w:rsidRDefault="00797D18"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1B7A02">
      <w:rPr>
        <w:rStyle w:val="PageNumber"/>
        <w:rFonts w:ascii="Book Antiqua" w:hAnsi="Book Antiqua" w:cs="Arial"/>
        <w:noProof/>
        <w:sz w:val="16"/>
        <w:szCs w:val="16"/>
      </w:rPr>
      <w:t>4</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3FCA0" w14:textId="77777777" w:rsidR="00797D18" w:rsidRPr="00CE6902" w:rsidRDefault="00797D18" w:rsidP="007404B2">
    <w:pPr>
      <w:jc w:val="center"/>
      <w:rPr>
        <w:rFonts w:ascii="Book Antiqua" w:hAnsi="Book Antiqua" w:cs="Arial"/>
        <w:b/>
      </w:rPr>
    </w:pPr>
    <w:r w:rsidRPr="00CE690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96238" w14:textId="77777777" w:rsidR="006F751F" w:rsidRDefault="006F751F">
      <w:r>
        <w:separator/>
      </w:r>
    </w:p>
  </w:footnote>
  <w:footnote w:type="continuationSeparator" w:id="0">
    <w:p w14:paraId="3BA2B3A3" w14:textId="77777777" w:rsidR="006F751F" w:rsidRDefault="006F7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123C0" w14:textId="1222F45E" w:rsidR="00797D18" w:rsidRPr="00CE6902" w:rsidRDefault="00797D18"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Pr="003C0117">
      <w:rPr>
        <w:rFonts w:ascii="Book Antiqua" w:hAnsi="Book Antiqua" w:cs="Arial"/>
        <w:sz w:val="16"/>
        <w:szCs w:val="16"/>
      </w:rPr>
      <w:t>HU/11444/2016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05D6A" w14:textId="18433B9E" w:rsidR="00797D18" w:rsidRPr="00CE6902" w:rsidRDefault="00797D18">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00"/>
    <w:rsid w:val="00000621"/>
    <w:rsid w:val="000036C2"/>
    <w:rsid w:val="00033D3D"/>
    <w:rsid w:val="000369F5"/>
    <w:rsid w:val="0006352E"/>
    <w:rsid w:val="00071A7E"/>
    <w:rsid w:val="000746C0"/>
    <w:rsid w:val="00074D1D"/>
    <w:rsid w:val="00092580"/>
    <w:rsid w:val="000C3212"/>
    <w:rsid w:val="000C5C20"/>
    <w:rsid w:val="000D5D94"/>
    <w:rsid w:val="000F1FA6"/>
    <w:rsid w:val="000F38CB"/>
    <w:rsid w:val="000F5A68"/>
    <w:rsid w:val="00110F6F"/>
    <w:rsid w:val="00114924"/>
    <w:rsid w:val="001165A7"/>
    <w:rsid w:val="00135859"/>
    <w:rsid w:val="00151BB7"/>
    <w:rsid w:val="00152152"/>
    <w:rsid w:val="00163090"/>
    <w:rsid w:val="001653C0"/>
    <w:rsid w:val="00167D3A"/>
    <w:rsid w:val="00185763"/>
    <w:rsid w:val="001A24E4"/>
    <w:rsid w:val="001B7A02"/>
    <w:rsid w:val="001D59CF"/>
    <w:rsid w:val="001E6D96"/>
    <w:rsid w:val="001F2716"/>
    <w:rsid w:val="0020133A"/>
    <w:rsid w:val="00207060"/>
    <w:rsid w:val="00207617"/>
    <w:rsid w:val="00232F00"/>
    <w:rsid w:val="00244A9E"/>
    <w:rsid w:val="0027136A"/>
    <w:rsid w:val="00283659"/>
    <w:rsid w:val="00283EB8"/>
    <w:rsid w:val="00297A75"/>
    <w:rsid w:val="002C4E73"/>
    <w:rsid w:val="002D3496"/>
    <w:rsid w:val="002D68BF"/>
    <w:rsid w:val="00316625"/>
    <w:rsid w:val="00336CBF"/>
    <w:rsid w:val="00337A21"/>
    <w:rsid w:val="00346E19"/>
    <w:rsid w:val="003546C8"/>
    <w:rsid w:val="003A7CF2"/>
    <w:rsid w:val="003C0117"/>
    <w:rsid w:val="003C5CE5"/>
    <w:rsid w:val="003E267B"/>
    <w:rsid w:val="003E7CD1"/>
    <w:rsid w:val="00402B9E"/>
    <w:rsid w:val="004229B4"/>
    <w:rsid w:val="00423932"/>
    <w:rsid w:val="004249CB"/>
    <w:rsid w:val="00436C72"/>
    <w:rsid w:val="0044127D"/>
    <w:rsid w:val="004448DB"/>
    <w:rsid w:val="00446C9A"/>
    <w:rsid w:val="004606D8"/>
    <w:rsid w:val="00477193"/>
    <w:rsid w:val="004A1848"/>
    <w:rsid w:val="004C1E34"/>
    <w:rsid w:val="00502F87"/>
    <w:rsid w:val="00503969"/>
    <w:rsid w:val="0050494D"/>
    <w:rsid w:val="00507FEC"/>
    <w:rsid w:val="00510F0E"/>
    <w:rsid w:val="00522434"/>
    <w:rsid w:val="005479E1"/>
    <w:rsid w:val="005570FD"/>
    <w:rsid w:val="005575EA"/>
    <w:rsid w:val="00561B4E"/>
    <w:rsid w:val="00563EF2"/>
    <w:rsid w:val="0057790C"/>
    <w:rsid w:val="00593795"/>
    <w:rsid w:val="00593D70"/>
    <w:rsid w:val="005951F2"/>
    <w:rsid w:val="005A4A90"/>
    <w:rsid w:val="005A75FF"/>
    <w:rsid w:val="005B51C3"/>
    <w:rsid w:val="005B7789"/>
    <w:rsid w:val="005C1F10"/>
    <w:rsid w:val="005E57FF"/>
    <w:rsid w:val="00642026"/>
    <w:rsid w:val="0065791C"/>
    <w:rsid w:val="00690B8A"/>
    <w:rsid w:val="006C11B3"/>
    <w:rsid w:val="006D1DFA"/>
    <w:rsid w:val="006D24EE"/>
    <w:rsid w:val="006D506B"/>
    <w:rsid w:val="006E3C90"/>
    <w:rsid w:val="006E4925"/>
    <w:rsid w:val="006F751F"/>
    <w:rsid w:val="00704B61"/>
    <w:rsid w:val="00717DBE"/>
    <w:rsid w:val="007404B2"/>
    <w:rsid w:val="00742A8D"/>
    <w:rsid w:val="007552A9"/>
    <w:rsid w:val="0076043D"/>
    <w:rsid w:val="00761858"/>
    <w:rsid w:val="00767D59"/>
    <w:rsid w:val="00776E97"/>
    <w:rsid w:val="00780FD7"/>
    <w:rsid w:val="007912AD"/>
    <w:rsid w:val="007939C0"/>
    <w:rsid w:val="00797D18"/>
    <w:rsid w:val="007B0824"/>
    <w:rsid w:val="00807563"/>
    <w:rsid w:val="00815767"/>
    <w:rsid w:val="008303B8"/>
    <w:rsid w:val="00833DCE"/>
    <w:rsid w:val="00837D28"/>
    <w:rsid w:val="00871D34"/>
    <w:rsid w:val="008749A9"/>
    <w:rsid w:val="008A0C3B"/>
    <w:rsid w:val="008B270C"/>
    <w:rsid w:val="008C3D3D"/>
    <w:rsid w:val="008D4131"/>
    <w:rsid w:val="008F1932"/>
    <w:rsid w:val="008F294D"/>
    <w:rsid w:val="009117ED"/>
    <w:rsid w:val="00914E17"/>
    <w:rsid w:val="00921062"/>
    <w:rsid w:val="00923544"/>
    <w:rsid w:val="00966ECF"/>
    <w:rsid w:val="009727A3"/>
    <w:rsid w:val="00987774"/>
    <w:rsid w:val="009A11E8"/>
    <w:rsid w:val="009F5220"/>
    <w:rsid w:val="009F7C4D"/>
    <w:rsid w:val="00A15234"/>
    <w:rsid w:val="00A201AB"/>
    <w:rsid w:val="00A31C8B"/>
    <w:rsid w:val="00A341D2"/>
    <w:rsid w:val="00A34C0B"/>
    <w:rsid w:val="00A452CB"/>
    <w:rsid w:val="00A845DC"/>
    <w:rsid w:val="00A957E0"/>
    <w:rsid w:val="00A97AEE"/>
    <w:rsid w:val="00AC5CF6"/>
    <w:rsid w:val="00AD09C4"/>
    <w:rsid w:val="00AF3421"/>
    <w:rsid w:val="00B03FBE"/>
    <w:rsid w:val="00B144FA"/>
    <w:rsid w:val="00B214A5"/>
    <w:rsid w:val="00B25B10"/>
    <w:rsid w:val="00B30171"/>
    <w:rsid w:val="00B30648"/>
    <w:rsid w:val="00B3524D"/>
    <w:rsid w:val="00B40F69"/>
    <w:rsid w:val="00B46616"/>
    <w:rsid w:val="00B61205"/>
    <w:rsid w:val="00B617C4"/>
    <w:rsid w:val="00B626FA"/>
    <w:rsid w:val="00B7040A"/>
    <w:rsid w:val="00BA6C59"/>
    <w:rsid w:val="00BD4196"/>
    <w:rsid w:val="00BF22CA"/>
    <w:rsid w:val="00BF3B8C"/>
    <w:rsid w:val="00C0188E"/>
    <w:rsid w:val="00C26032"/>
    <w:rsid w:val="00C265B0"/>
    <w:rsid w:val="00C32BB1"/>
    <w:rsid w:val="00C345E1"/>
    <w:rsid w:val="00C477FC"/>
    <w:rsid w:val="00C64A16"/>
    <w:rsid w:val="00C665DF"/>
    <w:rsid w:val="00C73349"/>
    <w:rsid w:val="00C834EC"/>
    <w:rsid w:val="00C90C15"/>
    <w:rsid w:val="00C94A8F"/>
    <w:rsid w:val="00CB6E35"/>
    <w:rsid w:val="00CB7FD7"/>
    <w:rsid w:val="00CD62C4"/>
    <w:rsid w:val="00CE1A46"/>
    <w:rsid w:val="00CE2079"/>
    <w:rsid w:val="00CE6902"/>
    <w:rsid w:val="00CF253F"/>
    <w:rsid w:val="00CF56B4"/>
    <w:rsid w:val="00D176D6"/>
    <w:rsid w:val="00D20F09"/>
    <w:rsid w:val="00D22636"/>
    <w:rsid w:val="00D40FD9"/>
    <w:rsid w:val="00D53769"/>
    <w:rsid w:val="00D53893"/>
    <w:rsid w:val="00D85C13"/>
    <w:rsid w:val="00D91BE3"/>
    <w:rsid w:val="00D94AFC"/>
    <w:rsid w:val="00DB70AE"/>
    <w:rsid w:val="00DB7231"/>
    <w:rsid w:val="00DD5071"/>
    <w:rsid w:val="00DD5C39"/>
    <w:rsid w:val="00DE26AF"/>
    <w:rsid w:val="00DE7DB7"/>
    <w:rsid w:val="00E00A0A"/>
    <w:rsid w:val="00E04C9F"/>
    <w:rsid w:val="00E07F57"/>
    <w:rsid w:val="00E102DD"/>
    <w:rsid w:val="00E33145"/>
    <w:rsid w:val="00E36F60"/>
    <w:rsid w:val="00E50BCE"/>
    <w:rsid w:val="00E61292"/>
    <w:rsid w:val="00E76080"/>
    <w:rsid w:val="00E76309"/>
    <w:rsid w:val="00E77C4D"/>
    <w:rsid w:val="00E81D01"/>
    <w:rsid w:val="00EB707E"/>
    <w:rsid w:val="00ED1BAF"/>
    <w:rsid w:val="00ED49AF"/>
    <w:rsid w:val="00EE3E65"/>
    <w:rsid w:val="00EE45D8"/>
    <w:rsid w:val="00EF1230"/>
    <w:rsid w:val="00F004CD"/>
    <w:rsid w:val="00F22EDA"/>
    <w:rsid w:val="00F33E0E"/>
    <w:rsid w:val="00FA17F3"/>
    <w:rsid w:val="00FB7E80"/>
    <w:rsid w:val="00FE0600"/>
    <w:rsid w:val="00FE6906"/>
    <w:rsid w:val="00FF2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AB597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2D3496"/>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1570</Words>
  <Characters>7640</Characters>
  <Application>Microsoft Office Word</Application>
  <DocSecurity>0</DocSecurity>
  <Lines>63</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2018-09-24T10:51:00Z</dcterms:created>
  <dcterms:modified xsi:type="dcterms:W3CDTF">2018-09-24T10:51:00Z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