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6239EA" w:rsidP="0050388A">
      <w:pPr>
        <w:jc w:val="center"/>
        <w:rPr>
          <w:rFonts w:ascii="Book Antiqua" w:hAnsi="Book Antiqua" w:cs="Arial"/>
          <w:caps/>
          <w:color w:val="000000"/>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407A5B" w:rsidRDefault="0050388A" w:rsidP="00780F86">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407A5B">
        <w:rPr>
          <w:rFonts w:ascii="Book Antiqua" w:hAnsi="Book Antiqua" w:cs="Arial"/>
          <w:b/>
          <w:color w:val="000000"/>
        </w:rPr>
        <w:t xml:space="preserve">   </w:t>
      </w:r>
      <w:proofErr w:type="gramEnd"/>
      <w:r w:rsidR="00407A5B">
        <w:rPr>
          <w:rFonts w:ascii="Book Antiqua" w:hAnsi="Book Antiqua" w:cs="Arial"/>
          <w:b/>
          <w:color w:val="000000"/>
        </w:rPr>
        <w:t xml:space="preserve">                      </w:t>
      </w:r>
      <w:r w:rsidR="00B3524D" w:rsidRPr="00407A5B">
        <w:rPr>
          <w:rFonts w:ascii="Book Antiqua" w:hAnsi="Book Antiqua" w:cs="Arial"/>
          <w:b/>
          <w:color w:val="000000"/>
        </w:rPr>
        <w:t>Appeal Number</w:t>
      </w:r>
      <w:r w:rsidR="00D53769" w:rsidRPr="00407A5B">
        <w:rPr>
          <w:rFonts w:ascii="Book Antiqua" w:hAnsi="Book Antiqua" w:cs="Arial"/>
          <w:b/>
          <w:color w:val="000000"/>
        </w:rPr>
        <w:t>:</w:t>
      </w:r>
      <w:r w:rsidR="00B3524D" w:rsidRPr="00407A5B">
        <w:rPr>
          <w:rFonts w:ascii="Book Antiqua" w:hAnsi="Book Antiqua" w:cs="Arial"/>
          <w:b/>
          <w:color w:val="000000"/>
        </w:rPr>
        <w:t xml:space="preserve"> </w:t>
      </w:r>
      <w:r w:rsidR="006C7911" w:rsidRPr="00407A5B">
        <w:rPr>
          <w:rFonts w:ascii="Book Antiqua" w:hAnsi="Book Antiqua" w:cs="Arial"/>
          <w:b/>
          <w:caps/>
          <w:color w:val="000000"/>
        </w:rPr>
        <w:t>HU/11458/2016</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387"/>
        <w:gridCol w:w="4251"/>
      </w:tblGrid>
      <w:tr w:rsidR="00D22636" w:rsidRPr="00BD7B07" w:rsidTr="00407A5B">
        <w:tc>
          <w:tcPr>
            <w:tcW w:w="5387" w:type="dxa"/>
            <w:shd w:val="clear" w:color="auto" w:fill="auto"/>
          </w:tcPr>
          <w:p w:rsidR="00D22636" w:rsidRPr="00BD7B07" w:rsidRDefault="00D22636" w:rsidP="00BD7B07">
            <w:pPr>
              <w:jc w:val="both"/>
              <w:rPr>
                <w:rFonts w:ascii="Book Antiqua" w:hAnsi="Book Antiqua" w:cs="Arial"/>
                <w:b/>
              </w:rPr>
            </w:pPr>
            <w:r w:rsidRPr="00BD7B07">
              <w:rPr>
                <w:rFonts w:ascii="Book Antiqua" w:hAnsi="Book Antiqua" w:cs="Arial"/>
                <w:b/>
              </w:rPr>
              <w:t xml:space="preserve">Heard at </w:t>
            </w:r>
            <w:r w:rsidR="006C7911" w:rsidRPr="00BD7B07">
              <w:rPr>
                <w:rFonts w:ascii="Book Antiqua" w:hAnsi="Book Antiqua" w:cs="Arial"/>
                <w:b/>
              </w:rPr>
              <w:t xml:space="preserve">Field House </w:t>
            </w:r>
          </w:p>
        </w:tc>
        <w:tc>
          <w:tcPr>
            <w:tcW w:w="4251" w:type="dxa"/>
            <w:shd w:val="clear" w:color="auto" w:fill="auto"/>
          </w:tcPr>
          <w:p w:rsidR="00D22636" w:rsidRPr="00BD7B07" w:rsidRDefault="00407A5B" w:rsidP="00BD7B07">
            <w:pPr>
              <w:jc w:val="both"/>
              <w:rPr>
                <w:rFonts w:ascii="Book Antiqua" w:hAnsi="Book Antiqua" w:cs="Arial"/>
                <w:b/>
                <w:color w:val="000000"/>
              </w:rPr>
            </w:pPr>
            <w:r>
              <w:rPr>
                <w:rFonts w:ascii="Book Antiqua" w:hAnsi="Book Antiqua" w:cs="Arial"/>
                <w:b/>
                <w:color w:val="000000"/>
              </w:rPr>
              <w:t xml:space="preserve"> </w:t>
            </w:r>
            <w:r w:rsidR="00847259" w:rsidRPr="00BD7B07">
              <w:rPr>
                <w:rFonts w:ascii="Book Antiqua" w:hAnsi="Book Antiqua" w:cs="Arial"/>
                <w:b/>
                <w:color w:val="000000"/>
              </w:rPr>
              <w:t>Decision &amp; Reasons</w:t>
            </w:r>
            <w:r w:rsidR="00283659" w:rsidRPr="00BD7B07">
              <w:rPr>
                <w:rFonts w:ascii="Book Antiqua" w:hAnsi="Book Antiqua" w:cs="Arial"/>
                <w:b/>
                <w:color w:val="000000"/>
              </w:rPr>
              <w:t xml:space="preserve"> Promulgated</w:t>
            </w:r>
          </w:p>
        </w:tc>
      </w:tr>
      <w:tr w:rsidR="00D22636" w:rsidRPr="00BD7B07" w:rsidTr="00407A5B">
        <w:tc>
          <w:tcPr>
            <w:tcW w:w="5387" w:type="dxa"/>
            <w:shd w:val="clear" w:color="auto" w:fill="auto"/>
          </w:tcPr>
          <w:p w:rsidR="00D22636" w:rsidRPr="00BD7B07" w:rsidRDefault="00D22636" w:rsidP="00BD7B07">
            <w:pPr>
              <w:jc w:val="both"/>
              <w:rPr>
                <w:rFonts w:ascii="Book Antiqua" w:hAnsi="Book Antiqua" w:cs="Arial"/>
                <w:b/>
              </w:rPr>
            </w:pPr>
            <w:r w:rsidRPr="00BD7B07">
              <w:rPr>
                <w:rFonts w:ascii="Book Antiqua" w:hAnsi="Book Antiqua" w:cs="Arial"/>
                <w:b/>
              </w:rPr>
              <w:t xml:space="preserve">On </w:t>
            </w:r>
            <w:r w:rsidR="006C7911" w:rsidRPr="00BD7B07">
              <w:rPr>
                <w:rFonts w:ascii="Book Antiqua" w:hAnsi="Book Antiqua" w:cs="Arial"/>
                <w:b/>
              </w:rPr>
              <w:t xml:space="preserve">3 April 2018 </w:t>
            </w:r>
          </w:p>
        </w:tc>
        <w:tc>
          <w:tcPr>
            <w:tcW w:w="4251" w:type="dxa"/>
            <w:shd w:val="clear" w:color="auto" w:fill="auto"/>
          </w:tcPr>
          <w:p w:rsidR="00D22636" w:rsidRPr="00BD7B07" w:rsidRDefault="00407A5B" w:rsidP="00BD7B07">
            <w:pPr>
              <w:jc w:val="both"/>
              <w:rPr>
                <w:rFonts w:ascii="Book Antiqua" w:hAnsi="Book Antiqua" w:cs="Arial"/>
                <w:b/>
              </w:rPr>
            </w:pPr>
            <w:r>
              <w:rPr>
                <w:rFonts w:ascii="Book Antiqua" w:hAnsi="Book Antiqua" w:cs="Arial"/>
                <w:b/>
              </w:rPr>
              <w:t xml:space="preserve"> </w:t>
            </w:r>
            <w:r w:rsidR="006239EA">
              <w:rPr>
                <w:rFonts w:ascii="Book Antiqua" w:hAnsi="Book Antiqua" w:cs="Arial"/>
                <w:b/>
              </w:rPr>
              <w:t xml:space="preserve">On 25 May 2018 </w:t>
            </w:r>
          </w:p>
        </w:tc>
      </w:tr>
      <w:tr w:rsidR="00D22636" w:rsidRPr="00BD7B07" w:rsidTr="00407A5B">
        <w:tc>
          <w:tcPr>
            <w:tcW w:w="5387" w:type="dxa"/>
            <w:shd w:val="clear" w:color="auto" w:fill="auto"/>
          </w:tcPr>
          <w:p w:rsidR="00D22636" w:rsidRPr="00BD7B07" w:rsidRDefault="00D22636" w:rsidP="00BD7B07">
            <w:pPr>
              <w:jc w:val="both"/>
              <w:rPr>
                <w:rFonts w:ascii="Book Antiqua" w:hAnsi="Book Antiqua" w:cs="Arial"/>
                <w:b/>
              </w:rPr>
            </w:pPr>
          </w:p>
        </w:tc>
        <w:tc>
          <w:tcPr>
            <w:tcW w:w="4251" w:type="dxa"/>
            <w:shd w:val="clear" w:color="auto" w:fill="auto"/>
          </w:tcPr>
          <w:p w:rsidR="00D22636" w:rsidRPr="00BD7B07" w:rsidRDefault="00D22636" w:rsidP="00BD7B07">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r>
        <w:rPr>
          <w:rFonts w:ascii="Book Antiqua" w:hAnsi="Book Antiqua" w:cs="Arial"/>
          <w:b/>
          <w:color w:val="000000"/>
        </w:rPr>
        <w:t xml:space="preserve">DEPUTY UPPER TRIBUNAL </w:t>
      </w:r>
      <w:r w:rsidR="00262554">
        <w:rPr>
          <w:rFonts w:ascii="Book Antiqua" w:hAnsi="Book Antiqua" w:cs="Arial"/>
          <w:b/>
          <w:color w:val="000000"/>
        </w:rPr>
        <w:t>JUDGE</w:t>
      </w:r>
      <w:r>
        <w:rPr>
          <w:rFonts w:ascii="Book Antiqua" w:hAnsi="Book Antiqua" w:cs="Arial"/>
          <w:b/>
          <w:color w:val="000000"/>
        </w:rPr>
        <w:t xml:space="preserve"> I A LEWIS</w:t>
      </w:r>
    </w:p>
    <w:p w:rsidR="001B186A" w:rsidRPr="00AE6DDE" w:rsidRDefault="001B186A" w:rsidP="00A15234">
      <w:pPr>
        <w:jc w:val="center"/>
        <w:rPr>
          <w:rFonts w:ascii="Book Antiqua" w:hAnsi="Book Antiqua" w:cs="Arial"/>
          <w:b/>
          <w:color w:val="000000"/>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6C7911" w:rsidP="00A15234">
      <w:pPr>
        <w:jc w:val="center"/>
        <w:rPr>
          <w:rFonts w:ascii="Book Antiqua" w:hAnsi="Book Antiqua" w:cs="Arial"/>
          <w:b/>
          <w:caps/>
        </w:rPr>
      </w:pPr>
      <w:r>
        <w:rPr>
          <w:rFonts w:ascii="Book Antiqua" w:hAnsi="Book Antiqua" w:cs="Arial"/>
          <w:b/>
          <w:caps/>
        </w:rPr>
        <w:t>veronica eloUise hines gordon</w:t>
      </w:r>
    </w:p>
    <w:p w:rsidR="00847259" w:rsidRPr="00407A5B" w:rsidRDefault="00847259" w:rsidP="00A15234">
      <w:pPr>
        <w:jc w:val="center"/>
        <w:rPr>
          <w:rFonts w:ascii="Book Antiqua" w:hAnsi="Book Antiqua" w:cs="Arial"/>
          <w:caps/>
        </w:rPr>
      </w:pPr>
      <w:r w:rsidRPr="00407A5B">
        <w:rPr>
          <w:rFonts w:ascii="Book Antiqua" w:hAnsi="Book Antiqua" w:cs="Arial"/>
          <w:caps/>
        </w:rPr>
        <w:t xml:space="preserve">(anonymity direction </w:t>
      </w:r>
      <w:r w:rsidR="006C7911" w:rsidRPr="00407A5B">
        <w:rPr>
          <w:rFonts w:ascii="Book Antiqua" w:hAnsi="Book Antiqua" w:cs="Arial"/>
          <w:caps/>
        </w:rPr>
        <w:t>not made</w:t>
      </w:r>
      <w:r w:rsidRPr="00407A5B">
        <w:rPr>
          <w:rFonts w:ascii="Book Antiqua" w:hAnsi="Book Antiqua" w:cs="Arial"/>
          <w:caps/>
        </w:rPr>
        <w:t>)</w:t>
      </w:r>
    </w:p>
    <w:p w:rsidR="00704B61" w:rsidRPr="00AE6DDE" w:rsidRDefault="00262554" w:rsidP="00704B61">
      <w:pPr>
        <w:jc w:val="right"/>
        <w:rPr>
          <w:rFonts w:ascii="Book Antiqua" w:hAnsi="Book Antiqua" w:cs="Arial"/>
          <w:u w:val="single"/>
        </w:rPr>
      </w:pPr>
      <w:r>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E64D18" w:rsidP="00704B61">
      <w:pPr>
        <w:jc w:val="center"/>
        <w:rPr>
          <w:rFonts w:ascii="Book Antiqua" w:hAnsi="Book Antiqua" w:cs="Arial"/>
          <w:b/>
        </w:rPr>
      </w:pPr>
      <w:r>
        <w:rPr>
          <w:rFonts w:ascii="Book Antiqua" w:hAnsi="Book Antiqua" w:cs="Arial"/>
          <w:b/>
        </w:rPr>
        <w:t>SECRETARY OF STATE FOR THE HOME DEPARTMENT</w:t>
      </w:r>
    </w:p>
    <w:p w:rsidR="00DD5071" w:rsidRPr="00AE6DDE" w:rsidRDefault="00262554" w:rsidP="00DD5071">
      <w:pPr>
        <w:jc w:val="right"/>
        <w:rPr>
          <w:rFonts w:ascii="Book Antiqua" w:hAnsi="Book Antiqua" w:cs="Arial"/>
          <w:u w:val="single"/>
        </w:rPr>
      </w:pPr>
      <w:r>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Default="00DE7DB7" w:rsidP="00DD5071">
      <w:pPr>
        <w:rPr>
          <w:rFonts w:ascii="Book Antiqua" w:hAnsi="Book Antiqua" w:cs="Arial"/>
          <w:b/>
        </w:rPr>
      </w:pPr>
      <w:r w:rsidRPr="00AE6DDE">
        <w:rPr>
          <w:rFonts w:ascii="Book Antiqua" w:hAnsi="Book Antiqua" w:cs="Arial"/>
          <w:b/>
          <w:u w:val="single"/>
        </w:rPr>
        <w:t>Representation</w:t>
      </w:r>
      <w:r w:rsidRPr="00AE6DDE">
        <w:rPr>
          <w:rFonts w:ascii="Book Antiqua" w:hAnsi="Book Antiqua" w:cs="Arial"/>
          <w:b/>
        </w:rPr>
        <w:t>:</w:t>
      </w:r>
    </w:p>
    <w:p w:rsidR="00407A5B" w:rsidRPr="00AE6DDE" w:rsidRDefault="00407A5B"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262554">
        <w:rPr>
          <w:rFonts w:ascii="Book Antiqua" w:hAnsi="Book Antiqua" w:cs="Arial"/>
        </w:rPr>
        <w:t>Appellant</w:t>
      </w:r>
      <w:r w:rsidRPr="00AE6DDE">
        <w:rPr>
          <w:rFonts w:ascii="Book Antiqua" w:hAnsi="Book Antiqua" w:cs="Arial"/>
        </w:rPr>
        <w:t>:</w:t>
      </w:r>
      <w:r w:rsidRPr="00AE6DDE">
        <w:rPr>
          <w:rFonts w:ascii="Book Antiqua" w:hAnsi="Book Antiqua" w:cs="Arial"/>
        </w:rPr>
        <w:tab/>
      </w:r>
      <w:r w:rsidR="00487AE8">
        <w:rPr>
          <w:rFonts w:ascii="Book Antiqua" w:hAnsi="Book Antiqua" w:cs="Arial"/>
        </w:rPr>
        <w:t xml:space="preserve">Mr I </w:t>
      </w:r>
      <w:proofErr w:type="spellStart"/>
      <w:r w:rsidR="00487AE8">
        <w:rPr>
          <w:rFonts w:ascii="Book Antiqua" w:hAnsi="Book Antiqua" w:cs="Arial"/>
        </w:rPr>
        <w:t>Kumi</w:t>
      </w:r>
      <w:proofErr w:type="spellEnd"/>
      <w:r w:rsidR="00487AE8">
        <w:rPr>
          <w:rFonts w:ascii="Book Antiqua" w:hAnsi="Book Antiqua" w:cs="Arial"/>
        </w:rPr>
        <w:t xml:space="preserve"> of Counsel instructed by Templeton Legal Services</w:t>
      </w: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262554">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487AE8">
        <w:rPr>
          <w:rFonts w:ascii="Book Antiqua" w:hAnsi="Book Antiqua" w:cs="Arial"/>
        </w:rPr>
        <w:t xml:space="preserve">Mr D Clarke, </w:t>
      </w:r>
      <w:r w:rsidR="00E64D18">
        <w:rPr>
          <w:rFonts w:ascii="Book Antiqua" w:hAnsi="Book Antiqua" w:cs="Arial"/>
        </w:rPr>
        <w:t xml:space="preserve">Senior </w:t>
      </w:r>
      <w:r w:rsidR="00487AE8">
        <w:rPr>
          <w:rFonts w:ascii="Book Antiqua" w:hAnsi="Book Antiqua" w:cs="Arial"/>
        </w:rPr>
        <w:t xml:space="preserve">Home Office Presenting Officer </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Default="00402B9E" w:rsidP="00847259">
      <w:pPr>
        <w:jc w:val="both"/>
        <w:rPr>
          <w:rFonts w:ascii="Book Antiqua" w:hAnsi="Book Antiqua" w:cs="Arial"/>
        </w:rPr>
      </w:pPr>
    </w:p>
    <w:p w:rsidR="00BF23BB" w:rsidRDefault="00262554" w:rsidP="00847259">
      <w:pPr>
        <w:ind w:left="567" w:hanging="567"/>
        <w:jc w:val="both"/>
        <w:rPr>
          <w:rFonts w:ascii="Book Antiqua" w:hAnsi="Book Antiqua" w:cs="Arial"/>
        </w:rPr>
      </w:pPr>
      <w:r>
        <w:rPr>
          <w:rFonts w:ascii="Book Antiqua" w:hAnsi="Book Antiqua" w:cs="Arial"/>
        </w:rPr>
        <w:t>1</w:t>
      </w:r>
      <w:r w:rsidR="00402B9E" w:rsidRPr="00AE6DDE">
        <w:rPr>
          <w:rFonts w:ascii="Book Antiqua" w:hAnsi="Book Antiqua" w:cs="Arial"/>
        </w:rPr>
        <w:t>.</w:t>
      </w:r>
      <w:r w:rsidR="00402B9E" w:rsidRPr="00AE6DDE">
        <w:rPr>
          <w:rFonts w:ascii="Book Antiqua" w:hAnsi="Book Antiqua" w:cs="Arial"/>
        </w:rPr>
        <w:tab/>
      </w:r>
      <w:r w:rsidR="008F55A0">
        <w:rPr>
          <w:rFonts w:ascii="Book Antiqua" w:hAnsi="Book Antiqua" w:cs="Arial"/>
        </w:rPr>
        <w:t xml:space="preserve">This is an appeal against the decision of First-tier Tribunal </w:t>
      </w:r>
      <w:r>
        <w:rPr>
          <w:rFonts w:ascii="Book Antiqua" w:hAnsi="Book Antiqua" w:cs="Arial"/>
        </w:rPr>
        <w:t>Judge</w:t>
      </w:r>
      <w:r w:rsidR="008F55A0">
        <w:rPr>
          <w:rFonts w:ascii="Book Antiqua" w:hAnsi="Book Antiqua" w:cs="Arial"/>
        </w:rPr>
        <w:t xml:space="preserve"> </w:t>
      </w:r>
      <w:proofErr w:type="spellStart"/>
      <w:r w:rsidR="008F55A0">
        <w:rPr>
          <w:rFonts w:ascii="Book Antiqua" w:hAnsi="Book Antiqua" w:cs="Arial"/>
        </w:rPr>
        <w:t>Widdup</w:t>
      </w:r>
      <w:proofErr w:type="spellEnd"/>
      <w:r w:rsidR="008F55A0">
        <w:rPr>
          <w:rFonts w:ascii="Book Antiqua" w:hAnsi="Book Antiqua" w:cs="Arial"/>
        </w:rPr>
        <w:t xml:space="preserve"> promulgated on 12 June 2017 dismissing the </w:t>
      </w:r>
      <w:r>
        <w:rPr>
          <w:rFonts w:ascii="Book Antiqua" w:hAnsi="Book Antiqua" w:cs="Arial"/>
        </w:rPr>
        <w:t>Appellant</w:t>
      </w:r>
      <w:r w:rsidR="008F55A0">
        <w:rPr>
          <w:rFonts w:ascii="Book Antiqua" w:hAnsi="Book Antiqua" w:cs="Arial"/>
        </w:rPr>
        <w:t xml:space="preserve">’s appeal against a decision of the </w:t>
      </w:r>
      <w:r>
        <w:rPr>
          <w:rFonts w:ascii="Book Antiqua" w:hAnsi="Book Antiqua" w:cs="Arial"/>
        </w:rPr>
        <w:t>Respondent</w:t>
      </w:r>
      <w:r w:rsidR="008F55A0">
        <w:rPr>
          <w:rFonts w:ascii="Book Antiqua" w:hAnsi="Book Antiqua" w:cs="Arial"/>
        </w:rPr>
        <w:t xml:space="preserve"> dated 13 April 2016 to refuse </w:t>
      </w:r>
      <w:r w:rsidR="000F44BE">
        <w:rPr>
          <w:rFonts w:ascii="Book Antiqua" w:hAnsi="Book Antiqua" w:cs="Arial"/>
        </w:rPr>
        <w:t xml:space="preserve">a human rights claim made by way of an application for </w:t>
      </w:r>
      <w:r w:rsidR="008F55A0">
        <w:rPr>
          <w:rFonts w:ascii="Book Antiqua" w:hAnsi="Book Antiqua" w:cs="Arial"/>
        </w:rPr>
        <w:t>leave to</w:t>
      </w:r>
      <w:r w:rsidR="000F44BE">
        <w:rPr>
          <w:rFonts w:ascii="Book Antiqua" w:hAnsi="Book Antiqua" w:cs="Arial"/>
        </w:rPr>
        <w:t xml:space="preserve"> remain in the United Kingdom. </w:t>
      </w:r>
    </w:p>
    <w:p w:rsidR="000F44BE" w:rsidRDefault="000F44BE" w:rsidP="00847259">
      <w:pPr>
        <w:ind w:left="567" w:hanging="567"/>
        <w:jc w:val="both"/>
        <w:rPr>
          <w:rFonts w:ascii="Book Antiqua" w:hAnsi="Book Antiqua" w:cs="Arial"/>
        </w:rPr>
      </w:pPr>
    </w:p>
    <w:p w:rsidR="000F44BE" w:rsidRDefault="000F44BE" w:rsidP="00847259">
      <w:pPr>
        <w:ind w:left="567" w:hanging="567"/>
        <w:jc w:val="both"/>
        <w:rPr>
          <w:rFonts w:ascii="Book Antiqua" w:hAnsi="Book Antiqua" w:cs="Arial"/>
        </w:rPr>
      </w:pPr>
    </w:p>
    <w:p w:rsidR="004F2F21" w:rsidRDefault="00262554" w:rsidP="00847259">
      <w:pPr>
        <w:ind w:left="567" w:hanging="567"/>
        <w:jc w:val="both"/>
        <w:rPr>
          <w:rFonts w:ascii="Book Antiqua" w:hAnsi="Book Antiqua" w:cs="Arial"/>
        </w:rPr>
      </w:pPr>
      <w:r>
        <w:rPr>
          <w:rFonts w:ascii="Book Antiqua" w:hAnsi="Book Antiqua" w:cs="Arial"/>
        </w:rPr>
        <w:t>2</w:t>
      </w:r>
      <w:r w:rsidR="008F55A0">
        <w:rPr>
          <w:rFonts w:ascii="Book Antiqua" w:hAnsi="Book Antiqua" w:cs="Arial"/>
        </w:rPr>
        <w:t>.</w:t>
      </w:r>
      <w:r w:rsidR="008F55A0">
        <w:rPr>
          <w:rFonts w:ascii="Book Antiqua" w:hAnsi="Book Antiqua" w:cs="Arial"/>
        </w:rPr>
        <w:tab/>
        <w:t xml:space="preserve">The </w:t>
      </w:r>
      <w:r>
        <w:rPr>
          <w:rFonts w:ascii="Book Antiqua" w:hAnsi="Book Antiqua" w:cs="Arial"/>
        </w:rPr>
        <w:t>Appellant</w:t>
      </w:r>
      <w:r w:rsidR="008F55A0">
        <w:rPr>
          <w:rFonts w:ascii="Book Antiqua" w:hAnsi="Book Antiqua" w:cs="Arial"/>
        </w:rPr>
        <w:t xml:space="preserve"> is a citizen of </w:t>
      </w:r>
      <w:smartTag w:uri="urn:schemas-microsoft-com:office:smarttags" w:element="place">
        <w:smartTag w:uri="urn:schemas-microsoft-com:office:smarttags" w:element="country-region">
          <w:r w:rsidR="008F55A0">
            <w:rPr>
              <w:rFonts w:ascii="Book Antiqua" w:hAnsi="Book Antiqua" w:cs="Arial"/>
            </w:rPr>
            <w:t>Jamaica</w:t>
          </w:r>
        </w:smartTag>
      </w:smartTag>
      <w:r w:rsidR="008F55A0">
        <w:rPr>
          <w:rFonts w:ascii="Book Antiqua" w:hAnsi="Book Antiqua" w:cs="Arial"/>
        </w:rPr>
        <w:t xml:space="preserve"> born on 11 March 1951.  She entered the </w:t>
      </w:r>
      <w:smartTag w:uri="urn:schemas-microsoft-com:office:smarttags" w:element="country-region">
        <w:smartTag w:uri="urn:schemas-microsoft-com:office:smarttags" w:element="place">
          <w:r w:rsidR="008F55A0">
            <w:rPr>
              <w:rFonts w:ascii="Book Antiqua" w:hAnsi="Book Antiqua" w:cs="Arial"/>
            </w:rPr>
            <w:t>United Kingdom</w:t>
          </w:r>
        </w:smartTag>
      </w:smartTag>
      <w:r w:rsidR="008F55A0">
        <w:rPr>
          <w:rFonts w:ascii="Book Antiqua" w:hAnsi="Book Antiqua" w:cs="Arial"/>
        </w:rPr>
        <w:t xml:space="preserve"> on 13 June 2002 as a visitor with leave valid until 12 December 2002.  On 13 November 2002 she applied for leave to remain as a student</w:t>
      </w:r>
      <w:r w:rsidR="000F44BE">
        <w:rPr>
          <w:rFonts w:ascii="Book Antiqua" w:hAnsi="Book Antiqua" w:cs="Arial"/>
        </w:rPr>
        <w:t>,</w:t>
      </w:r>
      <w:r w:rsidR="008F55A0">
        <w:rPr>
          <w:rFonts w:ascii="Book Antiqua" w:hAnsi="Book Antiqua" w:cs="Arial"/>
        </w:rPr>
        <w:t xml:space="preserve"> which was granted until 30 September 2003.  Thereafter she made </w:t>
      </w:r>
      <w:r w:rsidR="000F44BE">
        <w:rPr>
          <w:rFonts w:ascii="Book Antiqua" w:hAnsi="Book Antiqua" w:cs="Arial"/>
        </w:rPr>
        <w:t xml:space="preserve">successful </w:t>
      </w:r>
      <w:r w:rsidR="008F55A0">
        <w:rPr>
          <w:rFonts w:ascii="Book Antiqua" w:hAnsi="Book Antiqua" w:cs="Arial"/>
        </w:rPr>
        <w:t xml:space="preserve">applications for successive periods of leave as a student up until 30 April 2009.  On 28 May 2009 the </w:t>
      </w:r>
      <w:r>
        <w:rPr>
          <w:rFonts w:ascii="Book Antiqua" w:hAnsi="Book Antiqua" w:cs="Arial"/>
        </w:rPr>
        <w:t>Appellant</w:t>
      </w:r>
      <w:r w:rsidR="008F55A0">
        <w:rPr>
          <w:rFonts w:ascii="Book Antiqua" w:hAnsi="Book Antiqua" w:cs="Arial"/>
        </w:rPr>
        <w:t xml:space="preserve"> made an </w:t>
      </w:r>
      <w:r w:rsidR="008F55A0">
        <w:rPr>
          <w:rFonts w:ascii="Book Antiqua" w:hAnsi="Book Antiqua" w:cs="Arial"/>
        </w:rPr>
        <w:lastRenderedPageBreak/>
        <w:t xml:space="preserve">application as a Tier 4 (General) Migrant. </w:t>
      </w:r>
      <w:r w:rsidR="00CF6F27">
        <w:rPr>
          <w:rFonts w:ascii="Book Antiqua" w:hAnsi="Book Antiqua" w:cs="Arial"/>
        </w:rPr>
        <w:t>On 16 July 2009</w:t>
      </w:r>
      <w:r w:rsidR="008F55A0">
        <w:rPr>
          <w:rFonts w:ascii="Book Antiqua" w:hAnsi="Book Antiqua" w:cs="Arial"/>
        </w:rPr>
        <w:t xml:space="preserve"> </w:t>
      </w:r>
      <w:r w:rsidR="00CF6F27">
        <w:rPr>
          <w:rFonts w:ascii="Book Antiqua" w:hAnsi="Book Antiqua" w:cs="Arial"/>
        </w:rPr>
        <w:t>the</w:t>
      </w:r>
      <w:r w:rsidR="008F55A0">
        <w:rPr>
          <w:rFonts w:ascii="Book Antiqua" w:hAnsi="Book Antiqua" w:cs="Arial"/>
        </w:rPr>
        <w:t xml:space="preserve"> application was refused with no right of appeal.  </w:t>
      </w:r>
    </w:p>
    <w:p w:rsidR="004F2F21" w:rsidRDefault="004F2F21" w:rsidP="00847259">
      <w:pPr>
        <w:ind w:left="567" w:hanging="567"/>
        <w:jc w:val="both"/>
        <w:rPr>
          <w:rFonts w:ascii="Book Antiqua" w:hAnsi="Book Antiqua" w:cs="Arial"/>
        </w:rPr>
      </w:pPr>
    </w:p>
    <w:p w:rsidR="00CF6F27" w:rsidRDefault="00CF6F27" w:rsidP="00847259">
      <w:pPr>
        <w:ind w:left="567" w:hanging="567"/>
        <w:jc w:val="both"/>
        <w:rPr>
          <w:rFonts w:ascii="Book Antiqua" w:hAnsi="Book Antiqua" w:cs="Arial"/>
        </w:rPr>
      </w:pPr>
    </w:p>
    <w:p w:rsidR="008C1AFC" w:rsidRDefault="00262554" w:rsidP="00847259">
      <w:pPr>
        <w:ind w:left="567" w:hanging="567"/>
        <w:jc w:val="both"/>
        <w:rPr>
          <w:rFonts w:ascii="Book Antiqua" w:hAnsi="Book Antiqua" w:cs="Arial"/>
        </w:rPr>
      </w:pPr>
      <w:r>
        <w:rPr>
          <w:rFonts w:ascii="Book Antiqua" w:hAnsi="Book Antiqua" w:cs="Arial"/>
        </w:rPr>
        <w:t>3</w:t>
      </w:r>
      <w:r w:rsidR="004F2F21">
        <w:rPr>
          <w:rFonts w:ascii="Book Antiqua" w:hAnsi="Book Antiqua" w:cs="Arial"/>
        </w:rPr>
        <w:t>.</w:t>
      </w:r>
      <w:r w:rsidR="004F2F21">
        <w:rPr>
          <w:rFonts w:ascii="Book Antiqua" w:hAnsi="Book Antiqua" w:cs="Arial"/>
        </w:rPr>
        <w:tab/>
      </w:r>
      <w:r w:rsidR="008F55A0">
        <w:rPr>
          <w:rFonts w:ascii="Book Antiqua" w:hAnsi="Book Antiqua" w:cs="Arial"/>
        </w:rPr>
        <w:t xml:space="preserve">On 31 July 2009 the </w:t>
      </w:r>
      <w:r>
        <w:rPr>
          <w:rFonts w:ascii="Book Antiqua" w:hAnsi="Book Antiqua" w:cs="Arial"/>
        </w:rPr>
        <w:t>Appellant</w:t>
      </w:r>
      <w:r w:rsidR="008F55A0">
        <w:rPr>
          <w:rFonts w:ascii="Book Antiqua" w:hAnsi="Book Antiqua" w:cs="Arial"/>
        </w:rPr>
        <w:t xml:space="preserve"> made a human rights based application which was refused on 31 March 2011 with no right of appeal.  Indeed, an attempt to lodge an appeal with the IAC was struck</w:t>
      </w:r>
      <w:r w:rsidR="008C1AFC">
        <w:rPr>
          <w:rFonts w:ascii="Book Antiqua" w:hAnsi="Book Antiqua" w:cs="Arial"/>
        </w:rPr>
        <w:t xml:space="preserve"> out for want of jurisdiction.</w:t>
      </w:r>
    </w:p>
    <w:p w:rsidR="008C1AFC" w:rsidRDefault="008C1AFC" w:rsidP="00847259">
      <w:pPr>
        <w:ind w:left="567" w:hanging="567"/>
        <w:jc w:val="both"/>
        <w:rPr>
          <w:rFonts w:ascii="Book Antiqua" w:hAnsi="Book Antiqua" w:cs="Arial"/>
        </w:rPr>
      </w:pPr>
    </w:p>
    <w:p w:rsidR="008C1AFC" w:rsidRDefault="008C1AFC" w:rsidP="00847259">
      <w:pPr>
        <w:ind w:left="567" w:hanging="567"/>
        <w:jc w:val="both"/>
        <w:rPr>
          <w:rFonts w:ascii="Book Antiqua" w:hAnsi="Book Antiqua" w:cs="Arial"/>
        </w:rPr>
      </w:pPr>
    </w:p>
    <w:p w:rsidR="008C1AFC" w:rsidRDefault="008C1AFC" w:rsidP="00847259">
      <w:pPr>
        <w:ind w:left="567" w:hanging="567"/>
        <w:jc w:val="both"/>
        <w:rPr>
          <w:rFonts w:ascii="Book Antiqua" w:hAnsi="Book Antiqua" w:cs="Arial"/>
        </w:rPr>
      </w:pPr>
      <w:r>
        <w:rPr>
          <w:rFonts w:ascii="Book Antiqua" w:hAnsi="Book Antiqua" w:cs="Arial"/>
        </w:rPr>
        <w:t>4.</w:t>
      </w:r>
      <w:r>
        <w:rPr>
          <w:rFonts w:ascii="Book Antiqua" w:hAnsi="Book Antiqua" w:cs="Arial"/>
        </w:rPr>
        <w:tab/>
      </w:r>
      <w:r w:rsidR="008F55A0">
        <w:rPr>
          <w:rFonts w:ascii="Book Antiqua" w:hAnsi="Book Antiqua" w:cs="Arial"/>
        </w:rPr>
        <w:t xml:space="preserve">On 10 April 2013 the </w:t>
      </w:r>
      <w:r w:rsidR="00262554">
        <w:rPr>
          <w:rFonts w:ascii="Book Antiqua" w:hAnsi="Book Antiqua" w:cs="Arial"/>
        </w:rPr>
        <w:t>Appellant</w:t>
      </w:r>
      <w:r w:rsidR="008F55A0">
        <w:rPr>
          <w:rFonts w:ascii="Book Antiqua" w:hAnsi="Book Antiqua" w:cs="Arial"/>
        </w:rPr>
        <w:t xml:space="preserve"> made an application for a residence card on the </w:t>
      </w:r>
      <w:r w:rsidR="00F224C0">
        <w:rPr>
          <w:rFonts w:ascii="Book Antiqua" w:hAnsi="Book Antiqua" w:cs="Arial"/>
        </w:rPr>
        <w:t>basis</w:t>
      </w:r>
      <w:r w:rsidR="008F55A0">
        <w:rPr>
          <w:rFonts w:ascii="Book Antiqua" w:hAnsi="Book Antiqua" w:cs="Arial"/>
        </w:rPr>
        <w:t xml:space="preserve"> of </w:t>
      </w:r>
      <w:r>
        <w:rPr>
          <w:rFonts w:ascii="Book Antiqua" w:hAnsi="Book Antiqua" w:cs="Arial"/>
        </w:rPr>
        <w:t xml:space="preserve">a claimed </w:t>
      </w:r>
      <w:r w:rsidR="008F55A0">
        <w:rPr>
          <w:rFonts w:ascii="Book Antiqua" w:hAnsi="Book Antiqua" w:cs="Arial"/>
        </w:rPr>
        <w:t>derived right of residence.  Th</w:t>
      </w:r>
      <w:r>
        <w:rPr>
          <w:rFonts w:ascii="Book Antiqua" w:hAnsi="Book Antiqua" w:cs="Arial"/>
        </w:rPr>
        <w:t>e</w:t>
      </w:r>
      <w:r w:rsidR="008F55A0">
        <w:rPr>
          <w:rFonts w:ascii="Book Antiqua" w:hAnsi="Book Antiqua" w:cs="Arial"/>
        </w:rPr>
        <w:t xml:space="preserve"> application w</w:t>
      </w:r>
      <w:r>
        <w:rPr>
          <w:rFonts w:ascii="Book Antiqua" w:hAnsi="Book Antiqua" w:cs="Arial"/>
        </w:rPr>
        <w:t>as refused on 24 January 2014.</w:t>
      </w:r>
    </w:p>
    <w:p w:rsidR="008C1AFC" w:rsidRDefault="008C1AFC" w:rsidP="00847259">
      <w:pPr>
        <w:ind w:left="567" w:hanging="567"/>
        <w:jc w:val="both"/>
        <w:rPr>
          <w:rFonts w:ascii="Book Antiqua" w:hAnsi="Book Antiqua" w:cs="Arial"/>
        </w:rPr>
      </w:pPr>
    </w:p>
    <w:p w:rsidR="008C1AFC" w:rsidRDefault="008C1AFC" w:rsidP="00847259">
      <w:pPr>
        <w:ind w:left="567" w:hanging="567"/>
        <w:jc w:val="both"/>
        <w:rPr>
          <w:rFonts w:ascii="Book Antiqua" w:hAnsi="Book Antiqua" w:cs="Arial"/>
        </w:rPr>
      </w:pPr>
    </w:p>
    <w:p w:rsidR="008F55A0" w:rsidRDefault="008C1AFC" w:rsidP="00847259">
      <w:pPr>
        <w:ind w:left="567" w:hanging="567"/>
        <w:jc w:val="both"/>
        <w:rPr>
          <w:rFonts w:ascii="Book Antiqua" w:hAnsi="Book Antiqua" w:cs="Arial"/>
        </w:rPr>
      </w:pPr>
      <w:r>
        <w:rPr>
          <w:rFonts w:ascii="Book Antiqua" w:hAnsi="Book Antiqua" w:cs="Arial"/>
        </w:rPr>
        <w:t>5.</w:t>
      </w:r>
      <w:r>
        <w:rPr>
          <w:rFonts w:ascii="Book Antiqua" w:hAnsi="Book Antiqua" w:cs="Arial"/>
        </w:rPr>
        <w:tab/>
      </w:r>
      <w:r w:rsidR="008F55A0">
        <w:rPr>
          <w:rFonts w:ascii="Book Antiqua" w:hAnsi="Book Antiqua" w:cs="Arial"/>
        </w:rPr>
        <w:t xml:space="preserve">On 18 January 2016 the </w:t>
      </w:r>
      <w:r w:rsidR="00262554">
        <w:rPr>
          <w:rFonts w:ascii="Book Antiqua" w:hAnsi="Book Antiqua" w:cs="Arial"/>
        </w:rPr>
        <w:t>Appellant</w:t>
      </w:r>
      <w:r w:rsidR="008F55A0">
        <w:rPr>
          <w:rFonts w:ascii="Book Antiqua" w:hAnsi="Book Antiqua" w:cs="Arial"/>
        </w:rPr>
        <w:t xml:space="preserve"> was served with </w:t>
      </w:r>
      <w:r w:rsidR="00F224C0">
        <w:rPr>
          <w:rFonts w:ascii="Book Antiqua" w:hAnsi="Book Antiqua" w:cs="Arial"/>
        </w:rPr>
        <w:t>notice</w:t>
      </w:r>
      <w:r w:rsidR="008F55A0">
        <w:rPr>
          <w:rFonts w:ascii="Book Antiqua" w:hAnsi="Book Antiqua" w:cs="Arial"/>
        </w:rPr>
        <w:t xml:space="preserve"> as an overstayer</w:t>
      </w:r>
      <w:r>
        <w:rPr>
          <w:rFonts w:ascii="Book Antiqua" w:hAnsi="Book Antiqua" w:cs="Arial"/>
        </w:rPr>
        <w:t>.</w:t>
      </w:r>
      <w:r w:rsidR="008F55A0">
        <w:rPr>
          <w:rFonts w:ascii="Book Antiqua" w:hAnsi="Book Antiqua" w:cs="Arial"/>
        </w:rPr>
        <w:t xml:space="preserve"> </w:t>
      </w:r>
      <w:r>
        <w:rPr>
          <w:rFonts w:ascii="Book Antiqua" w:hAnsi="Book Antiqua" w:cs="Arial"/>
        </w:rPr>
        <w:t>O</w:t>
      </w:r>
      <w:r w:rsidR="008F55A0">
        <w:rPr>
          <w:rFonts w:ascii="Book Antiqua" w:hAnsi="Book Antiqua" w:cs="Arial"/>
        </w:rPr>
        <w:t xml:space="preserve">n 3 February 2016 the </w:t>
      </w:r>
      <w:r w:rsidR="00262554">
        <w:rPr>
          <w:rFonts w:ascii="Book Antiqua" w:hAnsi="Book Antiqua" w:cs="Arial"/>
        </w:rPr>
        <w:t>Appellant</w:t>
      </w:r>
      <w:r w:rsidR="008F55A0">
        <w:rPr>
          <w:rFonts w:ascii="Book Antiqua" w:hAnsi="Book Antiqua" w:cs="Arial"/>
        </w:rPr>
        <w:t xml:space="preserve"> made further representations by way of</w:t>
      </w:r>
      <w:r w:rsidR="004F2F21">
        <w:rPr>
          <w:rFonts w:ascii="Book Antiqua" w:hAnsi="Book Antiqua" w:cs="Arial"/>
        </w:rPr>
        <w:t xml:space="preserve"> Statement of </w:t>
      </w:r>
      <w:r w:rsidR="00F224C0">
        <w:rPr>
          <w:rFonts w:ascii="Book Antiqua" w:hAnsi="Book Antiqua" w:cs="Arial"/>
        </w:rPr>
        <w:t>Additional</w:t>
      </w:r>
      <w:r w:rsidR="004F2F21">
        <w:rPr>
          <w:rFonts w:ascii="Book Antiqua" w:hAnsi="Book Antiqua" w:cs="Arial"/>
        </w:rPr>
        <w:t xml:space="preserve"> Grounds which were in due course considered by the </w:t>
      </w:r>
      <w:r w:rsidR="00262554">
        <w:rPr>
          <w:rFonts w:ascii="Book Antiqua" w:hAnsi="Book Antiqua" w:cs="Arial"/>
        </w:rPr>
        <w:t>Respondent</w:t>
      </w:r>
      <w:r w:rsidR="004F2F21">
        <w:rPr>
          <w:rFonts w:ascii="Book Antiqua" w:hAnsi="Book Antiqua" w:cs="Arial"/>
        </w:rPr>
        <w:t xml:space="preserve"> leading to the decision of 13 April 2016</w:t>
      </w:r>
      <w:r>
        <w:rPr>
          <w:rFonts w:ascii="Book Antiqua" w:hAnsi="Book Antiqua" w:cs="Arial"/>
        </w:rPr>
        <w:t xml:space="preserve"> to refuse leave to remain which constitutes the ‘human rights decision’ that is the subject of these proceedings</w:t>
      </w:r>
      <w:r w:rsidR="004F2F21">
        <w:rPr>
          <w:rFonts w:ascii="Book Antiqua" w:hAnsi="Book Antiqua" w:cs="Arial"/>
        </w:rPr>
        <w:t xml:space="preserve">.  </w:t>
      </w:r>
    </w:p>
    <w:p w:rsidR="004F2F21" w:rsidRDefault="004F2F21" w:rsidP="00847259">
      <w:pPr>
        <w:ind w:left="567" w:hanging="567"/>
        <w:jc w:val="both"/>
        <w:rPr>
          <w:rFonts w:ascii="Book Antiqua" w:hAnsi="Book Antiqua" w:cs="Arial"/>
        </w:rPr>
      </w:pPr>
    </w:p>
    <w:p w:rsidR="008C1AFC" w:rsidRDefault="008C1AFC" w:rsidP="00847259">
      <w:pPr>
        <w:ind w:left="567" w:hanging="567"/>
        <w:jc w:val="both"/>
        <w:rPr>
          <w:rFonts w:ascii="Book Antiqua" w:hAnsi="Book Antiqua" w:cs="Arial"/>
        </w:rPr>
      </w:pPr>
    </w:p>
    <w:p w:rsidR="00B20178" w:rsidRDefault="008C1AFC" w:rsidP="00847259">
      <w:pPr>
        <w:ind w:left="567" w:hanging="567"/>
        <w:jc w:val="both"/>
        <w:rPr>
          <w:rFonts w:ascii="Book Antiqua" w:hAnsi="Book Antiqua" w:cs="Arial"/>
        </w:rPr>
      </w:pPr>
      <w:r>
        <w:rPr>
          <w:rFonts w:ascii="Book Antiqua" w:hAnsi="Book Antiqua" w:cs="Arial"/>
        </w:rPr>
        <w:t>6</w:t>
      </w:r>
      <w:r w:rsidR="004F2F21">
        <w:rPr>
          <w:rFonts w:ascii="Book Antiqua" w:hAnsi="Book Antiqua" w:cs="Arial"/>
        </w:rPr>
        <w:t>.</w:t>
      </w:r>
      <w:r w:rsidR="004F2F21">
        <w:rPr>
          <w:rFonts w:ascii="Book Antiqua" w:hAnsi="Book Antiqua" w:cs="Arial"/>
        </w:rPr>
        <w:tab/>
        <w:t xml:space="preserve">The application </w:t>
      </w:r>
      <w:r w:rsidR="00B20178">
        <w:rPr>
          <w:rFonts w:ascii="Book Antiqua" w:hAnsi="Book Antiqua" w:cs="Arial"/>
        </w:rPr>
        <w:t xml:space="preserve">in 2013 </w:t>
      </w:r>
      <w:r w:rsidR="004F2F21">
        <w:rPr>
          <w:rFonts w:ascii="Book Antiqua" w:hAnsi="Book Antiqua" w:cs="Arial"/>
        </w:rPr>
        <w:t xml:space="preserve">for a derivative residence card was made </w:t>
      </w:r>
      <w:proofErr w:type="gramStart"/>
      <w:r w:rsidR="004F2F21">
        <w:rPr>
          <w:rFonts w:ascii="Book Antiqua" w:hAnsi="Book Antiqua" w:cs="Arial"/>
        </w:rPr>
        <w:t>on the basis of</w:t>
      </w:r>
      <w:proofErr w:type="gramEnd"/>
      <w:r w:rsidR="004F2F21">
        <w:rPr>
          <w:rFonts w:ascii="Book Antiqua" w:hAnsi="Book Antiqua" w:cs="Arial"/>
        </w:rPr>
        <w:t xml:space="preserve"> an assertion that the </w:t>
      </w:r>
      <w:r w:rsidR="00262554">
        <w:rPr>
          <w:rFonts w:ascii="Book Antiqua" w:hAnsi="Book Antiqua" w:cs="Arial"/>
        </w:rPr>
        <w:t>Appellant</w:t>
      </w:r>
      <w:r w:rsidR="004F2F21">
        <w:rPr>
          <w:rFonts w:ascii="Book Antiqua" w:hAnsi="Book Antiqua" w:cs="Arial"/>
        </w:rPr>
        <w:t xml:space="preserve"> was the primary carer of </w:t>
      </w:r>
      <w:r w:rsidR="00B20178">
        <w:rPr>
          <w:rFonts w:ascii="Book Antiqua" w:hAnsi="Book Antiqua" w:cs="Arial"/>
        </w:rPr>
        <w:t>two</w:t>
      </w:r>
      <w:r w:rsidR="004F2F21">
        <w:rPr>
          <w:rFonts w:ascii="Book Antiqua" w:hAnsi="Book Antiqua" w:cs="Arial"/>
        </w:rPr>
        <w:t xml:space="preserve"> British citizen</w:t>
      </w:r>
      <w:r w:rsidR="00B20178">
        <w:rPr>
          <w:rFonts w:ascii="Book Antiqua" w:hAnsi="Book Antiqua" w:cs="Arial"/>
        </w:rPr>
        <w:t>s</w:t>
      </w:r>
      <w:r w:rsidR="004F2F21">
        <w:rPr>
          <w:rFonts w:ascii="Book Antiqua" w:hAnsi="Book Antiqua" w:cs="Arial"/>
        </w:rPr>
        <w:t xml:space="preserve">, TF </w:t>
      </w:r>
      <w:r w:rsidR="00B20178">
        <w:rPr>
          <w:rFonts w:ascii="Book Antiqua" w:hAnsi="Book Antiqua" w:cs="Arial"/>
        </w:rPr>
        <w:t>(</w:t>
      </w:r>
      <w:r w:rsidR="004F2F21">
        <w:rPr>
          <w:rFonts w:ascii="Book Antiqua" w:hAnsi="Book Antiqua" w:cs="Arial"/>
        </w:rPr>
        <w:t>date of birth September 1999</w:t>
      </w:r>
      <w:r w:rsidR="00B20178">
        <w:rPr>
          <w:rFonts w:ascii="Book Antiqua" w:hAnsi="Book Antiqua" w:cs="Arial"/>
        </w:rPr>
        <w:t>)</w:t>
      </w:r>
      <w:r w:rsidR="004F2F21">
        <w:rPr>
          <w:rFonts w:ascii="Book Antiqua" w:hAnsi="Book Antiqua" w:cs="Arial"/>
        </w:rPr>
        <w:t xml:space="preserve">, and SF </w:t>
      </w:r>
      <w:r w:rsidR="00B20178">
        <w:rPr>
          <w:rFonts w:ascii="Book Antiqua" w:hAnsi="Book Antiqua" w:cs="Arial"/>
        </w:rPr>
        <w:t>(</w:t>
      </w:r>
      <w:r w:rsidR="004F2F21">
        <w:rPr>
          <w:rFonts w:ascii="Book Antiqua" w:hAnsi="Book Antiqua" w:cs="Arial"/>
        </w:rPr>
        <w:t>date of birth September 2003</w:t>
      </w:r>
      <w:r w:rsidR="00B20178">
        <w:rPr>
          <w:rFonts w:ascii="Book Antiqua" w:hAnsi="Book Antiqua" w:cs="Arial"/>
        </w:rPr>
        <w:t>)</w:t>
      </w:r>
      <w:r w:rsidR="004F2F21">
        <w:rPr>
          <w:rFonts w:ascii="Book Antiqua" w:hAnsi="Book Antiqua" w:cs="Arial"/>
        </w:rPr>
        <w:t xml:space="preserve">.  The </w:t>
      </w:r>
      <w:r w:rsidR="00262554">
        <w:rPr>
          <w:rFonts w:ascii="Book Antiqua" w:hAnsi="Book Antiqua" w:cs="Arial"/>
        </w:rPr>
        <w:t>Appellant</w:t>
      </w:r>
      <w:r w:rsidR="004F2F21">
        <w:rPr>
          <w:rFonts w:ascii="Book Antiqua" w:hAnsi="Book Antiqua" w:cs="Arial"/>
        </w:rPr>
        <w:t xml:space="preserve"> </w:t>
      </w:r>
      <w:r w:rsidR="00B20178">
        <w:rPr>
          <w:rFonts w:ascii="Book Antiqua" w:hAnsi="Book Antiqua" w:cs="Arial"/>
        </w:rPr>
        <w:t>i</w:t>
      </w:r>
      <w:r w:rsidR="004F2F21">
        <w:rPr>
          <w:rFonts w:ascii="Book Antiqua" w:hAnsi="Book Antiqua" w:cs="Arial"/>
        </w:rPr>
        <w:t>s the great-aunt of the girls</w:t>
      </w:r>
      <w:r w:rsidR="00B20178">
        <w:rPr>
          <w:rFonts w:ascii="Book Antiqua" w:hAnsi="Book Antiqua" w:cs="Arial"/>
        </w:rPr>
        <w:t>:</w:t>
      </w:r>
      <w:r w:rsidR="004F2F21">
        <w:rPr>
          <w:rFonts w:ascii="Book Antiqua" w:hAnsi="Book Antiqua" w:cs="Arial"/>
        </w:rPr>
        <w:t xml:space="preserve"> the </w:t>
      </w:r>
      <w:r w:rsidR="00262554">
        <w:rPr>
          <w:rFonts w:ascii="Book Antiqua" w:hAnsi="Book Antiqua" w:cs="Arial"/>
        </w:rPr>
        <w:t>Appellant</w:t>
      </w:r>
      <w:r w:rsidR="004F2F21">
        <w:rPr>
          <w:rFonts w:ascii="Book Antiqua" w:hAnsi="Book Antiqua" w:cs="Arial"/>
        </w:rPr>
        <w:t xml:space="preserve">’s sister’s </w:t>
      </w:r>
      <w:r w:rsidR="00B20178">
        <w:rPr>
          <w:rFonts w:ascii="Book Antiqua" w:hAnsi="Book Antiqua" w:cs="Arial"/>
        </w:rPr>
        <w:t>daughter – i.e.</w:t>
      </w:r>
      <w:r w:rsidR="004F2F21">
        <w:rPr>
          <w:rFonts w:ascii="Book Antiqua" w:hAnsi="Book Antiqua" w:cs="Arial"/>
        </w:rPr>
        <w:t xml:space="preserve"> the </w:t>
      </w:r>
      <w:r w:rsidR="00262554">
        <w:rPr>
          <w:rFonts w:ascii="Book Antiqua" w:hAnsi="Book Antiqua" w:cs="Arial"/>
        </w:rPr>
        <w:t>Appellant</w:t>
      </w:r>
      <w:r w:rsidR="004F2F21">
        <w:rPr>
          <w:rFonts w:ascii="Book Antiqua" w:hAnsi="Book Antiqua" w:cs="Arial"/>
        </w:rPr>
        <w:t>’s niece</w:t>
      </w:r>
      <w:r w:rsidR="00B20178">
        <w:rPr>
          <w:rFonts w:ascii="Book Antiqua" w:hAnsi="Book Antiqua" w:cs="Arial"/>
        </w:rPr>
        <w:t xml:space="preserve"> -</w:t>
      </w:r>
      <w:r w:rsidR="004F2F21">
        <w:rPr>
          <w:rFonts w:ascii="Book Antiqua" w:hAnsi="Book Antiqua" w:cs="Arial"/>
        </w:rPr>
        <w:t xml:space="preserve"> was the </w:t>
      </w:r>
      <w:r w:rsidR="00B20178">
        <w:rPr>
          <w:rFonts w:ascii="Book Antiqua" w:hAnsi="Book Antiqua" w:cs="Arial"/>
        </w:rPr>
        <w:t xml:space="preserve">girls’ </w:t>
      </w:r>
      <w:r w:rsidR="004F2F21">
        <w:rPr>
          <w:rFonts w:ascii="Book Antiqua" w:hAnsi="Book Antiqua" w:cs="Arial"/>
        </w:rPr>
        <w:t xml:space="preserve">mother.  The girls’ mother, SLF, was diagnosed with cancer and died from her disease on 3 May 2008.  It is said that the </w:t>
      </w:r>
      <w:r w:rsidR="00262554">
        <w:rPr>
          <w:rFonts w:ascii="Book Antiqua" w:hAnsi="Book Antiqua" w:cs="Arial"/>
        </w:rPr>
        <w:t>Appellant</w:t>
      </w:r>
      <w:r w:rsidR="004F2F21">
        <w:rPr>
          <w:rFonts w:ascii="Book Antiqua" w:hAnsi="Book Antiqua" w:cs="Arial"/>
        </w:rPr>
        <w:t xml:space="preserve"> had begun to undertake a caring role in respect of the girls during the end stage of their mother’s illness</w:t>
      </w:r>
      <w:r w:rsidR="00B20178">
        <w:rPr>
          <w:rFonts w:ascii="Book Antiqua" w:hAnsi="Book Antiqua" w:cs="Arial"/>
        </w:rPr>
        <w:t>,</w:t>
      </w:r>
      <w:r w:rsidR="004F2F21">
        <w:rPr>
          <w:rFonts w:ascii="Book Antiqua" w:hAnsi="Book Antiqua" w:cs="Arial"/>
        </w:rPr>
        <w:t xml:space="preserve"> and had continued to act as a joint primary carer with the girls’ father, Mr A</w:t>
      </w:r>
      <w:r w:rsidR="00B20178">
        <w:rPr>
          <w:rFonts w:ascii="Book Antiqua" w:hAnsi="Book Antiqua" w:cs="Arial"/>
        </w:rPr>
        <w:t>M.  However, it w</w:t>
      </w:r>
      <w:r w:rsidR="004F2F21">
        <w:rPr>
          <w:rFonts w:ascii="Book Antiqua" w:hAnsi="Book Antiqua" w:cs="Arial"/>
        </w:rPr>
        <w:t>as noted that at the time of the application</w:t>
      </w:r>
      <w:r w:rsidR="00B20178">
        <w:rPr>
          <w:rFonts w:ascii="Book Antiqua" w:hAnsi="Book Antiqua" w:cs="Arial"/>
        </w:rPr>
        <w:t xml:space="preserve"> in 2013</w:t>
      </w:r>
      <w:r w:rsidR="004F2F21">
        <w:rPr>
          <w:rFonts w:ascii="Book Antiqua" w:hAnsi="Book Antiqua" w:cs="Arial"/>
        </w:rPr>
        <w:t xml:space="preserve"> the </w:t>
      </w:r>
      <w:r w:rsidR="00262554">
        <w:rPr>
          <w:rFonts w:ascii="Book Antiqua" w:hAnsi="Book Antiqua" w:cs="Arial"/>
        </w:rPr>
        <w:t>Appellant</w:t>
      </w:r>
      <w:r w:rsidR="004F2F21">
        <w:rPr>
          <w:rFonts w:ascii="Book Antiqua" w:hAnsi="Book Antiqua" w:cs="Arial"/>
        </w:rPr>
        <w:t xml:space="preserve"> did not reside with the girls</w:t>
      </w:r>
      <w:r w:rsidR="00B20178">
        <w:rPr>
          <w:rFonts w:ascii="Book Antiqua" w:hAnsi="Book Antiqua" w:cs="Arial"/>
        </w:rPr>
        <w:t>.</w:t>
      </w:r>
      <w:r w:rsidR="004F2F21">
        <w:rPr>
          <w:rFonts w:ascii="Book Antiqua" w:hAnsi="Book Antiqua" w:cs="Arial"/>
        </w:rPr>
        <w:t xml:space="preserve"> </w:t>
      </w:r>
      <w:r w:rsidR="00B20178">
        <w:rPr>
          <w:rFonts w:ascii="Book Antiqua" w:hAnsi="Book Antiqua" w:cs="Arial"/>
        </w:rPr>
        <w:t>F</w:t>
      </w:r>
      <w:r w:rsidR="004F2F21">
        <w:rPr>
          <w:rFonts w:ascii="Book Antiqua" w:hAnsi="Book Antiqua" w:cs="Arial"/>
        </w:rPr>
        <w:t>or</w:t>
      </w:r>
      <w:r w:rsidR="00B20178">
        <w:rPr>
          <w:rFonts w:ascii="Book Antiqua" w:hAnsi="Book Antiqua" w:cs="Arial"/>
        </w:rPr>
        <w:t xml:space="preserve"> this and other</w:t>
      </w:r>
      <w:r w:rsidR="004F2F21">
        <w:rPr>
          <w:rFonts w:ascii="Book Antiqua" w:hAnsi="Book Antiqua" w:cs="Arial"/>
        </w:rPr>
        <w:t xml:space="preserve"> reasons </w:t>
      </w:r>
      <w:r w:rsidR="00B20178">
        <w:rPr>
          <w:rFonts w:ascii="Book Antiqua" w:hAnsi="Book Antiqua" w:cs="Arial"/>
        </w:rPr>
        <w:t>it was concluded</w:t>
      </w:r>
      <w:r w:rsidR="004F2F21">
        <w:rPr>
          <w:rFonts w:ascii="Book Antiqua" w:hAnsi="Book Antiqua" w:cs="Arial"/>
        </w:rPr>
        <w:t xml:space="preserve"> that the girls would not be required to leave the UK or the EEA in the event of the </w:t>
      </w:r>
      <w:r w:rsidR="00262554">
        <w:rPr>
          <w:rFonts w:ascii="Book Antiqua" w:hAnsi="Book Antiqua" w:cs="Arial"/>
        </w:rPr>
        <w:t>Appellant</w:t>
      </w:r>
      <w:r w:rsidR="00B20178">
        <w:rPr>
          <w:rFonts w:ascii="Book Antiqua" w:hAnsi="Book Antiqua" w:cs="Arial"/>
        </w:rPr>
        <w:t>’s removal, and so the application</w:t>
      </w:r>
      <w:r w:rsidR="004F2F21">
        <w:rPr>
          <w:rFonts w:ascii="Book Antiqua" w:hAnsi="Book Antiqua" w:cs="Arial"/>
        </w:rPr>
        <w:t xml:space="preserve"> was refused.</w:t>
      </w:r>
    </w:p>
    <w:p w:rsidR="00B20178" w:rsidRDefault="00B20178" w:rsidP="00847259">
      <w:pPr>
        <w:ind w:left="567" w:hanging="567"/>
        <w:jc w:val="both"/>
        <w:rPr>
          <w:rFonts w:ascii="Book Antiqua" w:hAnsi="Book Antiqua" w:cs="Arial"/>
        </w:rPr>
      </w:pPr>
    </w:p>
    <w:p w:rsidR="00B20178" w:rsidRDefault="00B20178" w:rsidP="00847259">
      <w:pPr>
        <w:ind w:left="567" w:hanging="567"/>
        <w:jc w:val="both"/>
        <w:rPr>
          <w:rFonts w:ascii="Book Antiqua" w:hAnsi="Book Antiqua" w:cs="Arial"/>
        </w:rPr>
      </w:pPr>
    </w:p>
    <w:p w:rsidR="004F2F21" w:rsidRDefault="00B20178" w:rsidP="00847259">
      <w:pPr>
        <w:ind w:left="567" w:hanging="567"/>
        <w:jc w:val="both"/>
        <w:rPr>
          <w:rFonts w:ascii="Book Antiqua" w:hAnsi="Book Antiqua" w:cs="Arial"/>
        </w:rPr>
      </w:pPr>
      <w:r>
        <w:rPr>
          <w:rFonts w:ascii="Book Antiqua" w:hAnsi="Book Antiqua" w:cs="Arial"/>
        </w:rPr>
        <w:t>7.</w:t>
      </w:r>
      <w:r>
        <w:rPr>
          <w:rFonts w:ascii="Book Antiqua" w:hAnsi="Book Antiqua" w:cs="Arial"/>
        </w:rPr>
        <w:tab/>
      </w:r>
      <w:r w:rsidR="004F2F21">
        <w:rPr>
          <w:rFonts w:ascii="Book Antiqua" w:hAnsi="Book Antiqua" w:cs="Arial"/>
        </w:rPr>
        <w:t xml:space="preserve">Nonetheless, the </w:t>
      </w:r>
      <w:r>
        <w:rPr>
          <w:rFonts w:ascii="Book Antiqua" w:hAnsi="Book Antiqua" w:cs="Arial"/>
        </w:rPr>
        <w:t xml:space="preserve">Appellant’s </w:t>
      </w:r>
      <w:r w:rsidR="004F2F21">
        <w:rPr>
          <w:rFonts w:ascii="Book Antiqua" w:hAnsi="Book Antiqua" w:cs="Arial"/>
        </w:rPr>
        <w:t xml:space="preserve">relationship with the girls was taken forward into the subsequent representations made </w:t>
      </w:r>
      <w:r>
        <w:rPr>
          <w:rFonts w:ascii="Book Antiqua" w:hAnsi="Book Antiqua" w:cs="Arial"/>
        </w:rPr>
        <w:t>on her</w:t>
      </w:r>
      <w:r w:rsidR="004F2F21">
        <w:rPr>
          <w:rFonts w:ascii="Book Antiqua" w:hAnsi="Book Antiqua" w:cs="Arial"/>
        </w:rPr>
        <w:t xml:space="preserve"> behalf.</w:t>
      </w:r>
    </w:p>
    <w:p w:rsidR="004F2F21" w:rsidRDefault="004F2F21" w:rsidP="00847259">
      <w:pPr>
        <w:ind w:left="567" w:hanging="567"/>
        <w:jc w:val="both"/>
        <w:rPr>
          <w:rFonts w:ascii="Book Antiqua" w:hAnsi="Book Antiqua" w:cs="Arial"/>
        </w:rPr>
      </w:pPr>
    </w:p>
    <w:p w:rsidR="00B20178" w:rsidRDefault="00B20178" w:rsidP="00847259">
      <w:pPr>
        <w:ind w:left="567" w:hanging="567"/>
        <w:jc w:val="both"/>
        <w:rPr>
          <w:rFonts w:ascii="Book Antiqua" w:hAnsi="Book Antiqua" w:cs="Arial"/>
        </w:rPr>
      </w:pPr>
    </w:p>
    <w:p w:rsidR="00B20178" w:rsidRDefault="00B20178" w:rsidP="00847259">
      <w:pPr>
        <w:ind w:left="567" w:hanging="567"/>
        <w:jc w:val="both"/>
        <w:rPr>
          <w:rFonts w:ascii="Book Antiqua" w:hAnsi="Book Antiqua" w:cs="Arial"/>
        </w:rPr>
      </w:pPr>
      <w:r>
        <w:rPr>
          <w:rFonts w:ascii="Book Antiqua" w:hAnsi="Book Antiqua" w:cs="Arial"/>
        </w:rPr>
        <w:t>8</w:t>
      </w:r>
      <w:r w:rsidR="004F2F21">
        <w:rPr>
          <w:rFonts w:ascii="Book Antiqua" w:hAnsi="Book Antiqua" w:cs="Arial"/>
        </w:rPr>
        <w:t>.</w:t>
      </w:r>
      <w:r w:rsidR="004F2F21">
        <w:rPr>
          <w:rFonts w:ascii="Book Antiqua" w:hAnsi="Book Antiqua" w:cs="Arial"/>
        </w:rPr>
        <w:tab/>
      </w:r>
      <w:r>
        <w:rPr>
          <w:rFonts w:ascii="Book Antiqua" w:hAnsi="Book Antiqua" w:cs="Arial"/>
        </w:rPr>
        <w:t>In the premises,</w:t>
      </w:r>
      <w:r w:rsidR="002C529F">
        <w:rPr>
          <w:rFonts w:ascii="Book Antiqua" w:hAnsi="Book Antiqua" w:cs="Arial"/>
        </w:rPr>
        <w:t xml:space="preserve"> it is helpful to have regard to the </w:t>
      </w:r>
      <w:r w:rsidR="00F224C0">
        <w:rPr>
          <w:rFonts w:ascii="Book Antiqua" w:hAnsi="Book Antiqua" w:cs="Arial"/>
        </w:rPr>
        <w:t>supporting</w:t>
      </w:r>
      <w:r w:rsidR="002C529F">
        <w:rPr>
          <w:rFonts w:ascii="Book Antiqua" w:hAnsi="Book Antiqua" w:cs="Arial"/>
        </w:rPr>
        <w:t xml:space="preserve"> evidence </w:t>
      </w:r>
      <w:r w:rsidR="006D0AD9">
        <w:rPr>
          <w:rFonts w:ascii="Book Antiqua" w:hAnsi="Book Antiqua" w:cs="Arial"/>
        </w:rPr>
        <w:t>relevant to a consideration</w:t>
      </w:r>
      <w:r>
        <w:rPr>
          <w:rFonts w:ascii="Book Antiqua" w:hAnsi="Book Antiqua" w:cs="Arial"/>
        </w:rPr>
        <w:t xml:space="preserve"> of</w:t>
      </w:r>
      <w:r w:rsidR="002C529F">
        <w:rPr>
          <w:rFonts w:ascii="Book Antiqua" w:hAnsi="Book Antiqua" w:cs="Arial"/>
        </w:rPr>
        <w:t xml:space="preserve"> the nature </w:t>
      </w:r>
      <w:r w:rsidR="006D0AD9">
        <w:rPr>
          <w:rFonts w:ascii="Book Antiqua" w:hAnsi="Book Antiqua" w:cs="Arial"/>
        </w:rPr>
        <w:t xml:space="preserve">and extent </w:t>
      </w:r>
      <w:r w:rsidR="002C529F">
        <w:rPr>
          <w:rFonts w:ascii="Book Antiqua" w:hAnsi="Book Antiqua" w:cs="Arial"/>
        </w:rPr>
        <w:t xml:space="preserve">of the </w:t>
      </w:r>
      <w:r w:rsidR="00262554">
        <w:rPr>
          <w:rFonts w:ascii="Book Antiqua" w:hAnsi="Book Antiqua" w:cs="Arial"/>
        </w:rPr>
        <w:t>Appellant</w:t>
      </w:r>
      <w:r w:rsidR="002C529F">
        <w:rPr>
          <w:rFonts w:ascii="Book Antiqua" w:hAnsi="Book Antiqua" w:cs="Arial"/>
        </w:rPr>
        <w:t xml:space="preserve">’s relationship with the </w:t>
      </w:r>
      <w:r>
        <w:rPr>
          <w:rFonts w:ascii="Book Antiqua" w:hAnsi="Book Antiqua" w:cs="Arial"/>
        </w:rPr>
        <w:t>T</w:t>
      </w:r>
      <w:r w:rsidR="00172C4A">
        <w:rPr>
          <w:rFonts w:ascii="Book Antiqua" w:hAnsi="Book Antiqua" w:cs="Arial"/>
        </w:rPr>
        <w:t>F</w:t>
      </w:r>
      <w:r>
        <w:rPr>
          <w:rFonts w:ascii="Book Antiqua" w:hAnsi="Book Antiqua" w:cs="Arial"/>
        </w:rPr>
        <w:t xml:space="preserve"> and S</w:t>
      </w:r>
      <w:r w:rsidR="00172C4A">
        <w:rPr>
          <w:rFonts w:ascii="Book Antiqua" w:hAnsi="Book Antiqua" w:cs="Arial"/>
        </w:rPr>
        <w:t>F</w:t>
      </w:r>
      <w:r w:rsidR="002C529F">
        <w:rPr>
          <w:rFonts w:ascii="Book Antiqua" w:hAnsi="Book Antiqua" w:cs="Arial"/>
        </w:rPr>
        <w:t xml:space="preserve">.  </w:t>
      </w:r>
      <w:r w:rsidR="00CC7624">
        <w:rPr>
          <w:rFonts w:ascii="Book Antiqua" w:hAnsi="Book Antiqua" w:cs="Arial"/>
        </w:rPr>
        <w:t xml:space="preserve">Included in the </w:t>
      </w:r>
      <w:r w:rsidR="00F224C0">
        <w:rPr>
          <w:rFonts w:ascii="Book Antiqua" w:hAnsi="Book Antiqua" w:cs="Arial"/>
        </w:rPr>
        <w:t>materials</w:t>
      </w:r>
      <w:r w:rsidR="00CC7624">
        <w:rPr>
          <w:rFonts w:ascii="Book Antiqua" w:hAnsi="Book Antiqua" w:cs="Arial"/>
        </w:rPr>
        <w:t xml:space="preserve"> in the </w:t>
      </w:r>
      <w:r w:rsidR="00262554">
        <w:rPr>
          <w:rFonts w:ascii="Book Antiqua" w:hAnsi="Book Antiqua" w:cs="Arial"/>
        </w:rPr>
        <w:t>Respondent</w:t>
      </w:r>
      <w:r w:rsidR="002C529F">
        <w:rPr>
          <w:rFonts w:ascii="Book Antiqua" w:hAnsi="Book Antiqua" w:cs="Arial"/>
        </w:rPr>
        <w:t xml:space="preserve">’s bundle before the First-tier Tribunal </w:t>
      </w:r>
      <w:r w:rsidR="00CC7624">
        <w:rPr>
          <w:rFonts w:ascii="Book Antiqua" w:hAnsi="Book Antiqua" w:cs="Arial"/>
        </w:rPr>
        <w:t>w</w:t>
      </w:r>
      <w:r>
        <w:rPr>
          <w:rFonts w:ascii="Book Antiqua" w:hAnsi="Book Antiqua" w:cs="Arial"/>
        </w:rPr>
        <w:t>ere:</w:t>
      </w:r>
    </w:p>
    <w:p w:rsidR="00B20178" w:rsidRDefault="00B20178" w:rsidP="00847259">
      <w:pPr>
        <w:ind w:left="567" w:hanging="567"/>
        <w:jc w:val="both"/>
        <w:rPr>
          <w:rFonts w:ascii="Book Antiqua" w:hAnsi="Book Antiqua" w:cs="Arial"/>
        </w:rPr>
      </w:pPr>
    </w:p>
    <w:p w:rsidR="00A732B1" w:rsidRDefault="00FB5626" w:rsidP="00A732B1">
      <w:pPr>
        <w:ind w:left="1134"/>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 xml:space="preserve">) </w:t>
      </w:r>
      <w:r w:rsidR="00A732B1">
        <w:rPr>
          <w:rFonts w:ascii="Book Antiqua" w:hAnsi="Book Antiqua" w:cs="Arial"/>
        </w:rPr>
        <w:t>A</w:t>
      </w:r>
      <w:r w:rsidR="00CC7624">
        <w:rPr>
          <w:rFonts w:ascii="Book Antiqua" w:hAnsi="Book Antiqua" w:cs="Arial"/>
        </w:rPr>
        <w:t xml:space="preserve"> letter dated 1 June 2011 from Mr </w:t>
      </w:r>
      <w:r w:rsidR="00172C4A">
        <w:rPr>
          <w:rFonts w:ascii="Book Antiqua" w:hAnsi="Book Antiqua" w:cs="Arial"/>
        </w:rPr>
        <w:t>A</w:t>
      </w:r>
      <w:r w:rsidR="00CC7624">
        <w:rPr>
          <w:rFonts w:ascii="Book Antiqua" w:hAnsi="Book Antiqua" w:cs="Arial"/>
        </w:rPr>
        <w:t>M</w:t>
      </w:r>
      <w:r w:rsidR="00A732B1">
        <w:rPr>
          <w:rFonts w:ascii="Book Antiqua" w:hAnsi="Book Antiqua" w:cs="Arial"/>
        </w:rPr>
        <w:t xml:space="preserve"> in which it was </w:t>
      </w:r>
      <w:r w:rsidR="00CC7624">
        <w:rPr>
          <w:rFonts w:ascii="Book Antiqua" w:hAnsi="Book Antiqua" w:cs="Arial"/>
        </w:rPr>
        <w:t xml:space="preserve">stated that the </w:t>
      </w:r>
      <w:r w:rsidR="00262554">
        <w:rPr>
          <w:rFonts w:ascii="Book Antiqua" w:hAnsi="Book Antiqua" w:cs="Arial"/>
        </w:rPr>
        <w:t>Appellant</w:t>
      </w:r>
      <w:r w:rsidR="00CC7624">
        <w:rPr>
          <w:rFonts w:ascii="Book Antiqua" w:hAnsi="Book Antiqua" w:cs="Arial"/>
        </w:rPr>
        <w:t xml:space="preserve"> “</w:t>
      </w:r>
      <w:r w:rsidR="00CC7624" w:rsidRPr="00CC7624">
        <w:rPr>
          <w:rFonts w:ascii="Book Antiqua" w:hAnsi="Book Antiqua" w:cs="Arial"/>
          <w:i/>
        </w:rPr>
        <w:t xml:space="preserve">has been a good grand aunt, </w:t>
      </w:r>
      <w:proofErr w:type="spellStart"/>
      <w:r w:rsidR="00F224C0" w:rsidRPr="00CC7624">
        <w:rPr>
          <w:rFonts w:ascii="Book Antiqua" w:hAnsi="Book Antiqua" w:cs="Arial"/>
          <w:i/>
        </w:rPr>
        <w:t>hard</w:t>
      </w:r>
      <w:r w:rsidR="00CC7624" w:rsidRPr="00CC7624">
        <w:rPr>
          <w:rFonts w:ascii="Book Antiqua" w:hAnsi="Book Antiqua" w:cs="Arial"/>
          <w:i/>
        </w:rPr>
        <w:t xml:space="preserve"> working</w:t>
      </w:r>
      <w:proofErr w:type="spellEnd"/>
      <w:r w:rsidR="00CC7624" w:rsidRPr="00CC7624">
        <w:rPr>
          <w:rFonts w:ascii="Book Antiqua" w:hAnsi="Book Antiqua" w:cs="Arial"/>
          <w:i/>
        </w:rPr>
        <w:t>, helpful and reliable and has a close bond with the children</w:t>
      </w:r>
      <w:r w:rsidR="00A732B1">
        <w:rPr>
          <w:rFonts w:ascii="Book Antiqua" w:hAnsi="Book Antiqua" w:cs="Arial"/>
        </w:rPr>
        <w:t>”.</w:t>
      </w:r>
    </w:p>
    <w:p w:rsidR="00A732B1" w:rsidRDefault="00A732B1" w:rsidP="00B20178">
      <w:pPr>
        <w:ind w:left="567"/>
        <w:jc w:val="both"/>
        <w:rPr>
          <w:rFonts w:ascii="Book Antiqua" w:hAnsi="Book Antiqua" w:cs="Arial"/>
        </w:rPr>
      </w:pPr>
    </w:p>
    <w:p w:rsidR="006D0AD9" w:rsidRDefault="00FB5626" w:rsidP="006D0AD9">
      <w:pPr>
        <w:ind w:left="1134"/>
        <w:jc w:val="both"/>
        <w:rPr>
          <w:rFonts w:ascii="Book Antiqua" w:hAnsi="Book Antiqua" w:cs="Arial"/>
        </w:rPr>
      </w:pPr>
      <w:r>
        <w:rPr>
          <w:rFonts w:ascii="Book Antiqua" w:hAnsi="Book Antiqua" w:cs="Arial"/>
        </w:rPr>
        <w:t xml:space="preserve">(ii) </w:t>
      </w:r>
      <w:r w:rsidR="00CC7624">
        <w:rPr>
          <w:rFonts w:ascii="Book Antiqua" w:hAnsi="Book Antiqua" w:cs="Arial"/>
        </w:rPr>
        <w:t xml:space="preserve">A statement by the </w:t>
      </w:r>
      <w:r w:rsidR="00262554">
        <w:rPr>
          <w:rFonts w:ascii="Book Antiqua" w:hAnsi="Book Antiqua" w:cs="Arial"/>
        </w:rPr>
        <w:t>Appellant</w:t>
      </w:r>
      <w:r w:rsidR="00CC7624">
        <w:rPr>
          <w:rFonts w:ascii="Book Antiqua" w:hAnsi="Book Antiqua" w:cs="Arial"/>
        </w:rPr>
        <w:t xml:space="preserve"> dated 13 July 2011 referr</w:t>
      </w:r>
      <w:r w:rsidR="00A732B1">
        <w:rPr>
          <w:rFonts w:ascii="Book Antiqua" w:hAnsi="Book Antiqua" w:cs="Arial"/>
        </w:rPr>
        <w:t>ing</w:t>
      </w:r>
      <w:r w:rsidR="00CC7624">
        <w:rPr>
          <w:rFonts w:ascii="Book Antiqua" w:hAnsi="Book Antiqua" w:cs="Arial"/>
        </w:rPr>
        <w:t xml:space="preserve"> to the </w:t>
      </w:r>
      <w:r w:rsidR="00262554">
        <w:rPr>
          <w:rFonts w:ascii="Book Antiqua" w:hAnsi="Book Antiqua" w:cs="Arial"/>
        </w:rPr>
        <w:t>Appellant</w:t>
      </w:r>
      <w:r w:rsidR="00CC7624">
        <w:rPr>
          <w:rFonts w:ascii="Book Antiqua" w:hAnsi="Book Antiqua" w:cs="Arial"/>
        </w:rPr>
        <w:t>’s relationship and contact with the girls</w:t>
      </w:r>
      <w:r w:rsidR="00A732B1">
        <w:rPr>
          <w:rFonts w:ascii="Book Antiqua" w:hAnsi="Book Antiqua" w:cs="Arial"/>
        </w:rPr>
        <w:t>. However, the statement also</w:t>
      </w:r>
      <w:r w:rsidR="00CC7624">
        <w:rPr>
          <w:rFonts w:ascii="Book Antiqua" w:hAnsi="Book Antiqua" w:cs="Arial"/>
        </w:rPr>
        <w:t xml:space="preserve"> referred to</w:t>
      </w:r>
      <w:r w:rsidR="00A732B1">
        <w:rPr>
          <w:rFonts w:ascii="Book Antiqua" w:hAnsi="Book Antiqua" w:cs="Arial"/>
        </w:rPr>
        <w:t xml:space="preserve"> providing</w:t>
      </w:r>
      <w:r w:rsidR="00CC7624">
        <w:rPr>
          <w:rFonts w:ascii="Book Antiqua" w:hAnsi="Book Antiqua" w:cs="Arial"/>
        </w:rPr>
        <w:t xml:space="preserve"> help</w:t>
      </w:r>
      <w:r w:rsidR="00A732B1">
        <w:rPr>
          <w:rFonts w:ascii="Book Antiqua" w:hAnsi="Book Antiqua" w:cs="Arial"/>
        </w:rPr>
        <w:t xml:space="preserve"> to</w:t>
      </w:r>
      <w:r w:rsidR="00CC7624">
        <w:rPr>
          <w:rFonts w:ascii="Book Antiqua" w:hAnsi="Book Antiqua" w:cs="Arial"/>
        </w:rPr>
        <w:t xml:space="preserve"> the </w:t>
      </w:r>
      <w:r w:rsidR="00262554">
        <w:rPr>
          <w:rFonts w:ascii="Book Antiqua" w:hAnsi="Book Antiqua" w:cs="Arial"/>
        </w:rPr>
        <w:t>Appellant</w:t>
      </w:r>
      <w:r w:rsidR="00CC7624">
        <w:rPr>
          <w:rFonts w:ascii="Book Antiqua" w:hAnsi="Book Antiqua" w:cs="Arial"/>
        </w:rPr>
        <w:t>’s sister</w:t>
      </w:r>
      <w:r w:rsidR="00A732B1">
        <w:rPr>
          <w:rFonts w:ascii="Book Antiqua" w:hAnsi="Book Antiqua" w:cs="Arial"/>
        </w:rPr>
        <w:t>, Mrs RF: “</w:t>
      </w:r>
      <w:r w:rsidR="00A732B1" w:rsidRPr="00A732B1">
        <w:rPr>
          <w:rFonts w:ascii="Book Antiqua" w:hAnsi="Book Antiqua" w:cs="Arial"/>
          <w:i/>
        </w:rPr>
        <w:t>F</w:t>
      </w:r>
      <w:bookmarkStart w:id="0" w:name="_GoBack"/>
      <w:bookmarkEnd w:id="0"/>
      <w:r w:rsidR="00A732B1" w:rsidRPr="00A732B1">
        <w:rPr>
          <w:rFonts w:ascii="Book Antiqua" w:hAnsi="Book Antiqua" w:cs="Arial"/>
          <w:i/>
        </w:rPr>
        <w:t xml:space="preserve"> is currently suffering from severe form of osteoarthritis and cannot walk as a result. She recently had a major operation and has limited mobility. I also help her with her condition and she is now depending me to assist her with her daily life due to her current situation</w:t>
      </w:r>
      <w:r w:rsidR="00A732B1">
        <w:rPr>
          <w:rFonts w:ascii="Book Antiqua" w:hAnsi="Book Antiqua" w:cs="Arial"/>
        </w:rPr>
        <w:t>”</w:t>
      </w:r>
      <w:r w:rsidR="006D0AD9">
        <w:rPr>
          <w:rFonts w:ascii="Book Antiqua" w:hAnsi="Book Antiqua" w:cs="Arial"/>
        </w:rPr>
        <w:t>.</w:t>
      </w:r>
    </w:p>
    <w:p w:rsidR="006D0AD9" w:rsidRDefault="006D0AD9" w:rsidP="00A732B1">
      <w:pPr>
        <w:ind w:left="567" w:firstLine="567"/>
        <w:jc w:val="both"/>
        <w:rPr>
          <w:rFonts w:ascii="Book Antiqua" w:hAnsi="Book Antiqua" w:cs="Arial"/>
        </w:rPr>
      </w:pPr>
    </w:p>
    <w:p w:rsidR="006D0AD9" w:rsidRDefault="00FB5626" w:rsidP="006D0AD9">
      <w:pPr>
        <w:ind w:left="1134"/>
        <w:jc w:val="both"/>
        <w:rPr>
          <w:rFonts w:ascii="Book Antiqua" w:hAnsi="Book Antiqua" w:cs="Arial"/>
        </w:rPr>
      </w:pPr>
      <w:r>
        <w:rPr>
          <w:rFonts w:ascii="Book Antiqua" w:hAnsi="Book Antiqua" w:cs="Arial"/>
        </w:rPr>
        <w:t xml:space="preserve">(iii) </w:t>
      </w:r>
      <w:r w:rsidR="006D0AD9">
        <w:rPr>
          <w:rFonts w:ascii="Book Antiqua" w:hAnsi="Book Antiqua" w:cs="Arial"/>
        </w:rPr>
        <w:t>The Statement of Additional Grounds dated 3 February 2016 additionally referred to a caring role in respect of</w:t>
      </w:r>
      <w:r w:rsidR="00CC7624">
        <w:rPr>
          <w:rFonts w:ascii="Book Antiqua" w:hAnsi="Book Antiqua" w:cs="Arial"/>
        </w:rPr>
        <w:t xml:space="preserve"> an aging uncle</w:t>
      </w:r>
      <w:r w:rsidR="006D0AD9">
        <w:rPr>
          <w:rFonts w:ascii="Book Antiqua" w:hAnsi="Book Antiqua" w:cs="Arial"/>
        </w:rPr>
        <w:t>: “</w:t>
      </w:r>
      <w:r w:rsidR="006D0AD9" w:rsidRPr="006D0AD9">
        <w:rPr>
          <w:rFonts w:ascii="Book Antiqua" w:hAnsi="Book Antiqua" w:cs="Arial"/>
          <w:i/>
        </w:rPr>
        <w:t xml:space="preserve">the applicant has also taken on a vital role in the care of her uncle, Hubert </w:t>
      </w:r>
      <w:proofErr w:type="spellStart"/>
      <w:r w:rsidR="006D0AD9" w:rsidRPr="006D0AD9">
        <w:rPr>
          <w:rFonts w:ascii="Book Antiqua" w:hAnsi="Book Antiqua" w:cs="Arial"/>
          <w:i/>
        </w:rPr>
        <w:t>Vassell</w:t>
      </w:r>
      <w:proofErr w:type="spellEnd"/>
      <w:r w:rsidR="006D0AD9" w:rsidRPr="006D0AD9">
        <w:rPr>
          <w:rFonts w:ascii="Book Antiqua" w:hAnsi="Book Antiqua" w:cs="Arial"/>
          <w:i/>
        </w:rPr>
        <w:t>, whose age and medical condition have deteriorated over recent years</w:t>
      </w:r>
      <w:r w:rsidR="006D0AD9">
        <w:rPr>
          <w:rFonts w:ascii="Book Antiqua" w:hAnsi="Book Antiqua" w:cs="Arial"/>
        </w:rPr>
        <w:t>”.</w:t>
      </w:r>
    </w:p>
    <w:p w:rsidR="006D0AD9" w:rsidRDefault="006D0AD9" w:rsidP="006D0AD9">
      <w:pPr>
        <w:ind w:left="1134"/>
        <w:jc w:val="both"/>
        <w:rPr>
          <w:rFonts w:ascii="Book Antiqua" w:hAnsi="Book Antiqua" w:cs="Arial"/>
        </w:rPr>
      </w:pPr>
    </w:p>
    <w:p w:rsidR="006D0AD9" w:rsidRDefault="00FB5626" w:rsidP="006D0AD9">
      <w:pPr>
        <w:ind w:left="1134"/>
        <w:jc w:val="both"/>
        <w:rPr>
          <w:rFonts w:ascii="Book Antiqua" w:hAnsi="Book Antiqua" w:cs="Arial"/>
        </w:rPr>
      </w:pPr>
      <w:r>
        <w:rPr>
          <w:rFonts w:ascii="Book Antiqua" w:hAnsi="Book Antiqua" w:cs="Arial"/>
        </w:rPr>
        <w:t xml:space="preserve">(iv) </w:t>
      </w:r>
      <w:r w:rsidR="006D0AD9">
        <w:rPr>
          <w:rFonts w:ascii="Book Antiqua" w:hAnsi="Book Antiqua" w:cs="Arial"/>
        </w:rPr>
        <w:t>In the circumstances of undertaking caring roles in respect of a sister and an uncle,</w:t>
      </w:r>
      <w:r w:rsidR="00CC7624">
        <w:rPr>
          <w:rFonts w:ascii="Book Antiqua" w:hAnsi="Book Antiqua" w:cs="Arial"/>
        </w:rPr>
        <w:t xml:space="preserve"> it is not</w:t>
      </w:r>
      <w:r w:rsidR="006D0AD9">
        <w:rPr>
          <w:rFonts w:ascii="Book Antiqua" w:hAnsi="Book Antiqua" w:cs="Arial"/>
        </w:rPr>
        <w:t xml:space="preserve"> immediately or readily</w:t>
      </w:r>
      <w:r w:rsidR="00CC7624">
        <w:rPr>
          <w:rFonts w:ascii="Book Antiqua" w:hAnsi="Book Antiqua" w:cs="Arial"/>
        </w:rPr>
        <w:t xml:space="preserve"> apparent that the </w:t>
      </w:r>
      <w:r w:rsidR="00262554">
        <w:rPr>
          <w:rFonts w:ascii="Book Antiqua" w:hAnsi="Book Antiqua" w:cs="Arial"/>
        </w:rPr>
        <w:t>Appellant</w:t>
      </w:r>
      <w:r w:rsidR="00CC7624">
        <w:rPr>
          <w:rFonts w:ascii="Book Antiqua" w:hAnsi="Book Antiqua" w:cs="Arial"/>
        </w:rPr>
        <w:t xml:space="preserve"> was in a position to </w:t>
      </w:r>
      <w:r w:rsidR="006D0AD9">
        <w:rPr>
          <w:rFonts w:ascii="Book Antiqua" w:hAnsi="Book Antiqua" w:cs="Arial"/>
        </w:rPr>
        <w:t>provide</w:t>
      </w:r>
      <w:r w:rsidR="00CC7624">
        <w:rPr>
          <w:rFonts w:ascii="Book Antiqua" w:hAnsi="Book Antiqua" w:cs="Arial"/>
        </w:rPr>
        <w:t xml:space="preserve"> anything </w:t>
      </w:r>
      <w:r w:rsidR="006D0AD9">
        <w:rPr>
          <w:rFonts w:ascii="Book Antiqua" w:hAnsi="Book Antiqua" w:cs="Arial"/>
        </w:rPr>
        <w:t>more</w:t>
      </w:r>
      <w:r w:rsidR="00CC7624">
        <w:rPr>
          <w:rFonts w:ascii="Book Antiqua" w:hAnsi="Book Antiqua" w:cs="Arial"/>
        </w:rPr>
        <w:t xml:space="preserve"> than </w:t>
      </w:r>
      <w:r w:rsidR="00F224C0">
        <w:rPr>
          <w:rFonts w:ascii="Book Antiqua" w:hAnsi="Book Antiqua" w:cs="Arial"/>
        </w:rPr>
        <w:t>incidental</w:t>
      </w:r>
      <w:r w:rsidR="00CC7624">
        <w:rPr>
          <w:rFonts w:ascii="Book Antiqua" w:hAnsi="Book Antiqua" w:cs="Arial"/>
        </w:rPr>
        <w:t xml:space="preserve"> care</w:t>
      </w:r>
      <w:r w:rsidR="006D0AD9">
        <w:rPr>
          <w:rFonts w:ascii="Book Antiqua" w:hAnsi="Book Antiqua" w:cs="Arial"/>
        </w:rPr>
        <w:t xml:space="preserve"> and support</w:t>
      </w:r>
      <w:r w:rsidR="00CC7624">
        <w:rPr>
          <w:rFonts w:ascii="Book Antiqua" w:hAnsi="Book Antiqua" w:cs="Arial"/>
        </w:rPr>
        <w:t xml:space="preserve"> to the girls.</w:t>
      </w:r>
    </w:p>
    <w:p w:rsidR="006D0AD9" w:rsidRDefault="006D0AD9" w:rsidP="006D0AD9">
      <w:pPr>
        <w:ind w:left="1134"/>
        <w:jc w:val="both"/>
        <w:rPr>
          <w:rFonts w:ascii="Book Antiqua" w:hAnsi="Book Antiqua" w:cs="Arial"/>
        </w:rPr>
      </w:pPr>
    </w:p>
    <w:p w:rsidR="0008769E" w:rsidRDefault="00FB5626" w:rsidP="006D0AD9">
      <w:pPr>
        <w:ind w:left="1134"/>
        <w:jc w:val="both"/>
        <w:rPr>
          <w:rFonts w:ascii="Book Antiqua" w:hAnsi="Book Antiqua" w:cs="Arial"/>
        </w:rPr>
      </w:pPr>
      <w:r>
        <w:rPr>
          <w:rFonts w:ascii="Book Antiqua" w:hAnsi="Book Antiqua" w:cs="Arial"/>
        </w:rPr>
        <w:t xml:space="preserve">(v) </w:t>
      </w:r>
      <w:r w:rsidR="006D0AD9">
        <w:rPr>
          <w:rFonts w:ascii="Book Antiqua" w:hAnsi="Book Antiqua" w:cs="Arial"/>
        </w:rPr>
        <w:t>The Appellant’s representatives’</w:t>
      </w:r>
      <w:r w:rsidR="00CC7624">
        <w:rPr>
          <w:rFonts w:ascii="Book Antiqua" w:hAnsi="Book Antiqua" w:cs="Arial"/>
        </w:rPr>
        <w:t xml:space="preserve"> </w:t>
      </w:r>
      <w:r w:rsidR="00F224C0">
        <w:rPr>
          <w:rFonts w:ascii="Book Antiqua" w:hAnsi="Book Antiqua" w:cs="Arial"/>
        </w:rPr>
        <w:t>covering</w:t>
      </w:r>
      <w:r w:rsidR="00CC7624">
        <w:rPr>
          <w:rFonts w:ascii="Book Antiqua" w:hAnsi="Book Antiqua" w:cs="Arial"/>
        </w:rPr>
        <w:t xml:space="preserve"> letter </w:t>
      </w:r>
      <w:r w:rsidR="0008769E">
        <w:rPr>
          <w:rFonts w:ascii="Book Antiqua" w:hAnsi="Book Antiqua" w:cs="Arial"/>
        </w:rPr>
        <w:t>of</w:t>
      </w:r>
      <w:r w:rsidR="00CC7624">
        <w:rPr>
          <w:rFonts w:ascii="Book Antiqua" w:hAnsi="Book Antiqua" w:cs="Arial"/>
        </w:rPr>
        <w:t xml:space="preserve"> 9 April 2013 </w:t>
      </w:r>
      <w:r w:rsidR="0008769E">
        <w:rPr>
          <w:rFonts w:ascii="Book Antiqua" w:hAnsi="Book Antiqua" w:cs="Arial"/>
        </w:rPr>
        <w:t>asserts that t</w:t>
      </w:r>
      <w:r w:rsidR="00CC7624">
        <w:rPr>
          <w:rFonts w:ascii="Book Antiqua" w:hAnsi="Book Antiqua" w:cs="Arial"/>
        </w:rPr>
        <w:t>he</w:t>
      </w:r>
      <w:r w:rsidR="0008769E">
        <w:rPr>
          <w:rFonts w:ascii="Book Antiqua" w:hAnsi="Book Antiqua" w:cs="Arial"/>
        </w:rPr>
        <w:t xml:space="preserve"> Appellant</w:t>
      </w:r>
      <w:r w:rsidR="00CC7624">
        <w:rPr>
          <w:rFonts w:ascii="Book Antiqua" w:hAnsi="Book Antiqua" w:cs="Arial"/>
        </w:rPr>
        <w:t xml:space="preserve"> became a mother figure for her deceased niece’s children and continues to play a v</w:t>
      </w:r>
      <w:r w:rsidR="0008769E">
        <w:rPr>
          <w:rFonts w:ascii="Book Antiqua" w:hAnsi="Book Antiqua" w:cs="Arial"/>
        </w:rPr>
        <w:t>ital role in their upbringing.</w:t>
      </w:r>
    </w:p>
    <w:p w:rsidR="0008769E" w:rsidRDefault="0008769E" w:rsidP="006D0AD9">
      <w:pPr>
        <w:ind w:left="1134"/>
        <w:jc w:val="both"/>
        <w:rPr>
          <w:rFonts w:ascii="Book Antiqua" w:hAnsi="Book Antiqua" w:cs="Arial"/>
        </w:rPr>
      </w:pPr>
    </w:p>
    <w:p w:rsidR="0008769E" w:rsidRDefault="00FB5626" w:rsidP="006D0AD9">
      <w:pPr>
        <w:ind w:left="1134"/>
        <w:jc w:val="both"/>
        <w:rPr>
          <w:rFonts w:ascii="Book Antiqua" w:hAnsi="Book Antiqua" w:cs="Arial"/>
        </w:rPr>
      </w:pPr>
      <w:r>
        <w:rPr>
          <w:rFonts w:ascii="Book Antiqua" w:hAnsi="Book Antiqua" w:cs="Arial"/>
        </w:rPr>
        <w:t xml:space="preserve">(vi) </w:t>
      </w:r>
      <w:r w:rsidR="00F224C0">
        <w:rPr>
          <w:rFonts w:ascii="Book Antiqua" w:hAnsi="Book Antiqua" w:cs="Arial"/>
        </w:rPr>
        <w:t>Supporting</w:t>
      </w:r>
      <w:r w:rsidR="00CC7624">
        <w:rPr>
          <w:rFonts w:ascii="Book Antiqua" w:hAnsi="Book Antiqua" w:cs="Arial"/>
        </w:rPr>
        <w:t xml:space="preserve"> letters from the girls </w:t>
      </w:r>
      <w:r w:rsidR="0008769E">
        <w:rPr>
          <w:rFonts w:ascii="Book Antiqua" w:hAnsi="Book Antiqua" w:cs="Arial"/>
        </w:rPr>
        <w:t xml:space="preserve">- </w:t>
      </w:r>
      <w:r w:rsidR="00CC7624">
        <w:rPr>
          <w:rFonts w:ascii="Book Antiqua" w:hAnsi="Book Antiqua" w:cs="Arial"/>
        </w:rPr>
        <w:t>which are undated but appear to relate to representations in or about mid 2011</w:t>
      </w:r>
      <w:r w:rsidR="0008769E">
        <w:rPr>
          <w:rFonts w:ascii="Book Antiqua" w:hAnsi="Book Antiqua" w:cs="Arial"/>
        </w:rPr>
        <w:t xml:space="preserve"> -</w:t>
      </w:r>
      <w:r w:rsidR="00CC7624">
        <w:rPr>
          <w:rFonts w:ascii="Book Antiqua" w:hAnsi="Book Antiqua" w:cs="Arial"/>
        </w:rPr>
        <w:t xml:space="preserve"> refer to the </w:t>
      </w:r>
      <w:r w:rsidR="00262554">
        <w:rPr>
          <w:rFonts w:ascii="Book Antiqua" w:hAnsi="Book Antiqua" w:cs="Arial"/>
        </w:rPr>
        <w:t>Appellant</w:t>
      </w:r>
      <w:r w:rsidR="00CC7624">
        <w:rPr>
          <w:rFonts w:ascii="Book Antiqua" w:hAnsi="Book Antiqua" w:cs="Arial"/>
        </w:rPr>
        <w:t xml:space="preserve">’s role as </w:t>
      </w:r>
      <w:r w:rsidR="0008769E">
        <w:rPr>
          <w:rFonts w:ascii="Book Antiqua" w:hAnsi="Book Antiqua" w:cs="Arial"/>
        </w:rPr>
        <w:t>“</w:t>
      </w:r>
      <w:r w:rsidR="00CC7624" w:rsidRPr="0008769E">
        <w:rPr>
          <w:rFonts w:ascii="Book Antiqua" w:hAnsi="Book Antiqua" w:cs="Arial"/>
          <w:i/>
        </w:rPr>
        <w:t xml:space="preserve">looking </w:t>
      </w:r>
      <w:r w:rsidR="00F224C0" w:rsidRPr="0008769E">
        <w:rPr>
          <w:rFonts w:ascii="Book Antiqua" w:hAnsi="Book Antiqua" w:cs="Arial"/>
          <w:i/>
        </w:rPr>
        <w:t>after</w:t>
      </w:r>
      <w:r w:rsidR="0008769E" w:rsidRPr="0008769E">
        <w:rPr>
          <w:rFonts w:ascii="Book Antiqua" w:hAnsi="Book Antiqua" w:cs="Arial"/>
          <w:i/>
        </w:rPr>
        <w:t xml:space="preserve"> us since mommy died</w:t>
      </w:r>
      <w:r w:rsidR="0008769E">
        <w:rPr>
          <w:rFonts w:ascii="Book Antiqua" w:hAnsi="Book Antiqua" w:cs="Arial"/>
        </w:rPr>
        <w:t>”. By way of example it is said “</w:t>
      </w:r>
      <w:r w:rsidR="0008769E" w:rsidRPr="0008769E">
        <w:rPr>
          <w:rFonts w:ascii="Book Antiqua" w:hAnsi="Book Antiqua" w:cs="Arial"/>
          <w:i/>
        </w:rPr>
        <w:t>She does my hair for me when it needs it</w:t>
      </w:r>
      <w:r w:rsidR="0008769E">
        <w:rPr>
          <w:rFonts w:ascii="Book Antiqua" w:hAnsi="Book Antiqua" w:cs="Arial"/>
        </w:rPr>
        <w:t>”. It is also said that she “</w:t>
      </w:r>
      <w:r w:rsidR="0008769E" w:rsidRPr="0008769E">
        <w:rPr>
          <w:rFonts w:ascii="Book Antiqua" w:hAnsi="Book Antiqua" w:cs="Arial"/>
          <w:i/>
        </w:rPr>
        <w:t>cooks sometimes and cleans up</w:t>
      </w:r>
      <w:r w:rsidR="0008769E">
        <w:rPr>
          <w:rFonts w:ascii="Book Antiqua" w:hAnsi="Book Antiqua" w:cs="Arial"/>
        </w:rPr>
        <w:t>”.</w:t>
      </w:r>
      <w:r w:rsidR="00CC7624">
        <w:rPr>
          <w:rFonts w:ascii="Book Antiqua" w:hAnsi="Book Antiqua" w:cs="Arial"/>
        </w:rPr>
        <w:t xml:space="preserve"> </w:t>
      </w:r>
      <w:r w:rsidR="0008769E">
        <w:rPr>
          <w:rFonts w:ascii="Book Antiqua" w:hAnsi="Book Antiqua" w:cs="Arial"/>
        </w:rPr>
        <w:t>T</w:t>
      </w:r>
      <w:r w:rsidR="00CC7624">
        <w:rPr>
          <w:rFonts w:ascii="Book Antiqua" w:hAnsi="Book Antiqua" w:cs="Arial"/>
        </w:rPr>
        <w:t xml:space="preserve">he hope </w:t>
      </w:r>
      <w:r w:rsidR="0008769E">
        <w:rPr>
          <w:rFonts w:ascii="Book Antiqua" w:hAnsi="Book Antiqua" w:cs="Arial"/>
        </w:rPr>
        <w:t xml:space="preserve">is expressed </w:t>
      </w:r>
      <w:r w:rsidR="00CC7624">
        <w:rPr>
          <w:rFonts w:ascii="Book Antiqua" w:hAnsi="Book Antiqua" w:cs="Arial"/>
        </w:rPr>
        <w:t xml:space="preserve">that </w:t>
      </w:r>
      <w:r w:rsidR="0008769E">
        <w:rPr>
          <w:rFonts w:ascii="Book Antiqua" w:hAnsi="Book Antiqua" w:cs="Arial"/>
        </w:rPr>
        <w:t>t</w:t>
      </w:r>
      <w:r w:rsidR="00CC7624">
        <w:rPr>
          <w:rFonts w:ascii="Book Antiqua" w:hAnsi="Book Antiqua" w:cs="Arial"/>
        </w:rPr>
        <w:t>he</w:t>
      </w:r>
      <w:r w:rsidR="0008769E">
        <w:rPr>
          <w:rFonts w:ascii="Book Antiqua" w:hAnsi="Book Antiqua" w:cs="Arial"/>
        </w:rPr>
        <w:t xml:space="preserve"> Appellant</w:t>
      </w:r>
      <w:r w:rsidR="00CC7624">
        <w:rPr>
          <w:rFonts w:ascii="Book Antiqua" w:hAnsi="Book Antiqua" w:cs="Arial"/>
        </w:rPr>
        <w:t xml:space="preserve"> w</w:t>
      </w:r>
      <w:r w:rsidR="0008769E">
        <w:rPr>
          <w:rFonts w:ascii="Book Antiqua" w:hAnsi="Book Antiqua" w:cs="Arial"/>
        </w:rPr>
        <w:t>ill</w:t>
      </w:r>
      <w:r w:rsidR="00CC7624">
        <w:rPr>
          <w:rFonts w:ascii="Book Antiqua" w:hAnsi="Book Antiqua" w:cs="Arial"/>
        </w:rPr>
        <w:t xml:space="preserve"> be allowed to live in England.</w:t>
      </w:r>
    </w:p>
    <w:p w:rsidR="0008769E" w:rsidRDefault="0008769E" w:rsidP="006D0AD9">
      <w:pPr>
        <w:ind w:left="1134"/>
        <w:jc w:val="both"/>
        <w:rPr>
          <w:rFonts w:ascii="Book Antiqua" w:hAnsi="Book Antiqua" w:cs="Arial"/>
        </w:rPr>
      </w:pPr>
    </w:p>
    <w:p w:rsidR="0008769E" w:rsidRDefault="00FB5626" w:rsidP="006D0AD9">
      <w:pPr>
        <w:ind w:left="1134"/>
        <w:jc w:val="both"/>
        <w:rPr>
          <w:rFonts w:ascii="Book Antiqua" w:hAnsi="Book Antiqua" w:cs="Arial"/>
        </w:rPr>
      </w:pPr>
      <w:r>
        <w:rPr>
          <w:rFonts w:ascii="Book Antiqua" w:hAnsi="Book Antiqua" w:cs="Arial"/>
        </w:rPr>
        <w:t xml:space="preserve">(vii) </w:t>
      </w:r>
      <w:r w:rsidR="0008769E">
        <w:rPr>
          <w:rFonts w:ascii="Book Antiqua" w:hAnsi="Book Antiqua" w:cs="Arial"/>
        </w:rPr>
        <w:t>These letters do not suggest a constant presence. It is to be recalled that the EEA application was refused in part because the Appellant was not living at the same address as the girls.</w:t>
      </w:r>
    </w:p>
    <w:p w:rsidR="0008769E" w:rsidRDefault="0008769E" w:rsidP="006D0AD9">
      <w:pPr>
        <w:ind w:left="1134"/>
        <w:jc w:val="both"/>
        <w:rPr>
          <w:rFonts w:ascii="Book Antiqua" w:hAnsi="Book Antiqua" w:cs="Arial"/>
        </w:rPr>
      </w:pPr>
      <w:r>
        <w:rPr>
          <w:rFonts w:ascii="Book Antiqua" w:hAnsi="Book Antiqua" w:cs="Arial"/>
        </w:rPr>
        <w:t xml:space="preserve"> </w:t>
      </w:r>
    </w:p>
    <w:p w:rsidR="00FB5626" w:rsidRDefault="00FB5626" w:rsidP="006D0AD9">
      <w:pPr>
        <w:ind w:left="1134"/>
        <w:jc w:val="both"/>
        <w:rPr>
          <w:rFonts w:ascii="Book Antiqua" w:hAnsi="Book Antiqua" w:cs="Arial"/>
        </w:rPr>
      </w:pPr>
      <w:r>
        <w:rPr>
          <w:rFonts w:ascii="Book Antiqua" w:hAnsi="Book Antiqua" w:cs="Arial"/>
        </w:rPr>
        <w:t xml:space="preserve">(viii) </w:t>
      </w:r>
      <w:r w:rsidR="0008769E">
        <w:rPr>
          <w:rFonts w:ascii="Book Antiqua" w:hAnsi="Book Antiqua" w:cs="Arial"/>
        </w:rPr>
        <w:t>In this context</w:t>
      </w:r>
      <w:r w:rsidR="00CC7624">
        <w:rPr>
          <w:rFonts w:ascii="Book Antiqua" w:hAnsi="Book Antiqua" w:cs="Arial"/>
        </w:rPr>
        <w:t xml:space="preserve"> letters</w:t>
      </w:r>
      <w:r w:rsidR="0008769E">
        <w:rPr>
          <w:rFonts w:ascii="Book Antiqua" w:hAnsi="Book Antiqua" w:cs="Arial"/>
        </w:rPr>
        <w:t xml:space="preserve"> of support</w:t>
      </w:r>
      <w:r w:rsidR="00CC7624">
        <w:rPr>
          <w:rFonts w:ascii="Book Antiqua" w:hAnsi="Book Antiqua" w:cs="Arial"/>
        </w:rPr>
        <w:t xml:space="preserve"> sent under cover of a letter dated 21 March 2016 acknowledge that the </w:t>
      </w:r>
      <w:r w:rsidR="00262554">
        <w:rPr>
          <w:rFonts w:ascii="Book Antiqua" w:hAnsi="Book Antiqua" w:cs="Arial"/>
        </w:rPr>
        <w:t>Appellant</w:t>
      </w:r>
      <w:r w:rsidR="00CC7624">
        <w:rPr>
          <w:rFonts w:ascii="Book Antiqua" w:hAnsi="Book Antiqua" w:cs="Arial"/>
        </w:rPr>
        <w:t xml:space="preserve"> does not reside with the children</w:t>
      </w:r>
      <w:r>
        <w:rPr>
          <w:rFonts w:ascii="Book Antiqua" w:hAnsi="Book Antiqua" w:cs="Arial"/>
        </w:rPr>
        <w:t>.</w:t>
      </w:r>
    </w:p>
    <w:p w:rsidR="00FB5626" w:rsidRDefault="00FB5626" w:rsidP="006D0AD9">
      <w:pPr>
        <w:ind w:left="1134"/>
        <w:jc w:val="both"/>
        <w:rPr>
          <w:rFonts w:ascii="Book Antiqua" w:hAnsi="Book Antiqua" w:cs="Arial"/>
        </w:rPr>
      </w:pPr>
    </w:p>
    <w:p w:rsidR="004F2F21" w:rsidRDefault="00FB5626" w:rsidP="006D0AD9">
      <w:pPr>
        <w:ind w:left="1134"/>
        <w:jc w:val="both"/>
        <w:rPr>
          <w:rFonts w:ascii="Book Antiqua" w:hAnsi="Book Antiqua" w:cs="Arial"/>
        </w:rPr>
      </w:pPr>
      <w:r>
        <w:rPr>
          <w:rFonts w:ascii="Book Antiqua" w:hAnsi="Book Antiqua" w:cs="Arial"/>
        </w:rPr>
        <w:t>(ix) The latter letters inc</w:t>
      </w:r>
      <w:r w:rsidR="00CC7624">
        <w:rPr>
          <w:rFonts w:ascii="Book Antiqua" w:hAnsi="Book Antiqua" w:cs="Arial"/>
        </w:rPr>
        <w:t xml:space="preserve">lude a letter from Mr </w:t>
      </w:r>
      <w:r w:rsidR="00003F87">
        <w:rPr>
          <w:rFonts w:ascii="Book Antiqua" w:hAnsi="Book Antiqua" w:cs="Arial"/>
        </w:rPr>
        <w:t>AM</w:t>
      </w:r>
      <w:r w:rsidR="00CC7624">
        <w:rPr>
          <w:rFonts w:ascii="Book Antiqua" w:hAnsi="Book Antiqua" w:cs="Arial"/>
        </w:rPr>
        <w:t xml:space="preserve"> dated 12 March 2016 in which he describes the </w:t>
      </w:r>
      <w:r w:rsidR="00262554">
        <w:rPr>
          <w:rFonts w:ascii="Book Antiqua" w:hAnsi="Book Antiqua" w:cs="Arial"/>
        </w:rPr>
        <w:t>Appellant</w:t>
      </w:r>
      <w:r w:rsidR="00CC7624">
        <w:rPr>
          <w:rFonts w:ascii="Book Antiqua" w:hAnsi="Book Antiqua" w:cs="Arial"/>
        </w:rPr>
        <w:t xml:space="preserve"> as having been “</w:t>
      </w:r>
      <w:r w:rsidR="00CC7624" w:rsidRPr="009D73A4">
        <w:rPr>
          <w:rFonts w:ascii="Book Antiqua" w:hAnsi="Book Antiqua" w:cs="Arial"/>
          <w:i/>
        </w:rPr>
        <w:t xml:space="preserve">a very helpful grand aunt with the upbringing of the girls </w:t>
      </w:r>
      <w:r w:rsidR="009D73A4" w:rsidRPr="009D73A4">
        <w:rPr>
          <w:rFonts w:ascii="Book Antiqua" w:hAnsi="Book Antiqua" w:cs="Arial"/>
          <w:i/>
        </w:rPr>
        <w:t>and has developed a good relationship with the children</w:t>
      </w:r>
      <w:r w:rsidR="009D73A4">
        <w:rPr>
          <w:rFonts w:ascii="Book Antiqua" w:hAnsi="Book Antiqua" w:cs="Arial"/>
        </w:rPr>
        <w:t xml:space="preserve">”.  </w:t>
      </w:r>
      <w:r w:rsidR="00516825">
        <w:rPr>
          <w:rFonts w:ascii="Book Antiqua" w:hAnsi="Book Antiqua" w:cs="Arial"/>
        </w:rPr>
        <w:t xml:space="preserve">A letter from </w:t>
      </w:r>
      <w:r w:rsidR="00003F87">
        <w:rPr>
          <w:rFonts w:ascii="Book Antiqua" w:hAnsi="Book Antiqua" w:cs="Arial"/>
        </w:rPr>
        <w:t>SF</w:t>
      </w:r>
      <w:r w:rsidR="00516825">
        <w:rPr>
          <w:rFonts w:ascii="Book Antiqua" w:hAnsi="Book Antiqua" w:cs="Arial"/>
        </w:rPr>
        <w:t xml:space="preserve"> says that the </w:t>
      </w:r>
      <w:r w:rsidR="00262554">
        <w:rPr>
          <w:rFonts w:ascii="Book Antiqua" w:hAnsi="Book Antiqua" w:cs="Arial"/>
        </w:rPr>
        <w:t>Appellant</w:t>
      </w:r>
      <w:r w:rsidR="00516825">
        <w:rPr>
          <w:rFonts w:ascii="Book Antiqua" w:hAnsi="Book Antiqua" w:cs="Arial"/>
        </w:rPr>
        <w:t xml:space="preserve"> “</w:t>
      </w:r>
      <w:r w:rsidR="00516825" w:rsidRPr="00516825">
        <w:rPr>
          <w:rFonts w:ascii="Book Antiqua" w:hAnsi="Book Antiqua" w:cs="Arial"/>
          <w:i/>
        </w:rPr>
        <w:t>has been very supportive</w:t>
      </w:r>
      <w:r w:rsidR="00516825">
        <w:rPr>
          <w:rFonts w:ascii="Book Antiqua" w:hAnsi="Book Antiqua" w:cs="Arial"/>
        </w:rPr>
        <w:t>” adding “</w:t>
      </w:r>
      <w:r w:rsidR="00516825" w:rsidRPr="00516825">
        <w:rPr>
          <w:rFonts w:ascii="Book Antiqua" w:hAnsi="Book Antiqua" w:cs="Arial"/>
          <w:i/>
        </w:rPr>
        <w:t>She comes over to visit us and bring things for us</w:t>
      </w:r>
      <w:r w:rsidR="00516825">
        <w:rPr>
          <w:rFonts w:ascii="Book Antiqua" w:hAnsi="Book Antiqua" w:cs="Arial"/>
        </w:rPr>
        <w:t xml:space="preserve">”.  </w:t>
      </w:r>
      <w:r w:rsidR="00F224C0">
        <w:rPr>
          <w:rFonts w:ascii="Book Antiqua" w:hAnsi="Book Antiqua" w:cs="Arial"/>
        </w:rPr>
        <w:t xml:space="preserve">A letter from </w:t>
      </w:r>
      <w:r w:rsidR="00003F87">
        <w:rPr>
          <w:rFonts w:ascii="Book Antiqua" w:hAnsi="Book Antiqua" w:cs="Arial"/>
        </w:rPr>
        <w:t>TF</w:t>
      </w:r>
      <w:r w:rsidR="00F224C0">
        <w:rPr>
          <w:rFonts w:ascii="Book Antiqua" w:hAnsi="Book Antiqua" w:cs="Arial"/>
        </w:rPr>
        <w:t xml:space="preserve"> dated 12 March 2016 also refers to her relationship with the </w:t>
      </w:r>
      <w:r w:rsidR="00262554">
        <w:rPr>
          <w:rFonts w:ascii="Book Antiqua" w:hAnsi="Book Antiqua" w:cs="Arial"/>
        </w:rPr>
        <w:t>Appellant</w:t>
      </w:r>
      <w:r w:rsidR="00F224C0">
        <w:rPr>
          <w:rFonts w:ascii="Book Antiqua" w:hAnsi="Book Antiqua" w:cs="Arial"/>
        </w:rPr>
        <w:t xml:space="preserve"> who she describes as a “</w:t>
      </w:r>
      <w:r w:rsidR="00F224C0" w:rsidRPr="00516825">
        <w:rPr>
          <w:rFonts w:ascii="Book Antiqua" w:hAnsi="Book Antiqua" w:cs="Arial"/>
          <w:i/>
        </w:rPr>
        <w:t>grand aunt</w:t>
      </w:r>
      <w:r w:rsidR="00F224C0">
        <w:rPr>
          <w:rFonts w:ascii="Book Antiqua" w:hAnsi="Book Antiqua" w:cs="Arial"/>
        </w:rPr>
        <w:t>” who “</w:t>
      </w:r>
      <w:r w:rsidR="00F224C0" w:rsidRPr="00516825">
        <w:rPr>
          <w:rFonts w:ascii="Book Antiqua" w:hAnsi="Book Antiqua" w:cs="Arial"/>
          <w:i/>
        </w:rPr>
        <w:t>has been helping us over the past few years since my mum died</w:t>
      </w:r>
      <w:r>
        <w:rPr>
          <w:rFonts w:ascii="Book Antiqua" w:hAnsi="Book Antiqua" w:cs="Arial"/>
        </w:rPr>
        <w:t xml:space="preserve">”. </w:t>
      </w:r>
    </w:p>
    <w:p w:rsidR="00FB5626" w:rsidRDefault="00FB5626" w:rsidP="006D0AD9">
      <w:pPr>
        <w:ind w:left="1134"/>
        <w:jc w:val="both"/>
        <w:rPr>
          <w:rFonts w:ascii="Book Antiqua" w:hAnsi="Book Antiqua" w:cs="Arial"/>
        </w:rPr>
      </w:pPr>
    </w:p>
    <w:p w:rsidR="00FB5626" w:rsidRDefault="00FB5626" w:rsidP="006D0AD9">
      <w:pPr>
        <w:ind w:left="1134"/>
        <w:jc w:val="both"/>
        <w:rPr>
          <w:rFonts w:ascii="Book Antiqua" w:hAnsi="Book Antiqua" w:cs="Arial"/>
        </w:rPr>
      </w:pPr>
      <w:r>
        <w:rPr>
          <w:rFonts w:ascii="Book Antiqua" w:hAnsi="Book Antiqua" w:cs="Arial"/>
        </w:rPr>
        <w:t xml:space="preserve">(x) It may be observed that both of Mr </w:t>
      </w:r>
      <w:r w:rsidR="00003F87">
        <w:rPr>
          <w:rFonts w:ascii="Book Antiqua" w:hAnsi="Book Antiqua" w:cs="Arial"/>
        </w:rPr>
        <w:t>AM</w:t>
      </w:r>
      <w:r>
        <w:rPr>
          <w:rFonts w:ascii="Book Antiqua" w:hAnsi="Book Antiqua" w:cs="Arial"/>
        </w:rPr>
        <w:t>’s letters refer to the Appellant as a ‘good grand-aunt’, but neither refers to an assumption of a quasi-parental role.</w:t>
      </w:r>
    </w:p>
    <w:p w:rsidR="00CC7624" w:rsidRDefault="00CC7624" w:rsidP="00847259">
      <w:pPr>
        <w:ind w:left="567" w:hanging="567"/>
        <w:jc w:val="both"/>
        <w:rPr>
          <w:rFonts w:ascii="Book Antiqua" w:hAnsi="Book Antiqua" w:cs="Arial"/>
        </w:rPr>
      </w:pPr>
    </w:p>
    <w:p w:rsidR="00B20178" w:rsidRDefault="00B20178" w:rsidP="00847259">
      <w:pPr>
        <w:ind w:left="567" w:hanging="567"/>
        <w:jc w:val="both"/>
        <w:rPr>
          <w:rFonts w:ascii="Book Antiqua" w:hAnsi="Book Antiqua" w:cs="Arial"/>
        </w:rPr>
      </w:pPr>
    </w:p>
    <w:p w:rsidR="00212E5F" w:rsidRDefault="00FB5626" w:rsidP="00847259">
      <w:pPr>
        <w:ind w:left="567" w:hanging="567"/>
        <w:jc w:val="both"/>
        <w:rPr>
          <w:rFonts w:ascii="Book Antiqua" w:hAnsi="Book Antiqua" w:cs="Arial"/>
        </w:rPr>
      </w:pPr>
      <w:r>
        <w:rPr>
          <w:rFonts w:ascii="Book Antiqua" w:hAnsi="Book Antiqua" w:cs="Arial"/>
        </w:rPr>
        <w:t>9</w:t>
      </w:r>
      <w:r w:rsidR="00CC7624">
        <w:rPr>
          <w:rFonts w:ascii="Book Antiqua" w:hAnsi="Book Antiqua" w:cs="Arial"/>
        </w:rPr>
        <w:t>.</w:t>
      </w:r>
      <w:r w:rsidR="00CC7624">
        <w:rPr>
          <w:rFonts w:ascii="Book Antiqua" w:hAnsi="Book Antiqua" w:cs="Arial"/>
        </w:rPr>
        <w:tab/>
      </w:r>
      <w:r w:rsidR="00212E5F">
        <w:rPr>
          <w:rFonts w:ascii="Book Antiqua" w:hAnsi="Book Antiqua" w:cs="Arial"/>
        </w:rPr>
        <w:t xml:space="preserve">The </w:t>
      </w:r>
      <w:r>
        <w:rPr>
          <w:rFonts w:ascii="Book Antiqua" w:hAnsi="Book Antiqua" w:cs="Arial"/>
        </w:rPr>
        <w:t>Respondent</w:t>
      </w:r>
      <w:r w:rsidR="00212E5F">
        <w:rPr>
          <w:rFonts w:ascii="Book Antiqua" w:hAnsi="Book Antiqua" w:cs="Arial"/>
        </w:rPr>
        <w:t xml:space="preserve"> considered all of these matters in making the decision of 13 April 2016</w:t>
      </w:r>
      <w:r>
        <w:rPr>
          <w:rFonts w:ascii="Book Antiqua" w:hAnsi="Book Antiqua" w:cs="Arial"/>
        </w:rPr>
        <w:t>: see the</w:t>
      </w:r>
      <w:r w:rsidR="00212E5F">
        <w:rPr>
          <w:rFonts w:ascii="Book Antiqua" w:hAnsi="Book Antiqua" w:cs="Arial"/>
        </w:rPr>
        <w:t xml:space="preserve"> </w:t>
      </w:r>
      <w:r>
        <w:rPr>
          <w:rFonts w:ascii="Book Antiqua" w:hAnsi="Book Antiqua" w:cs="Arial"/>
        </w:rPr>
        <w:t>‘r</w:t>
      </w:r>
      <w:r w:rsidR="00212E5F">
        <w:rPr>
          <w:rFonts w:ascii="Book Antiqua" w:hAnsi="Book Antiqua" w:cs="Arial"/>
        </w:rPr>
        <w:t xml:space="preserve">easons for </w:t>
      </w:r>
      <w:r>
        <w:rPr>
          <w:rFonts w:ascii="Book Antiqua" w:hAnsi="Book Antiqua" w:cs="Arial"/>
        </w:rPr>
        <w:t>r</w:t>
      </w:r>
      <w:r w:rsidR="00212E5F">
        <w:rPr>
          <w:rFonts w:ascii="Book Antiqua" w:hAnsi="Book Antiqua" w:cs="Arial"/>
        </w:rPr>
        <w:t>efusal</w:t>
      </w:r>
      <w:r>
        <w:rPr>
          <w:rFonts w:ascii="Book Antiqua" w:hAnsi="Book Antiqua" w:cs="Arial"/>
        </w:rPr>
        <w:t>’</w:t>
      </w:r>
      <w:r w:rsidR="00212E5F">
        <w:rPr>
          <w:rFonts w:ascii="Book Antiqua" w:hAnsi="Book Antiqua" w:cs="Arial"/>
        </w:rPr>
        <w:t xml:space="preserve"> </w:t>
      </w:r>
      <w:r>
        <w:rPr>
          <w:rFonts w:ascii="Book Antiqua" w:hAnsi="Book Antiqua" w:cs="Arial"/>
        </w:rPr>
        <w:t>l</w:t>
      </w:r>
      <w:r w:rsidR="00212E5F">
        <w:rPr>
          <w:rFonts w:ascii="Book Antiqua" w:hAnsi="Book Antiqua" w:cs="Arial"/>
        </w:rPr>
        <w:t>etter</w:t>
      </w:r>
      <w:r>
        <w:rPr>
          <w:rFonts w:ascii="Book Antiqua" w:hAnsi="Book Antiqua" w:cs="Arial"/>
        </w:rPr>
        <w:t xml:space="preserve"> (‘RFRL’)</w:t>
      </w:r>
      <w:r w:rsidR="00212E5F">
        <w:rPr>
          <w:rFonts w:ascii="Book Antiqua" w:hAnsi="Book Antiqua" w:cs="Arial"/>
        </w:rPr>
        <w:t xml:space="preserve"> of that date.  The </w:t>
      </w:r>
      <w:r>
        <w:rPr>
          <w:rFonts w:ascii="Book Antiqua" w:hAnsi="Book Antiqua" w:cs="Arial"/>
        </w:rPr>
        <w:t>RFRL notes</w:t>
      </w:r>
      <w:r w:rsidR="00212E5F">
        <w:rPr>
          <w:rFonts w:ascii="Book Antiqua" w:hAnsi="Book Antiqua" w:cs="Arial"/>
        </w:rPr>
        <w:t xml:space="preserve"> that the </w:t>
      </w:r>
      <w:r w:rsidR="00262554">
        <w:rPr>
          <w:rFonts w:ascii="Book Antiqua" w:hAnsi="Book Antiqua" w:cs="Arial"/>
        </w:rPr>
        <w:lastRenderedPageBreak/>
        <w:t>Appellant</w:t>
      </w:r>
      <w:r w:rsidR="00212E5F">
        <w:rPr>
          <w:rFonts w:ascii="Book Antiqua" w:hAnsi="Book Antiqua" w:cs="Arial"/>
        </w:rPr>
        <w:t xml:space="preserve"> had not raised anything that would lead the </w:t>
      </w:r>
      <w:r w:rsidR="00262554">
        <w:rPr>
          <w:rFonts w:ascii="Book Antiqua" w:hAnsi="Book Antiqua" w:cs="Arial"/>
        </w:rPr>
        <w:t>Respondent</w:t>
      </w:r>
      <w:r w:rsidR="00212E5F">
        <w:rPr>
          <w:rFonts w:ascii="Book Antiqua" w:hAnsi="Book Antiqua" w:cs="Arial"/>
        </w:rPr>
        <w:t xml:space="preserve"> to believe that she had a partner or any dependent children under the age of 18</w:t>
      </w:r>
      <w:r>
        <w:rPr>
          <w:rFonts w:ascii="Book Antiqua" w:hAnsi="Book Antiqua" w:cs="Arial"/>
        </w:rPr>
        <w:t>,</w:t>
      </w:r>
      <w:r w:rsidR="00212E5F">
        <w:rPr>
          <w:rFonts w:ascii="Book Antiqua" w:hAnsi="Book Antiqua" w:cs="Arial"/>
        </w:rPr>
        <w:t xml:space="preserve"> and accordingly reject</w:t>
      </w:r>
      <w:r>
        <w:rPr>
          <w:rFonts w:ascii="Book Antiqua" w:hAnsi="Book Antiqua" w:cs="Arial"/>
        </w:rPr>
        <w:t>s</w:t>
      </w:r>
      <w:r w:rsidR="00212E5F">
        <w:rPr>
          <w:rFonts w:ascii="Book Antiqua" w:hAnsi="Book Antiqua" w:cs="Arial"/>
        </w:rPr>
        <w:t xml:space="preserve"> the </w:t>
      </w:r>
      <w:r w:rsidR="00262554">
        <w:rPr>
          <w:rFonts w:ascii="Book Antiqua" w:hAnsi="Book Antiqua" w:cs="Arial"/>
        </w:rPr>
        <w:t>Appellant</w:t>
      </w:r>
      <w:r w:rsidR="00212E5F">
        <w:rPr>
          <w:rFonts w:ascii="Book Antiqua" w:hAnsi="Book Antiqua" w:cs="Arial"/>
        </w:rPr>
        <w:t xml:space="preserve">’s case under the Immigration Rules in respect of family life.  Consideration </w:t>
      </w:r>
      <w:r w:rsidR="00002AFC">
        <w:rPr>
          <w:rFonts w:ascii="Book Antiqua" w:hAnsi="Book Antiqua" w:cs="Arial"/>
        </w:rPr>
        <w:t>i</w:t>
      </w:r>
      <w:r w:rsidR="00212E5F">
        <w:rPr>
          <w:rFonts w:ascii="Book Antiqua" w:hAnsi="Book Antiqua" w:cs="Arial"/>
        </w:rPr>
        <w:t>s then given to private life</w:t>
      </w:r>
      <w:r w:rsidR="00002AFC">
        <w:rPr>
          <w:rFonts w:ascii="Book Antiqua" w:hAnsi="Book Antiqua" w:cs="Arial"/>
        </w:rPr>
        <w:t>:</w:t>
      </w:r>
      <w:r w:rsidR="00212E5F">
        <w:rPr>
          <w:rFonts w:ascii="Book Antiqua" w:hAnsi="Book Antiqua" w:cs="Arial"/>
        </w:rPr>
        <w:t xml:space="preserve"> </w:t>
      </w:r>
      <w:r w:rsidR="00002AFC">
        <w:rPr>
          <w:rFonts w:ascii="Book Antiqua" w:hAnsi="Book Antiqua" w:cs="Arial"/>
        </w:rPr>
        <w:t>t</w:t>
      </w:r>
      <w:r w:rsidR="00212E5F">
        <w:rPr>
          <w:rFonts w:ascii="Book Antiqua" w:hAnsi="Book Antiqua" w:cs="Arial"/>
        </w:rPr>
        <w:t>his include</w:t>
      </w:r>
      <w:r w:rsidR="00002AFC">
        <w:rPr>
          <w:rFonts w:ascii="Book Antiqua" w:hAnsi="Book Antiqua" w:cs="Arial"/>
        </w:rPr>
        <w:t>s</w:t>
      </w:r>
      <w:r w:rsidR="00212E5F">
        <w:rPr>
          <w:rFonts w:ascii="Book Antiqua" w:hAnsi="Book Antiqua" w:cs="Arial"/>
        </w:rPr>
        <w:t xml:space="preserve"> what had been said about the </w:t>
      </w:r>
      <w:r w:rsidR="00262554">
        <w:rPr>
          <w:rFonts w:ascii="Book Antiqua" w:hAnsi="Book Antiqua" w:cs="Arial"/>
        </w:rPr>
        <w:t>Appellant</w:t>
      </w:r>
      <w:r w:rsidR="00212E5F">
        <w:rPr>
          <w:rFonts w:ascii="Book Antiqua" w:hAnsi="Book Antiqua" w:cs="Arial"/>
        </w:rPr>
        <w:t>’s relationship with various members of her family</w:t>
      </w:r>
      <w:r w:rsidR="00002AFC">
        <w:rPr>
          <w:rFonts w:ascii="Book Antiqua" w:hAnsi="Book Antiqua" w:cs="Arial"/>
        </w:rPr>
        <w:t>. However, the RFRL</w:t>
      </w:r>
      <w:r w:rsidR="00212E5F">
        <w:rPr>
          <w:rFonts w:ascii="Book Antiqua" w:hAnsi="Book Antiqua" w:cs="Arial"/>
        </w:rPr>
        <w:t xml:space="preserve"> conclude</w:t>
      </w:r>
      <w:r w:rsidR="00002AFC">
        <w:rPr>
          <w:rFonts w:ascii="Book Antiqua" w:hAnsi="Book Antiqua" w:cs="Arial"/>
        </w:rPr>
        <w:t>s</w:t>
      </w:r>
      <w:r w:rsidR="00212E5F">
        <w:rPr>
          <w:rFonts w:ascii="Book Antiqua" w:hAnsi="Book Antiqua" w:cs="Arial"/>
        </w:rPr>
        <w:t xml:space="preserve"> that the </w:t>
      </w:r>
      <w:r w:rsidR="00262554">
        <w:rPr>
          <w:rFonts w:ascii="Book Antiqua" w:hAnsi="Book Antiqua" w:cs="Arial"/>
        </w:rPr>
        <w:t>Appellant</w:t>
      </w:r>
      <w:r w:rsidR="00212E5F">
        <w:rPr>
          <w:rFonts w:ascii="Book Antiqua" w:hAnsi="Book Antiqua" w:cs="Arial"/>
        </w:rPr>
        <w:t xml:space="preserve"> did not qualify under paragraph 276ADE of the Immigration Rules.  The </w:t>
      </w:r>
      <w:r>
        <w:rPr>
          <w:rFonts w:ascii="Book Antiqua" w:hAnsi="Book Antiqua" w:cs="Arial"/>
        </w:rPr>
        <w:t>R</w:t>
      </w:r>
      <w:r w:rsidR="00002AFC">
        <w:rPr>
          <w:rFonts w:ascii="Book Antiqua" w:hAnsi="Book Antiqua" w:cs="Arial"/>
        </w:rPr>
        <w:t>FRL</w:t>
      </w:r>
      <w:r w:rsidR="00212E5F">
        <w:rPr>
          <w:rFonts w:ascii="Book Antiqua" w:hAnsi="Book Antiqua" w:cs="Arial"/>
        </w:rPr>
        <w:t xml:space="preserve"> then </w:t>
      </w:r>
      <w:r w:rsidR="00002AFC">
        <w:rPr>
          <w:rFonts w:ascii="Book Antiqua" w:hAnsi="Book Antiqua" w:cs="Arial"/>
        </w:rPr>
        <w:t>sets out</w:t>
      </w:r>
      <w:r w:rsidR="00212E5F">
        <w:rPr>
          <w:rFonts w:ascii="Book Antiqua" w:hAnsi="Book Antiqua" w:cs="Arial"/>
        </w:rPr>
        <w:t xml:space="preserve"> consideration o</w:t>
      </w:r>
      <w:r w:rsidR="00002AFC">
        <w:rPr>
          <w:rFonts w:ascii="Book Antiqua" w:hAnsi="Book Antiqua" w:cs="Arial"/>
        </w:rPr>
        <w:t>f</w:t>
      </w:r>
      <w:r w:rsidR="00212E5F">
        <w:rPr>
          <w:rFonts w:ascii="Book Antiqua" w:hAnsi="Book Antiqua" w:cs="Arial"/>
        </w:rPr>
        <w:t xml:space="preserve"> exceptional circumstances</w:t>
      </w:r>
      <w:r w:rsidR="00002AFC">
        <w:rPr>
          <w:rFonts w:ascii="Book Antiqua" w:hAnsi="Book Antiqua" w:cs="Arial"/>
        </w:rPr>
        <w:t xml:space="preserve">, </w:t>
      </w:r>
      <w:r w:rsidR="00212E5F">
        <w:rPr>
          <w:rFonts w:ascii="Book Antiqua" w:hAnsi="Book Antiqua" w:cs="Arial"/>
        </w:rPr>
        <w:t>and in</w:t>
      </w:r>
      <w:r w:rsidR="00002AFC">
        <w:rPr>
          <w:rFonts w:ascii="Book Antiqua" w:hAnsi="Book Antiqua" w:cs="Arial"/>
        </w:rPr>
        <w:t xml:space="preserve"> this context specific regard i</w:t>
      </w:r>
      <w:r w:rsidR="00212E5F">
        <w:rPr>
          <w:rFonts w:ascii="Book Antiqua" w:hAnsi="Book Antiqua" w:cs="Arial"/>
        </w:rPr>
        <w:t>s had to the nature of the relationship with the girls</w:t>
      </w:r>
      <w:r w:rsidR="00002AFC">
        <w:rPr>
          <w:rFonts w:ascii="Book Antiqua" w:hAnsi="Book Antiqua" w:cs="Arial"/>
        </w:rPr>
        <w:t xml:space="preserve">: </w:t>
      </w:r>
      <w:r w:rsidR="00212E5F">
        <w:rPr>
          <w:rFonts w:ascii="Book Antiqua" w:hAnsi="Book Antiqua" w:cs="Arial"/>
        </w:rPr>
        <w:t>see R</w:t>
      </w:r>
      <w:r w:rsidR="00002AFC">
        <w:rPr>
          <w:rFonts w:ascii="Book Antiqua" w:hAnsi="Book Antiqua" w:cs="Arial"/>
        </w:rPr>
        <w:t>FRL</w:t>
      </w:r>
      <w:r w:rsidR="00212E5F">
        <w:rPr>
          <w:rFonts w:ascii="Book Antiqua" w:hAnsi="Book Antiqua" w:cs="Arial"/>
        </w:rPr>
        <w:t xml:space="preserve"> at paragraph 22 </w:t>
      </w:r>
      <w:r w:rsidR="00002AFC" w:rsidRPr="00002AFC">
        <w:rPr>
          <w:rFonts w:ascii="Book Antiqua" w:hAnsi="Book Antiqua" w:cs="Arial"/>
          <w:i/>
        </w:rPr>
        <w:t>et seq</w:t>
      </w:r>
      <w:r w:rsidR="00212E5F" w:rsidRPr="00002AFC">
        <w:rPr>
          <w:rFonts w:ascii="Book Antiqua" w:hAnsi="Book Antiqua" w:cs="Arial"/>
          <w:i/>
        </w:rPr>
        <w:t>.</w:t>
      </w:r>
      <w:r w:rsidR="00002AFC">
        <w:rPr>
          <w:rFonts w:ascii="Book Antiqua" w:hAnsi="Book Antiqua" w:cs="Arial"/>
        </w:rPr>
        <w:t>.</w:t>
      </w:r>
      <w:r w:rsidR="00212E5F">
        <w:rPr>
          <w:rFonts w:ascii="Book Antiqua" w:hAnsi="Book Antiqua" w:cs="Arial"/>
        </w:rPr>
        <w:t xml:space="preserve">  </w:t>
      </w:r>
    </w:p>
    <w:p w:rsidR="00212E5F" w:rsidRDefault="00212E5F" w:rsidP="00847259">
      <w:pPr>
        <w:ind w:left="567" w:hanging="567"/>
        <w:jc w:val="both"/>
        <w:rPr>
          <w:rFonts w:ascii="Book Antiqua" w:hAnsi="Book Antiqua" w:cs="Arial"/>
        </w:rPr>
      </w:pPr>
    </w:p>
    <w:p w:rsidR="00002AFC" w:rsidRDefault="00002AFC" w:rsidP="00847259">
      <w:pPr>
        <w:ind w:left="567" w:hanging="567"/>
        <w:jc w:val="both"/>
        <w:rPr>
          <w:rFonts w:ascii="Book Antiqua" w:hAnsi="Book Antiqua" w:cs="Arial"/>
        </w:rPr>
      </w:pPr>
    </w:p>
    <w:p w:rsidR="00CC7624" w:rsidRDefault="00002AFC" w:rsidP="00847259">
      <w:pPr>
        <w:ind w:left="567" w:hanging="567"/>
        <w:jc w:val="both"/>
        <w:rPr>
          <w:rFonts w:ascii="Book Antiqua" w:hAnsi="Book Antiqua" w:cs="Arial"/>
        </w:rPr>
      </w:pPr>
      <w:r>
        <w:rPr>
          <w:rFonts w:ascii="Book Antiqua" w:hAnsi="Book Antiqua" w:cs="Arial"/>
        </w:rPr>
        <w:t>10</w:t>
      </w:r>
      <w:r w:rsidR="00212E5F">
        <w:rPr>
          <w:rFonts w:ascii="Book Antiqua" w:hAnsi="Book Antiqua" w:cs="Arial"/>
        </w:rPr>
        <w:t>.</w:t>
      </w:r>
      <w:r w:rsidR="00212E5F">
        <w:rPr>
          <w:rFonts w:ascii="Book Antiqua" w:hAnsi="Book Antiqua" w:cs="Arial"/>
        </w:rPr>
        <w:tab/>
        <w:t xml:space="preserve">The </w:t>
      </w:r>
      <w:r w:rsidR="00262554">
        <w:rPr>
          <w:rFonts w:ascii="Book Antiqua" w:hAnsi="Book Antiqua" w:cs="Arial"/>
        </w:rPr>
        <w:t>Respondent</w:t>
      </w:r>
      <w:r w:rsidR="00212E5F">
        <w:rPr>
          <w:rFonts w:ascii="Book Antiqua" w:hAnsi="Book Antiqua" w:cs="Arial"/>
        </w:rPr>
        <w:t xml:space="preserve"> noted that the evidence suggested that the </w:t>
      </w:r>
      <w:r w:rsidR="00262554">
        <w:rPr>
          <w:rFonts w:ascii="Book Antiqua" w:hAnsi="Book Antiqua" w:cs="Arial"/>
        </w:rPr>
        <w:t>Appellant</w:t>
      </w:r>
      <w:r w:rsidR="00212E5F">
        <w:rPr>
          <w:rFonts w:ascii="Book Antiqua" w:hAnsi="Book Antiqua" w:cs="Arial"/>
        </w:rPr>
        <w:t xml:space="preserve"> had been “</w:t>
      </w:r>
      <w:r w:rsidR="00212E5F" w:rsidRPr="00212E5F">
        <w:rPr>
          <w:rFonts w:ascii="Book Antiqua" w:hAnsi="Book Antiqua" w:cs="Arial"/>
          <w:i/>
        </w:rPr>
        <w:t>a very helpful grand aunt</w:t>
      </w:r>
      <w:r w:rsidR="00212E5F">
        <w:rPr>
          <w:rFonts w:ascii="Book Antiqua" w:hAnsi="Book Antiqua" w:cs="Arial"/>
        </w:rPr>
        <w:t xml:space="preserve">” (paragraph 24), but also </w:t>
      </w:r>
      <w:r w:rsidR="00F224C0">
        <w:rPr>
          <w:rFonts w:ascii="Book Antiqua" w:hAnsi="Book Antiqua" w:cs="Arial"/>
        </w:rPr>
        <w:t>noted</w:t>
      </w:r>
      <w:r w:rsidR="00212E5F">
        <w:rPr>
          <w:rFonts w:ascii="Book Antiqua" w:hAnsi="Book Antiqua" w:cs="Arial"/>
        </w:rPr>
        <w:t xml:space="preserve"> that she did not reside with the girls and it was not accepted that she was their primary carer (paragraph 26).  It was also noted at paragraph 27 that the </w:t>
      </w:r>
      <w:r w:rsidR="00262554">
        <w:rPr>
          <w:rFonts w:ascii="Book Antiqua" w:hAnsi="Book Antiqua" w:cs="Arial"/>
        </w:rPr>
        <w:t>Respondent</w:t>
      </w:r>
      <w:r w:rsidR="00212E5F">
        <w:rPr>
          <w:rFonts w:ascii="Book Antiqua" w:hAnsi="Book Antiqua" w:cs="Arial"/>
        </w:rPr>
        <w:t xml:space="preserve"> considered that the </w:t>
      </w:r>
      <w:r w:rsidR="00262554">
        <w:rPr>
          <w:rFonts w:ascii="Book Antiqua" w:hAnsi="Book Antiqua" w:cs="Arial"/>
        </w:rPr>
        <w:t>Appellant</w:t>
      </w:r>
      <w:r w:rsidR="00212E5F">
        <w:rPr>
          <w:rFonts w:ascii="Book Antiqua" w:hAnsi="Book Antiqua" w:cs="Arial"/>
        </w:rPr>
        <w:t xml:space="preserve"> had “</w:t>
      </w:r>
      <w:r w:rsidR="00212E5F" w:rsidRPr="00212E5F">
        <w:rPr>
          <w:rFonts w:ascii="Book Antiqua" w:hAnsi="Book Antiqua" w:cs="Arial"/>
          <w:i/>
        </w:rPr>
        <w:t>failed to demonstrate that you are responsible for the day-to-day care of your niece’s children</w:t>
      </w:r>
      <w:r w:rsidR="00212E5F">
        <w:rPr>
          <w:rFonts w:ascii="Book Antiqua" w:hAnsi="Book Antiqua" w:cs="Arial"/>
        </w:rPr>
        <w:t>”.  In those circumstances</w:t>
      </w:r>
      <w:r>
        <w:rPr>
          <w:rFonts w:ascii="Book Antiqua" w:hAnsi="Book Antiqua" w:cs="Arial"/>
        </w:rPr>
        <w:t>,</w:t>
      </w:r>
      <w:r w:rsidR="00212E5F">
        <w:rPr>
          <w:rFonts w:ascii="Book Antiqua" w:hAnsi="Book Antiqua" w:cs="Arial"/>
        </w:rPr>
        <w:t xml:space="preserve"> and for all of the other reasons given in the R</w:t>
      </w:r>
      <w:r>
        <w:rPr>
          <w:rFonts w:ascii="Book Antiqua" w:hAnsi="Book Antiqua" w:cs="Arial"/>
        </w:rPr>
        <w:t>FRL,</w:t>
      </w:r>
      <w:r w:rsidR="00212E5F">
        <w:rPr>
          <w:rFonts w:ascii="Book Antiqua" w:hAnsi="Book Antiqua" w:cs="Arial"/>
        </w:rPr>
        <w:t xml:space="preserve"> the </w:t>
      </w:r>
      <w:r w:rsidR="00262554">
        <w:rPr>
          <w:rFonts w:ascii="Book Antiqua" w:hAnsi="Book Antiqua" w:cs="Arial"/>
        </w:rPr>
        <w:t>Respondent</w:t>
      </w:r>
      <w:r w:rsidR="00212E5F">
        <w:rPr>
          <w:rFonts w:ascii="Book Antiqua" w:hAnsi="Book Antiqua" w:cs="Arial"/>
        </w:rPr>
        <w:t xml:space="preserve"> determined that the </w:t>
      </w:r>
      <w:r w:rsidR="00262554">
        <w:rPr>
          <w:rFonts w:ascii="Book Antiqua" w:hAnsi="Book Antiqua" w:cs="Arial"/>
        </w:rPr>
        <w:t>Appellant</w:t>
      </w:r>
      <w:r w:rsidR="00212E5F">
        <w:rPr>
          <w:rFonts w:ascii="Book Antiqua" w:hAnsi="Book Antiqua" w:cs="Arial"/>
        </w:rPr>
        <w:t xml:space="preserve">’s human rights claim should be refused.  </w:t>
      </w:r>
    </w:p>
    <w:p w:rsidR="00212E5F" w:rsidRDefault="00212E5F" w:rsidP="00847259">
      <w:pPr>
        <w:ind w:left="567" w:hanging="567"/>
        <w:jc w:val="both"/>
        <w:rPr>
          <w:rFonts w:ascii="Book Antiqua" w:hAnsi="Book Antiqua" w:cs="Arial"/>
        </w:rPr>
      </w:pPr>
    </w:p>
    <w:p w:rsidR="00002AFC" w:rsidRDefault="00002AFC" w:rsidP="00847259">
      <w:pPr>
        <w:ind w:left="567" w:hanging="567"/>
        <w:jc w:val="both"/>
        <w:rPr>
          <w:rFonts w:ascii="Book Antiqua" w:hAnsi="Book Antiqua" w:cs="Arial"/>
        </w:rPr>
      </w:pPr>
    </w:p>
    <w:p w:rsidR="00DB333F" w:rsidRDefault="00002AFC" w:rsidP="00847259">
      <w:pPr>
        <w:ind w:left="567" w:hanging="567"/>
        <w:jc w:val="both"/>
        <w:rPr>
          <w:rFonts w:ascii="Book Antiqua" w:hAnsi="Book Antiqua" w:cs="Arial"/>
        </w:rPr>
      </w:pPr>
      <w:r>
        <w:rPr>
          <w:rFonts w:ascii="Book Antiqua" w:hAnsi="Book Antiqua" w:cs="Arial"/>
        </w:rPr>
        <w:t>11</w:t>
      </w:r>
      <w:r w:rsidR="00212E5F">
        <w:rPr>
          <w:rFonts w:ascii="Book Antiqua" w:hAnsi="Book Antiqua" w:cs="Arial"/>
        </w:rPr>
        <w:t>.</w:t>
      </w:r>
      <w:r w:rsidR="00212E5F">
        <w:rPr>
          <w:rFonts w:ascii="Book Antiqua" w:hAnsi="Book Antiqua" w:cs="Arial"/>
        </w:rPr>
        <w:tab/>
        <w:t xml:space="preserve">The </w:t>
      </w:r>
      <w:r w:rsidR="00262554">
        <w:rPr>
          <w:rFonts w:ascii="Book Antiqua" w:hAnsi="Book Antiqua" w:cs="Arial"/>
        </w:rPr>
        <w:t>Appellant</w:t>
      </w:r>
      <w:r w:rsidR="00DB333F">
        <w:rPr>
          <w:rFonts w:ascii="Book Antiqua" w:hAnsi="Book Antiqua" w:cs="Arial"/>
        </w:rPr>
        <w:t xml:space="preserve"> appealed to the IAC.</w:t>
      </w:r>
    </w:p>
    <w:p w:rsidR="00DB333F" w:rsidRDefault="00DB333F" w:rsidP="00847259">
      <w:pPr>
        <w:ind w:left="567" w:hanging="567"/>
        <w:jc w:val="both"/>
        <w:rPr>
          <w:rFonts w:ascii="Book Antiqua" w:hAnsi="Book Antiqua" w:cs="Arial"/>
        </w:rPr>
      </w:pPr>
    </w:p>
    <w:p w:rsidR="00DB333F" w:rsidRDefault="00DB333F" w:rsidP="00847259">
      <w:pPr>
        <w:ind w:left="567" w:hanging="567"/>
        <w:jc w:val="both"/>
        <w:rPr>
          <w:rFonts w:ascii="Book Antiqua" w:hAnsi="Book Antiqua" w:cs="Arial"/>
        </w:rPr>
      </w:pPr>
    </w:p>
    <w:p w:rsidR="00DB333F" w:rsidRDefault="00DB333F" w:rsidP="00847259">
      <w:pPr>
        <w:ind w:left="567" w:hanging="567"/>
        <w:jc w:val="both"/>
        <w:rPr>
          <w:rFonts w:ascii="Book Antiqua" w:hAnsi="Book Antiqua" w:cs="Arial"/>
        </w:rPr>
      </w:pPr>
      <w:r>
        <w:rPr>
          <w:rFonts w:ascii="Book Antiqua" w:hAnsi="Book Antiqua" w:cs="Arial"/>
        </w:rPr>
        <w:t>12.</w:t>
      </w:r>
      <w:r>
        <w:rPr>
          <w:rFonts w:ascii="Book Antiqua" w:hAnsi="Book Antiqua" w:cs="Arial"/>
        </w:rPr>
        <w:tab/>
        <w:t>The</w:t>
      </w:r>
      <w:r w:rsidR="00212E5F">
        <w:rPr>
          <w:rFonts w:ascii="Book Antiqua" w:hAnsi="Book Antiqua" w:cs="Arial"/>
        </w:rPr>
        <w:t xml:space="preserve"> appeal was dismissed for reasons set out in the decision of </w:t>
      </w:r>
      <w:r w:rsidR="00262554">
        <w:rPr>
          <w:rFonts w:ascii="Book Antiqua" w:hAnsi="Book Antiqua" w:cs="Arial"/>
        </w:rPr>
        <w:t>Judge</w:t>
      </w:r>
      <w:r>
        <w:rPr>
          <w:rFonts w:ascii="Book Antiqua" w:hAnsi="Book Antiqua" w:cs="Arial"/>
        </w:rPr>
        <w:t xml:space="preserve"> </w:t>
      </w:r>
      <w:proofErr w:type="spellStart"/>
      <w:r>
        <w:rPr>
          <w:rFonts w:ascii="Book Antiqua" w:hAnsi="Book Antiqua" w:cs="Arial"/>
        </w:rPr>
        <w:t>Widdup</w:t>
      </w:r>
      <w:proofErr w:type="spellEnd"/>
      <w:r>
        <w:rPr>
          <w:rFonts w:ascii="Book Antiqua" w:hAnsi="Book Antiqua" w:cs="Arial"/>
        </w:rPr>
        <w:t>.</w:t>
      </w:r>
    </w:p>
    <w:p w:rsidR="00DB333F" w:rsidRDefault="00DB333F" w:rsidP="00847259">
      <w:pPr>
        <w:ind w:left="567" w:hanging="567"/>
        <w:jc w:val="both"/>
        <w:rPr>
          <w:rFonts w:ascii="Book Antiqua" w:hAnsi="Book Antiqua" w:cs="Arial"/>
        </w:rPr>
      </w:pPr>
    </w:p>
    <w:p w:rsidR="00DB333F" w:rsidRDefault="00DB333F" w:rsidP="00847259">
      <w:pPr>
        <w:ind w:left="567" w:hanging="567"/>
        <w:jc w:val="both"/>
        <w:rPr>
          <w:rFonts w:ascii="Book Antiqua" w:hAnsi="Book Antiqua" w:cs="Arial"/>
        </w:rPr>
      </w:pPr>
    </w:p>
    <w:p w:rsidR="00730384" w:rsidRDefault="00DB333F" w:rsidP="00847259">
      <w:pPr>
        <w:ind w:left="567" w:hanging="567"/>
        <w:jc w:val="both"/>
        <w:rPr>
          <w:rFonts w:ascii="Book Antiqua" w:hAnsi="Book Antiqua" w:cs="Arial"/>
        </w:rPr>
      </w:pPr>
      <w:r>
        <w:rPr>
          <w:rFonts w:ascii="Book Antiqua" w:hAnsi="Book Antiqua" w:cs="Arial"/>
        </w:rPr>
        <w:t>13.</w:t>
      </w:r>
      <w:r>
        <w:rPr>
          <w:rFonts w:ascii="Book Antiqua" w:hAnsi="Book Antiqua" w:cs="Arial"/>
        </w:rPr>
        <w:tab/>
      </w:r>
      <w:r w:rsidR="00212E5F">
        <w:rPr>
          <w:rFonts w:ascii="Book Antiqua" w:hAnsi="Book Antiqua" w:cs="Arial"/>
        </w:rPr>
        <w:t xml:space="preserve">The </w:t>
      </w:r>
      <w:r w:rsidR="00262554">
        <w:rPr>
          <w:rFonts w:ascii="Book Antiqua" w:hAnsi="Book Antiqua" w:cs="Arial"/>
        </w:rPr>
        <w:t>Appellant</w:t>
      </w:r>
      <w:r w:rsidR="00212E5F">
        <w:rPr>
          <w:rFonts w:ascii="Book Antiqua" w:hAnsi="Book Antiqua" w:cs="Arial"/>
        </w:rPr>
        <w:t xml:space="preserve"> appli</w:t>
      </w:r>
      <w:r>
        <w:rPr>
          <w:rFonts w:ascii="Book Antiqua" w:hAnsi="Book Antiqua" w:cs="Arial"/>
        </w:rPr>
        <w:t>ed</w:t>
      </w:r>
      <w:r w:rsidR="00212E5F">
        <w:rPr>
          <w:rFonts w:ascii="Book Antiqua" w:hAnsi="Book Antiqua" w:cs="Arial"/>
        </w:rPr>
        <w:t xml:space="preserve"> for permission to appeal to the Upper Tribunal which was granted by First-tier Tribunal </w:t>
      </w:r>
      <w:r w:rsidR="00262554">
        <w:rPr>
          <w:rFonts w:ascii="Book Antiqua" w:hAnsi="Book Antiqua" w:cs="Arial"/>
        </w:rPr>
        <w:t>Judge</w:t>
      </w:r>
      <w:r w:rsidR="00212E5F">
        <w:rPr>
          <w:rFonts w:ascii="Book Antiqua" w:hAnsi="Book Antiqua" w:cs="Arial"/>
        </w:rPr>
        <w:t xml:space="preserve"> Boyes on 9 </w:t>
      </w:r>
      <w:r w:rsidR="00A927E0">
        <w:rPr>
          <w:rFonts w:ascii="Book Antiqua" w:hAnsi="Book Antiqua" w:cs="Arial"/>
        </w:rPr>
        <w:t xml:space="preserve">January 2018 on a </w:t>
      </w:r>
      <w:r w:rsidR="00F224C0">
        <w:rPr>
          <w:rFonts w:ascii="Book Antiqua" w:hAnsi="Book Antiqua" w:cs="Arial"/>
        </w:rPr>
        <w:t>limited</w:t>
      </w:r>
      <w:r w:rsidR="00730384">
        <w:rPr>
          <w:rFonts w:ascii="Book Antiqua" w:hAnsi="Book Antiqua" w:cs="Arial"/>
        </w:rPr>
        <w:t xml:space="preserve"> basis:</w:t>
      </w:r>
    </w:p>
    <w:p w:rsidR="00730384" w:rsidRDefault="00730384" w:rsidP="00847259">
      <w:pPr>
        <w:ind w:left="567" w:hanging="567"/>
        <w:jc w:val="both"/>
        <w:rPr>
          <w:rFonts w:ascii="Book Antiqua" w:hAnsi="Book Antiqua" w:cs="Arial"/>
        </w:rPr>
      </w:pPr>
    </w:p>
    <w:p w:rsidR="00730384" w:rsidRDefault="00A927E0" w:rsidP="00730384">
      <w:pPr>
        <w:ind w:left="567"/>
        <w:jc w:val="both"/>
        <w:rPr>
          <w:rFonts w:ascii="Book Antiqua" w:hAnsi="Book Antiqua" w:cs="Arial"/>
          <w:i/>
        </w:rPr>
      </w:pPr>
      <w:r>
        <w:rPr>
          <w:rFonts w:ascii="Book Antiqua" w:hAnsi="Book Antiqua" w:cs="Arial"/>
        </w:rPr>
        <w:t>“</w:t>
      </w:r>
      <w:r w:rsidRPr="00A927E0">
        <w:rPr>
          <w:rFonts w:ascii="Book Antiqua" w:hAnsi="Book Antiqua" w:cs="Arial"/>
          <w:i/>
        </w:rPr>
        <w:t xml:space="preserve">It is arguable that the </w:t>
      </w:r>
      <w:r w:rsidR="00262554">
        <w:rPr>
          <w:rFonts w:ascii="Book Antiqua" w:hAnsi="Book Antiqua" w:cs="Arial"/>
          <w:i/>
        </w:rPr>
        <w:t>Judge</w:t>
      </w:r>
      <w:r w:rsidRPr="00A927E0">
        <w:rPr>
          <w:rFonts w:ascii="Book Antiqua" w:hAnsi="Book Antiqua" w:cs="Arial"/>
          <w:i/>
        </w:rPr>
        <w:t xml:space="preserve"> has confused parental responsibility with sole responsibility and thus the </w:t>
      </w:r>
      <w:r w:rsidR="00F224C0" w:rsidRPr="00A927E0">
        <w:rPr>
          <w:rFonts w:ascii="Book Antiqua" w:hAnsi="Book Antiqua" w:cs="Arial"/>
          <w:i/>
        </w:rPr>
        <w:t>ground</w:t>
      </w:r>
      <w:r w:rsidRPr="00A927E0">
        <w:rPr>
          <w:rFonts w:ascii="Book Antiqua" w:hAnsi="Book Antiqua" w:cs="Arial"/>
          <w:i/>
        </w:rPr>
        <w:t xml:space="preserve"> is arguable as an error of la</w:t>
      </w:r>
      <w:r w:rsidR="00730384">
        <w:rPr>
          <w:rFonts w:ascii="Book Antiqua" w:hAnsi="Book Antiqua" w:cs="Arial"/>
          <w:i/>
        </w:rPr>
        <w:t>w.</w:t>
      </w:r>
    </w:p>
    <w:p w:rsidR="00730384" w:rsidRDefault="00730384" w:rsidP="00730384">
      <w:pPr>
        <w:ind w:left="567"/>
        <w:jc w:val="both"/>
        <w:rPr>
          <w:rFonts w:ascii="Book Antiqua" w:hAnsi="Book Antiqua" w:cs="Arial"/>
          <w:i/>
        </w:rPr>
      </w:pPr>
      <w:r>
        <w:rPr>
          <w:rFonts w:ascii="Book Antiqua" w:hAnsi="Book Antiqua" w:cs="Arial"/>
          <w:i/>
        </w:rPr>
        <w:t>The conclusion reached in relation to S.117 is sound in law and logic. The Article 8 assessment was fair and balanced.</w:t>
      </w:r>
    </w:p>
    <w:p w:rsidR="00730384" w:rsidRDefault="00730384" w:rsidP="00730384">
      <w:pPr>
        <w:ind w:left="567"/>
        <w:jc w:val="both"/>
        <w:rPr>
          <w:rFonts w:ascii="Book Antiqua" w:hAnsi="Book Antiqua" w:cs="Arial"/>
        </w:rPr>
      </w:pPr>
      <w:r w:rsidRPr="00730384">
        <w:rPr>
          <w:rFonts w:ascii="Book Antiqua" w:hAnsi="Book Antiqua" w:cs="Arial"/>
          <w:i/>
        </w:rPr>
        <w:t>Permission to appeal is granted on ground 1 onl</w:t>
      </w:r>
      <w:r>
        <w:rPr>
          <w:rFonts w:ascii="Book Antiqua" w:hAnsi="Book Antiqua" w:cs="Arial"/>
          <w:i/>
        </w:rPr>
        <w:t>y.</w:t>
      </w:r>
      <w:r w:rsidR="00A927E0">
        <w:rPr>
          <w:rFonts w:ascii="Book Antiqua" w:hAnsi="Book Antiqua" w:cs="Arial"/>
        </w:rPr>
        <w:t>”</w:t>
      </w:r>
    </w:p>
    <w:p w:rsidR="00730384" w:rsidRDefault="00730384" w:rsidP="00730384">
      <w:pPr>
        <w:ind w:left="567"/>
        <w:jc w:val="both"/>
        <w:rPr>
          <w:rFonts w:ascii="Book Antiqua" w:hAnsi="Book Antiqua" w:cs="Arial"/>
        </w:rPr>
      </w:pPr>
    </w:p>
    <w:p w:rsidR="00E5617C" w:rsidRDefault="00E5617C" w:rsidP="00E5617C">
      <w:pPr>
        <w:jc w:val="both"/>
        <w:rPr>
          <w:rFonts w:ascii="Book Antiqua" w:hAnsi="Book Antiqua" w:cs="Arial"/>
        </w:rPr>
      </w:pPr>
    </w:p>
    <w:p w:rsidR="00212E5F" w:rsidRDefault="00E5617C" w:rsidP="00E5617C">
      <w:pPr>
        <w:ind w:left="567" w:hanging="567"/>
        <w:jc w:val="both"/>
        <w:rPr>
          <w:rFonts w:ascii="Book Antiqua" w:hAnsi="Book Antiqua" w:cs="Arial"/>
        </w:rPr>
      </w:pPr>
      <w:r>
        <w:rPr>
          <w:rFonts w:ascii="Book Antiqua" w:hAnsi="Book Antiqua" w:cs="Arial"/>
        </w:rPr>
        <w:t>14.</w:t>
      </w:r>
      <w:r>
        <w:rPr>
          <w:rFonts w:ascii="Book Antiqua" w:hAnsi="Book Antiqua" w:cs="Arial"/>
        </w:rPr>
        <w:tab/>
      </w:r>
      <w:r w:rsidR="00730384">
        <w:rPr>
          <w:rFonts w:ascii="Book Antiqua" w:hAnsi="Book Antiqua" w:cs="Arial"/>
        </w:rPr>
        <w:t>Implicitly underlying the grant of permission to appeal is the proposition that the consequence of the contended error is</w:t>
      </w:r>
      <w:r w:rsidR="00A927E0">
        <w:rPr>
          <w:rFonts w:ascii="Book Antiqua" w:hAnsi="Book Antiqua" w:cs="Arial"/>
        </w:rPr>
        <w:t xml:space="preserve"> that the </w:t>
      </w:r>
      <w:r w:rsidR="00262554">
        <w:rPr>
          <w:rFonts w:ascii="Book Antiqua" w:hAnsi="Book Antiqua" w:cs="Arial"/>
        </w:rPr>
        <w:t>Judge</w:t>
      </w:r>
      <w:r w:rsidR="00A927E0">
        <w:rPr>
          <w:rFonts w:ascii="Book Antiqua" w:hAnsi="Book Antiqua" w:cs="Arial"/>
        </w:rPr>
        <w:t xml:space="preserve"> w</w:t>
      </w:r>
      <w:r w:rsidR="009276F2">
        <w:rPr>
          <w:rFonts w:ascii="Book Antiqua" w:hAnsi="Book Antiqua" w:cs="Arial"/>
        </w:rPr>
        <w:t>ill</w:t>
      </w:r>
      <w:r w:rsidR="00A927E0">
        <w:rPr>
          <w:rFonts w:ascii="Book Antiqua" w:hAnsi="Book Antiqua" w:cs="Arial"/>
        </w:rPr>
        <w:t xml:space="preserve"> have erred in the proportionality balance with </w:t>
      </w:r>
      <w:r w:rsidR="00F224C0">
        <w:rPr>
          <w:rFonts w:ascii="Book Antiqua" w:hAnsi="Book Antiqua" w:cs="Arial"/>
        </w:rPr>
        <w:t>particular</w:t>
      </w:r>
      <w:r w:rsidR="009276F2">
        <w:rPr>
          <w:rFonts w:ascii="Book Antiqua" w:hAnsi="Book Antiqua" w:cs="Arial"/>
        </w:rPr>
        <w:t xml:space="preserve"> reference to s</w:t>
      </w:r>
      <w:r w:rsidR="00A927E0">
        <w:rPr>
          <w:rFonts w:ascii="Book Antiqua" w:hAnsi="Book Antiqua" w:cs="Arial"/>
        </w:rPr>
        <w:t xml:space="preserve">ection 117B(6) of the Nationality, Immigration and Asylum Act 2002.  </w:t>
      </w:r>
    </w:p>
    <w:p w:rsidR="00A927E0" w:rsidRDefault="00A927E0" w:rsidP="00847259">
      <w:pPr>
        <w:ind w:left="567" w:hanging="567"/>
        <w:jc w:val="both"/>
        <w:rPr>
          <w:rFonts w:ascii="Book Antiqua" w:hAnsi="Book Antiqua" w:cs="Arial"/>
        </w:rPr>
      </w:pPr>
    </w:p>
    <w:p w:rsidR="009276F2" w:rsidRDefault="009276F2" w:rsidP="00847259">
      <w:pPr>
        <w:ind w:left="567" w:hanging="567"/>
        <w:jc w:val="both"/>
        <w:rPr>
          <w:rFonts w:ascii="Book Antiqua" w:hAnsi="Book Antiqua" w:cs="Arial"/>
        </w:rPr>
      </w:pPr>
    </w:p>
    <w:p w:rsidR="005927F5" w:rsidRDefault="00E5617C" w:rsidP="00847259">
      <w:pPr>
        <w:ind w:left="567" w:hanging="567"/>
        <w:jc w:val="both"/>
        <w:rPr>
          <w:rFonts w:ascii="Book Antiqua" w:hAnsi="Book Antiqua" w:cs="Arial"/>
        </w:rPr>
      </w:pPr>
      <w:r>
        <w:rPr>
          <w:rFonts w:ascii="Book Antiqua" w:hAnsi="Book Antiqua" w:cs="Arial"/>
        </w:rPr>
        <w:t>15</w:t>
      </w:r>
      <w:r w:rsidR="00A927E0">
        <w:rPr>
          <w:rFonts w:ascii="Book Antiqua" w:hAnsi="Book Antiqua" w:cs="Arial"/>
        </w:rPr>
        <w:t>.</w:t>
      </w:r>
      <w:r w:rsidR="00A927E0">
        <w:rPr>
          <w:rFonts w:ascii="Book Antiqua" w:hAnsi="Book Antiqua" w:cs="Arial"/>
        </w:rPr>
        <w:tab/>
      </w:r>
      <w:r>
        <w:rPr>
          <w:rFonts w:ascii="Book Antiqua" w:hAnsi="Book Antiqua" w:cs="Arial"/>
        </w:rPr>
        <w:t>By way of context to a consideration of the Appellant’s challenge to the decision of the First-tier Tribunal, I note that t</w:t>
      </w:r>
      <w:r w:rsidR="00A927E0">
        <w:rPr>
          <w:rFonts w:ascii="Book Antiqua" w:hAnsi="Book Antiqua" w:cs="Arial"/>
        </w:rPr>
        <w:t xml:space="preserve">he proceedings before the First-tier Tribunal were initially adjourned because Mr </w:t>
      </w:r>
      <w:r w:rsidR="00003F87">
        <w:rPr>
          <w:rFonts w:ascii="Book Antiqua" w:hAnsi="Book Antiqua" w:cs="Arial"/>
        </w:rPr>
        <w:t>AM</w:t>
      </w:r>
      <w:r w:rsidR="00A927E0">
        <w:rPr>
          <w:rFonts w:ascii="Book Antiqua" w:hAnsi="Book Antiqua" w:cs="Arial"/>
        </w:rPr>
        <w:t xml:space="preserve"> was unable to </w:t>
      </w:r>
      <w:r w:rsidR="00F224C0">
        <w:rPr>
          <w:rFonts w:ascii="Book Antiqua" w:hAnsi="Book Antiqua" w:cs="Arial"/>
        </w:rPr>
        <w:t>attend</w:t>
      </w:r>
      <w:r w:rsidR="00A927E0">
        <w:rPr>
          <w:rFonts w:ascii="Book Antiqua" w:hAnsi="Book Antiqua" w:cs="Arial"/>
        </w:rPr>
        <w:t xml:space="preserve"> the hearing</w:t>
      </w:r>
      <w:r>
        <w:rPr>
          <w:rFonts w:ascii="Book Antiqua" w:hAnsi="Book Antiqua" w:cs="Arial"/>
        </w:rPr>
        <w:t xml:space="preserve"> having travelled to Bali to attend a funeral:</w:t>
      </w:r>
      <w:r w:rsidR="00A927E0">
        <w:rPr>
          <w:rFonts w:ascii="Book Antiqua" w:hAnsi="Book Antiqua" w:cs="Arial"/>
        </w:rPr>
        <w:t xml:space="preserve"> see paragraphs 7</w:t>
      </w:r>
      <w:r>
        <w:rPr>
          <w:rFonts w:ascii="Book Antiqua" w:hAnsi="Book Antiqua" w:cs="Arial"/>
        </w:rPr>
        <w:t>-</w:t>
      </w:r>
      <w:r w:rsidR="00A927E0">
        <w:rPr>
          <w:rFonts w:ascii="Book Antiqua" w:hAnsi="Book Antiqua" w:cs="Arial"/>
        </w:rPr>
        <w:t xml:space="preserve">9 of </w:t>
      </w:r>
      <w:r>
        <w:rPr>
          <w:rFonts w:ascii="Book Antiqua" w:hAnsi="Book Antiqua" w:cs="Arial"/>
        </w:rPr>
        <w:t xml:space="preserve">Judge </w:t>
      </w:r>
      <w:proofErr w:type="spellStart"/>
      <w:r>
        <w:rPr>
          <w:rFonts w:ascii="Book Antiqua" w:hAnsi="Book Antiqua" w:cs="Arial"/>
        </w:rPr>
        <w:t>Widdup’s</w:t>
      </w:r>
      <w:proofErr w:type="spellEnd"/>
      <w:r w:rsidR="00A927E0">
        <w:rPr>
          <w:rFonts w:ascii="Book Antiqua" w:hAnsi="Book Antiqua" w:cs="Arial"/>
        </w:rPr>
        <w:t xml:space="preserve"> </w:t>
      </w:r>
      <w:r>
        <w:rPr>
          <w:rFonts w:ascii="Book Antiqua" w:hAnsi="Book Antiqua" w:cs="Arial"/>
        </w:rPr>
        <w:t>D</w:t>
      </w:r>
      <w:r w:rsidR="00A927E0">
        <w:rPr>
          <w:rFonts w:ascii="Book Antiqua" w:hAnsi="Book Antiqua" w:cs="Arial"/>
        </w:rPr>
        <w:t xml:space="preserve">ecision.  </w:t>
      </w:r>
      <w:r>
        <w:rPr>
          <w:rFonts w:ascii="Book Antiqua" w:hAnsi="Book Antiqua" w:cs="Arial"/>
        </w:rPr>
        <w:t>T</w:t>
      </w:r>
      <w:r w:rsidR="00A927E0">
        <w:rPr>
          <w:rFonts w:ascii="Book Antiqua" w:hAnsi="Book Antiqua" w:cs="Arial"/>
        </w:rPr>
        <w:t xml:space="preserve">he </w:t>
      </w:r>
      <w:r w:rsidR="00262554">
        <w:rPr>
          <w:rFonts w:ascii="Book Antiqua" w:hAnsi="Book Antiqua" w:cs="Arial"/>
        </w:rPr>
        <w:t>Judge</w:t>
      </w:r>
      <w:r w:rsidR="00A927E0">
        <w:rPr>
          <w:rFonts w:ascii="Book Antiqua" w:hAnsi="Book Antiqua" w:cs="Arial"/>
        </w:rPr>
        <w:t xml:space="preserve"> dealing with the </w:t>
      </w:r>
      <w:r w:rsidR="00F224C0">
        <w:rPr>
          <w:rFonts w:ascii="Book Antiqua" w:hAnsi="Book Antiqua" w:cs="Arial"/>
        </w:rPr>
        <w:t>initial</w:t>
      </w:r>
      <w:r w:rsidR="00A927E0">
        <w:rPr>
          <w:rFonts w:ascii="Book Antiqua" w:hAnsi="Book Antiqua" w:cs="Arial"/>
        </w:rPr>
        <w:t xml:space="preserve"> hearing listed on 18 May</w:t>
      </w:r>
      <w:r>
        <w:rPr>
          <w:rFonts w:ascii="Book Antiqua" w:hAnsi="Book Antiqua" w:cs="Arial"/>
        </w:rPr>
        <w:t xml:space="preserve"> 2017</w:t>
      </w:r>
      <w:r w:rsidR="00A927E0">
        <w:rPr>
          <w:rFonts w:ascii="Book Antiqua" w:hAnsi="Book Antiqua" w:cs="Arial"/>
        </w:rPr>
        <w:t xml:space="preserve"> </w:t>
      </w:r>
      <w:r>
        <w:rPr>
          <w:rFonts w:ascii="Book Antiqua" w:hAnsi="Book Antiqua" w:cs="Arial"/>
        </w:rPr>
        <w:t>“</w:t>
      </w:r>
      <w:r w:rsidR="00A927E0" w:rsidRPr="00E5617C">
        <w:rPr>
          <w:rFonts w:ascii="Book Antiqua" w:hAnsi="Book Antiqua" w:cs="Arial"/>
          <w:i/>
        </w:rPr>
        <w:t xml:space="preserve">accepted that Mr </w:t>
      </w:r>
      <w:r w:rsidR="00003F87">
        <w:rPr>
          <w:rFonts w:ascii="Book Antiqua" w:hAnsi="Book Antiqua" w:cs="Arial"/>
          <w:i/>
        </w:rPr>
        <w:t>AM</w:t>
      </w:r>
      <w:r w:rsidR="00A927E0" w:rsidRPr="00E5617C">
        <w:rPr>
          <w:rFonts w:ascii="Book Antiqua" w:hAnsi="Book Antiqua" w:cs="Arial"/>
          <w:i/>
        </w:rPr>
        <w:t xml:space="preserve">’s evidence could be </w:t>
      </w:r>
      <w:r w:rsidR="00F224C0" w:rsidRPr="00E5617C">
        <w:rPr>
          <w:rFonts w:ascii="Book Antiqua" w:hAnsi="Book Antiqua" w:cs="Arial"/>
          <w:i/>
        </w:rPr>
        <w:t>material</w:t>
      </w:r>
      <w:r>
        <w:rPr>
          <w:rFonts w:ascii="Book Antiqua" w:hAnsi="Book Antiqua" w:cs="Arial"/>
        </w:rPr>
        <w:t xml:space="preserve">” (paragraph 9). (Written representations in support of an adjournment </w:t>
      </w:r>
      <w:r>
        <w:rPr>
          <w:rFonts w:ascii="Book Antiqua" w:hAnsi="Book Antiqua" w:cs="Arial"/>
        </w:rPr>
        <w:lastRenderedPageBreak/>
        <w:t xml:space="preserve">had characterised Mr </w:t>
      </w:r>
      <w:r w:rsidR="00003F87">
        <w:rPr>
          <w:rFonts w:ascii="Book Antiqua" w:hAnsi="Book Antiqua" w:cs="Arial"/>
        </w:rPr>
        <w:t>AM</w:t>
      </w:r>
      <w:r>
        <w:rPr>
          <w:rFonts w:ascii="Book Antiqua" w:hAnsi="Book Antiqua" w:cs="Arial"/>
        </w:rPr>
        <w:t xml:space="preserve"> as the Appellant’s ‘</w:t>
      </w:r>
      <w:r w:rsidR="005927F5">
        <w:rPr>
          <w:rFonts w:ascii="Book Antiqua" w:hAnsi="Book Antiqua" w:cs="Arial"/>
        </w:rPr>
        <w:t>primary witn</w:t>
      </w:r>
      <w:r>
        <w:rPr>
          <w:rFonts w:ascii="Book Antiqua" w:hAnsi="Book Antiqua" w:cs="Arial"/>
        </w:rPr>
        <w:t>ess’.)</w:t>
      </w:r>
      <w:r w:rsidR="00A927E0">
        <w:rPr>
          <w:rFonts w:ascii="Book Antiqua" w:hAnsi="Book Antiqua" w:cs="Arial"/>
        </w:rPr>
        <w:t xml:space="preserve"> </w:t>
      </w:r>
      <w:r w:rsidR="005927F5">
        <w:rPr>
          <w:rFonts w:ascii="Book Antiqua" w:hAnsi="Book Antiqua" w:cs="Arial"/>
        </w:rPr>
        <w:t>T</w:t>
      </w:r>
      <w:r w:rsidR="00A927E0">
        <w:rPr>
          <w:rFonts w:ascii="Book Antiqua" w:hAnsi="Book Antiqua" w:cs="Arial"/>
        </w:rPr>
        <w:t xml:space="preserve">he </w:t>
      </w:r>
      <w:r>
        <w:rPr>
          <w:rFonts w:ascii="Book Antiqua" w:hAnsi="Book Antiqua" w:cs="Arial"/>
        </w:rPr>
        <w:t>appeal</w:t>
      </w:r>
      <w:r w:rsidR="00A927E0">
        <w:rPr>
          <w:rFonts w:ascii="Book Antiqua" w:hAnsi="Book Antiqua" w:cs="Arial"/>
        </w:rPr>
        <w:t xml:space="preserve"> was relisted </w:t>
      </w:r>
      <w:r>
        <w:rPr>
          <w:rFonts w:ascii="Book Antiqua" w:hAnsi="Book Antiqua" w:cs="Arial"/>
        </w:rPr>
        <w:t xml:space="preserve">for 5 June 2017 </w:t>
      </w:r>
      <w:r w:rsidR="00A927E0">
        <w:rPr>
          <w:rFonts w:ascii="Book Antiqua" w:hAnsi="Book Antiqua" w:cs="Arial"/>
        </w:rPr>
        <w:t>accordingly.</w:t>
      </w:r>
    </w:p>
    <w:p w:rsidR="005927F5" w:rsidRDefault="005927F5" w:rsidP="00847259">
      <w:pPr>
        <w:ind w:left="567" w:hanging="567"/>
        <w:jc w:val="both"/>
        <w:rPr>
          <w:rFonts w:ascii="Book Antiqua" w:hAnsi="Book Antiqua" w:cs="Arial"/>
        </w:rPr>
      </w:pPr>
    </w:p>
    <w:p w:rsidR="005927F5" w:rsidRDefault="005927F5" w:rsidP="00847259">
      <w:pPr>
        <w:ind w:left="567" w:hanging="567"/>
        <w:jc w:val="both"/>
        <w:rPr>
          <w:rFonts w:ascii="Book Antiqua" w:hAnsi="Book Antiqua" w:cs="Arial"/>
        </w:rPr>
      </w:pPr>
    </w:p>
    <w:p w:rsidR="00A927E0" w:rsidRDefault="005927F5" w:rsidP="00847259">
      <w:pPr>
        <w:ind w:left="567" w:hanging="567"/>
        <w:jc w:val="both"/>
        <w:rPr>
          <w:rFonts w:ascii="Book Antiqua" w:hAnsi="Book Antiqua" w:cs="Arial"/>
        </w:rPr>
      </w:pPr>
      <w:r>
        <w:rPr>
          <w:rFonts w:ascii="Book Antiqua" w:hAnsi="Book Antiqua" w:cs="Arial"/>
        </w:rPr>
        <w:t>16.</w:t>
      </w:r>
      <w:r>
        <w:rPr>
          <w:rFonts w:ascii="Book Antiqua" w:hAnsi="Book Antiqua" w:cs="Arial"/>
        </w:rPr>
        <w:tab/>
        <w:t>On 31 May 2017 a</w:t>
      </w:r>
      <w:r w:rsidR="00A927E0">
        <w:rPr>
          <w:rFonts w:ascii="Book Antiqua" w:hAnsi="Book Antiqua" w:cs="Arial"/>
        </w:rPr>
        <w:t xml:space="preserve"> further adjournment request was made</w:t>
      </w:r>
      <w:r>
        <w:rPr>
          <w:rFonts w:ascii="Book Antiqua" w:hAnsi="Book Antiqua" w:cs="Arial"/>
        </w:rPr>
        <w:t>: it was said that</w:t>
      </w:r>
      <w:r w:rsidR="00A927E0">
        <w:rPr>
          <w:rFonts w:ascii="Book Antiqua" w:hAnsi="Book Antiqua" w:cs="Arial"/>
        </w:rPr>
        <w:t xml:space="preserve"> Mr </w:t>
      </w:r>
      <w:r w:rsidR="00003F87">
        <w:rPr>
          <w:rFonts w:ascii="Book Antiqua" w:hAnsi="Book Antiqua" w:cs="Arial"/>
        </w:rPr>
        <w:t>AM</w:t>
      </w:r>
      <w:r w:rsidR="00A927E0">
        <w:rPr>
          <w:rFonts w:ascii="Book Antiqua" w:hAnsi="Book Antiqua" w:cs="Arial"/>
        </w:rPr>
        <w:t xml:space="preserve"> could</w:t>
      </w:r>
      <w:r>
        <w:rPr>
          <w:rFonts w:ascii="Book Antiqua" w:hAnsi="Book Antiqua" w:cs="Arial"/>
        </w:rPr>
        <w:t xml:space="preserve"> again</w:t>
      </w:r>
      <w:r w:rsidR="00A927E0">
        <w:rPr>
          <w:rFonts w:ascii="Book Antiqua" w:hAnsi="Book Antiqua" w:cs="Arial"/>
        </w:rPr>
        <w:t xml:space="preserve"> not </w:t>
      </w:r>
      <w:r w:rsidR="00F224C0">
        <w:rPr>
          <w:rFonts w:ascii="Book Antiqua" w:hAnsi="Book Antiqua" w:cs="Arial"/>
        </w:rPr>
        <w:t>attend</w:t>
      </w:r>
      <w:r w:rsidR="00A927E0">
        <w:rPr>
          <w:rFonts w:ascii="Book Antiqua" w:hAnsi="Book Antiqua" w:cs="Arial"/>
        </w:rPr>
        <w:t xml:space="preserve"> the </w:t>
      </w:r>
      <w:r>
        <w:rPr>
          <w:rFonts w:ascii="Book Antiqua" w:hAnsi="Book Antiqua" w:cs="Arial"/>
        </w:rPr>
        <w:t>scheduled</w:t>
      </w:r>
      <w:r w:rsidR="00A927E0">
        <w:rPr>
          <w:rFonts w:ascii="Book Antiqua" w:hAnsi="Book Antiqua" w:cs="Arial"/>
        </w:rPr>
        <w:t xml:space="preserve"> hearing</w:t>
      </w:r>
      <w:r>
        <w:rPr>
          <w:rFonts w:ascii="Book Antiqua" w:hAnsi="Book Antiqua" w:cs="Arial"/>
        </w:rPr>
        <w:t>;</w:t>
      </w:r>
      <w:r w:rsidR="00A927E0">
        <w:rPr>
          <w:rFonts w:ascii="Book Antiqua" w:hAnsi="Book Antiqua" w:cs="Arial"/>
        </w:rPr>
        <w:t xml:space="preserve"> </w:t>
      </w:r>
      <w:r>
        <w:rPr>
          <w:rFonts w:ascii="Book Antiqua" w:hAnsi="Book Antiqua" w:cs="Arial"/>
        </w:rPr>
        <w:t>having returned to the UK,</w:t>
      </w:r>
      <w:r w:rsidR="00A927E0">
        <w:rPr>
          <w:rFonts w:ascii="Book Antiqua" w:hAnsi="Book Antiqua" w:cs="Arial"/>
        </w:rPr>
        <w:t xml:space="preserve"> he had</w:t>
      </w:r>
      <w:r>
        <w:rPr>
          <w:rFonts w:ascii="Book Antiqua" w:hAnsi="Book Antiqua" w:cs="Arial"/>
        </w:rPr>
        <w:t xml:space="preserve"> left on 26 May 2017 to </w:t>
      </w:r>
      <w:r w:rsidR="00A927E0">
        <w:rPr>
          <w:rFonts w:ascii="Book Antiqua" w:hAnsi="Book Antiqua" w:cs="Arial"/>
        </w:rPr>
        <w:t>travel</w:t>
      </w:r>
      <w:r>
        <w:rPr>
          <w:rFonts w:ascii="Book Antiqua" w:hAnsi="Book Antiqua" w:cs="Arial"/>
        </w:rPr>
        <w:t xml:space="preserve"> </w:t>
      </w:r>
      <w:r w:rsidR="00A927E0">
        <w:rPr>
          <w:rFonts w:ascii="Book Antiqua" w:hAnsi="Book Antiqua" w:cs="Arial"/>
        </w:rPr>
        <w:t>to Jamaica</w:t>
      </w:r>
      <w:r>
        <w:rPr>
          <w:rFonts w:ascii="Book Antiqua" w:hAnsi="Book Antiqua" w:cs="Arial"/>
        </w:rPr>
        <w:t xml:space="preserve"> and was not due to return until 9 June 2017</w:t>
      </w:r>
      <w:r w:rsidR="00A927E0">
        <w:rPr>
          <w:rFonts w:ascii="Book Antiqua" w:hAnsi="Book Antiqua" w:cs="Arial"/>
        </w:rPr>
        <w:t>.  The a</w:t>
      </w:r>
      <w:r>
        <w:rPr>
          <w:rFonts w:ascii="Book Antiqua" w:hAnsi="Book Antiqua" w:cs="Arial"/>
        </w:rPr>
        <w:t>djournment request was refused because</w:t>
      </w:r>
      <w:r w:rsidR="00A927E0">
        <w:rPr>
          <w:rFonts w:ascii="Book Antiqua" w:hAnsi="Book Antiqua" w:cs="Arial"/>
        </w:rPr>
        <w:t xml:space="preserve"> no good reason had been shown for </w:t>
      </w:r>
      <w:r w:rsidR="00EA78FF">
        <w:rPr>
          <w:rFonts w:ascii="Book Antiqua" w:hAnsi="Book Antiqua" w:cs="Arial"/>
        </w:rPr>
        <w:t xml:space="preserve">Mr </w:t>
      </w:r>
      <w:r w:rsidR="00003F87">
        <w:rPr>
          <w:rFonts w:ascii="Book Antiqua" w:hAnsi="Book Antiqua" w:cs="Arial"/>
        </w:rPr>
        <w:t>AM</w:t>
      </w:r>
      <w:r w:rsidR="00EA78FF">
        <w:rPr>
          <w:rFonts w:ascii="Book Antiqua" w:hAnsi="Book Antiqua" w:cs="Arial"/>
        </w:rPr>
        <w:t xml:space="preserve">’s inability to </w:t>
      </w:r>
      <w:r w:rsidR="00F224C0">
        <w:rPr>
          <w:rFonts w:ascii="Book Antiqua" w:hAnsi="Book Antiqua" w:cs="Arial"/>
        </w:rPr>
        <w:t>attend</w:t>
      </w:r>
      <w:r w:rsidR="00EA78FF">
        <w:rPr>
          <w:rFonts w:ascii="Book Antiqua" w:hAnsi="Book Antiqua" w:cs="Arial"/>
        </w:rPr>
        <w:t xml:space="preserve">.  </w:t>
      </w:r>
      <w:r>
        <w:rPr>
          <w:rFonts w:ascii="Book Antiqua" w:hAnsi="Book Antiqua" w:cs="Arial"/>
        </w:rPr>
        <w:t>The appeal was listed as planned.</w:t>
      </w:r>
    </w:p>
    <w:p w:rsidR="00EA78FF" w:rsidRDefault="00EA78FF" w:rsidP="00847259">
      <w:pPr>
        <w:ind w:left="567" w:hanging="567"/>
        <w:jc w:val="both"/>
        <w:rPr>
          <w:rFonts w:ascii="Book Antiqua" w:hAnsi="Book Antiqua" w:cs="Arial"/>
        </w:rPr>
      </w:pPr>
    </w:p>
    <w:p w:rsidR="005927F5" w:rsidRDefault="005927F5" w:rsidP="00847259">
      <w:pPr>
        <w:ind w:left="567" w:hanging="567"/>
        <w:jc w:val="both"/>
        <w:rPr>
          <w:rFonts w:ascii="Book Antiqua" w:hAnsi="Book Antiqua" w:cs="Arial"/>
        </w:rPr>
      </w:pPr>
    </w:p>
    <w:p w:rsidR="005927F5" w:rsidRDefault="00262554" w:rsidP="00847259">
      <w:pPr>
        <w:ind w:left="567" w:hanging="567"/>
        <w:jc w:val="both"/>
        <w:rPr>
          <w:rFonts w:ascii="Book Antiqua" w:hAnsi="Book Antiqua" w:cs="Arial"/>
        </w:rPr>
      </w:pPr>
      <w:r>
        <w:rPr>
          <w:rFonts w:ascii="Book Antiqua" w:hAnsi="Book Antiqua" w:cs="Arial"/>
        </w:rPr>
        <w:t>1</w:t>
      </w:r>
      <w:r w:rsidR="005927F5">
        <w:rPr>
          <w:rFonts w:ascii="Book Antiqua" w:hAnsi="Book Antiqua" w:cs="Arial"/>
        </w:rPr>
        <w:t>7</w:t>
      </w:r>
      <w:r w:rsidR="00EA78FF">
        <w:rPr>
          <w:rFonts w:ascii="Book Antiqua" w:hAnsi="Book Antiqua" w:cs="Arial"/>
        </w:rPr>
        <w:t>.</w:t>
      </w:r>
      <w:r w:rsidR="00EA78FF">
        <w:rPr>
          <w:rFonts w:ascii="Book Antiqua" w:hAnsi="Book Antiqua" w:cs="Arial"/>
        </w:rPr>
        <w:tab/>
      </w:r>
      <w:r w:rsidR="005927F5">
        <w:rPr>
          <w:rFonts w:ascii="Book Antiqua" w:hAnsi="Book Antiqua" w:cs="Arial"/>
        </w:rPr>
        <w:t>At the hearing on 5 June 2017</w:t>
      </w:r>
      <w:r w:rsidR="00EA78FF">
        <w:rPr>
          <w:rFonts w:ascii="Book Antiqua" w:hAnsi="Book Antiqua" w:cs="Arial"/>
        </w:rPr>
        <w:t xml:space="preserve"> there was no further application for an adjournment</w:t>
      </w:r>
      <w:r w:rsidR="005927F5">
        <w:rPr>
          <w:rFonts w:ascii="Book Antiqua" w:hAnsi="Book Antiqua" w:cs="Arial"/>
        </w:rPr>
        <w:t>:</w:t>
      </w:r>
      <w:r w:rsidR="00EA78FF">
        <w:rPr>
          <w:rFonts w:ascii="Book Antiqua" w:hAnsi="Book Antiqua" w:cs="Arial"/>
        </w:rPr>
        <w:t xml:space="preserve"> </w:t>
      </w:r>
      <w:r w:rsidR="005927F5">
        <w:rPr>
          <w:rFonts w:ascii="Book Antiqua" w:hAnsi="Book Antiqua" w:cs="Arial"/>
        </w:rPr>
        <w:t xml:space="preserve"> </w:t>
      </w:r>
      <w:r w:rsidR="00EA78FF">
        <w:rPr>
          <w:rFonts w:ascii="Book Antiqua" w:hAnsi="Book Antiqua" w:cs="Arial"/>
        </w:rPr>
        <w:t xml:space="preserve">the </w:t>
      </w:r>
      <w:r>
        <w:rPr>
          <w:rFonts w:ascii="Book Antiqua" w:hAnsi="Book Antiqua" w:cs="Arial"/>
        </w:rPr>
        <w:t>Appellant</w:t>
      </w:r>
      <w:r w:rsidR="00EA78FF">
        <w:rPr>
          <w:rFonts w:ascii="Book Antiqua" w:hAnsi="Book Antiqua" w:cs="Arial"/>
        </w:rPr>
        <w:t xml:space="preserve">’s representative </w:t>
      </w:r>
      <w:r w:rsidR="005927F5">
        <w:rPr>
          <w:rFonts w:ascii="Book Antiqua" w:hAnsi="Book Antiqua" w:cs="Arial"/>
        </w:rPr>
        <w:t xml:space="preserve">indicated </w:t>
      </w:r>
      <w:r w:rsidR="00EA78FF">
        <w:rPr>
          <w:rFonts w:ascii="Book Antiqua" w:hAnsi="Book Antiqua" w:cs="Arial"/>
        </w:rPr>
        <w:t>that he was content to proceed witho</w:t>
      </w:r>
      <w:r w:rsidR="005927F5">
        <w:rPr>
          <w:rFonts w:ascii="Book Antiqua" w:hAnsi="Book Antiqua" w:cs="Arial"/>
        </w:rPr>
        <w:t xml:space="preserve">ut Mr </w:t>
      </w:r>
      <w:r w:rsidR="00003F87">
        <w:rPr>
          <w:rFonts w:ascii="Book Antiqua" w:hAnsi="Book Antiqua" w:cs="Arial"/>
        </w:rPr>
        <w:t>AM</w:t>
      </w:r>
      <w:r w:rsidR="005927F5">
        <w:rPr>
          <w:rFonts w:ascii="Book Antiqua" w:hAnsi="Book Antiqua" w:cs="Arial"/>
        </w:rPr>
        <w:t>’s attendance.</w:t>
      </w:r>
    </w:p>
    <w:p w:rsidR="005927F5" w:rsidRDefault="005927F5" w:rsidP="00847259">
      <w:pPr>
        <w:ind w:left="567" w:hanging="567"/>
        <w:jc w:val="both"/>
        <w:rPr>
          <w:rFonts w:ascii="Book Antiqua" w:hAnsi="Book Antiqua" w:cs="Arial"/>
        </w:rPr>
      </w:pPr>
    </w:p>
    <w:p w:rsidR="005927F5" w:rsidRDefault="005927F5" w:rsidP="00847259">
      <w:pPr>
        <w:ind w:left="567" w:hanging="567"/>
        <w:jc w:val="both"/>
        <w:rPr>
          <w:rFonts w:ascii="Book Antiqua" w:hAnsi="Book Antiqua" w:cs="Arial"/>
        </w:rPr>
      </w:pPr>
    </w:p>
    <w:p w:rsidR="00B0536A" w:rsidRDefault="005927F5" w:rsidP="00847259">
      <w:pPr>
        <w:ind w:left="567" w:hanging="567"/>
        <w:jc w:val="both"/>
        <w:rPr>
          <w:rFonts w:ascii="Book Antiqua" w:hAnsi="Book Antiqua" w:cs="Arial"/>
        </w:rPr>
      </w:pPr>
      <w:r>
        <w:rPr>
          <w:rFonts w:ascii="Book Antiqua" w:hAnsi="Book Antiqua" w:cs="Arial"/>
        </w:rPr>
        <w:t>18.</w:t>
      </w:r>
      <w:r>
        <w:rPr>
          <w:rFonts w:ascii="Book Antiqua" w:hAnsi="Book Antiqua" w:cs="Arial"/>
        </w:rPr>
        <w:tab/>
      </w:r>
      <w:r w:rsidR="00EA78FF">
        <w:rPr>
          <w:rFonts w:ascii="Book Antiqua" w:hAnsi="Book Antiqua" w:cs="Arial"/>
        </w:rPr>
        <w:t xml:space="preserve">It was also the case that the </w:t>
      </w:r>
      <w:r>
        <w:rPr>
          <w:rFonts w:ascii="Book Antiqua" w:hAnsi="Book Antiqua" w:cs="Arial"/>
        </w:rPr>
        <w:t>girls did not attend;</w:t>
      </w:r>
      <w:r w:rsidR="00EA78FF">
        <w:rPr>
          <w:rFonts w:ascii="Book Antiqua" w:hAnsi="Book Antiqua" w:cs="Arial"/>
        </w:rPr>
        <w:t xml:space="preserve"> </w:t>
      </w:r>
      <w:r>
        <w:rPr>
          <w:rFonts w:ascii="Book Antiqua" w:hAnsi="Book Antiqua" w:cs="Arial"/>
        </w:rPr>
        <w:t>further</w:t>
      </w:r>
      <w:r w:rsidR="00EA78FF">
        <w:rPr>
          <w:rFonts w:ascii="Book Antiqua" w:hAnsi="Book Antiqua" w:cs="Arial"/>
        </w:rPr>
        <w:t xml:space="preserve"> letters were </w:t>
      </w:r>
      <w:r>
        <w:rPr>
          <w:rFonts w:ascii="Book Antiqua" w:hAnsi="Book Antiqua" w:cs="Arial"/>
        </w:rPr>
        <w:t>presented</w:t>
      </w:r>
      <w:r w:rsidR="00EA78FF">
        <w:rPr>
          <w:rFonts w:ascii="Book Antiqua" w:hAnsi="Book Antiqua" w:cs="Arial"/>
        </w:rPr>
        <w:t xml:space="preserve"> from them.  The letters</w:t>
      </w:r>
      <w:r w:rsidR="00B0536A">
        <w:rPr>
          <w:rFonts w:ascii="Book Antiqua" w:hAnsi="Book Antiqua" w:cs="Arial"/>
        </w:rPr>
        <w:t>,</w:t>
      </w:r>
      <w:r w:rsidR="00EA78FF">
        <w:rPr>
          <w:rFonts w:ascii="Book Antiqua" w:hAnsi="Book Antiqua" w:cs="Arial"/>
        </w:rPr>
        <w:t xml:space="preserve"> dated 4 June 2017</w:t>
      </w:r>
      <w:r w:rsidR="00B0536A">
        <w:rPr>
          <w:rFonts w:ascii="Book Antiqua" w:hAnsi="Book Antiqua" w:cs="Arial"/>
        </w:rPr>
        <w:t>,</w:t>
      </w:r>
      <w:r w:rsidR="00EA78FF">
        <w:rPr>
          <w:rFonts w:ascii="Book Antiqua" w:hAnsi="Book Antiqua" w:cs="Arial"/>
        </w:rPr>
        <w:t xml:space="preserve"> are on file and are similar to the letters</w:t>
      </w:r>
      <w:r w:rsidR="00B0536A">
        <w:rPr>
          <w:rFonts w:ascii="Book Antiqua" w:hAnsi="Book Antiqua" w:cs="Arial"/>
        </w:rPr>
        <w:t xml:space="preserve"> dated 12 March 2016</w:t>
      </w:r>
      <w:r w:rsidR="00EA78FF">
        <w:rPr>
          <w:rFonts w:ascii="Book Antiqua" w:hAnsi="Book Antiqua" w:cs="Arial"/>
        </w:rPr>
        <w:t xml:space="preserve"> that </w:t>
      </w:r>
      <w:r w:rsidR="00B0536A">
        <w:rPr>
          <w:rFonts w:ascii="Book Antiqua" w:hAnsi="Book Antiqua" w:cs="Arial"/>
        </w:rPr>
        <w:t xml:space="preserve">had previously been filed in </w:t>
      </w:r>
      <w:r w:rsidR="00EA78FF">
        <w:rPr>
          <w:rFonts w:ascii="Book Antiqua" w:hAnsi="Book Antiqua" w:cs="Arial"/>
        </w:rPr>
        <w:t xml:space="preserve">the </w:t>
      </w:r>
      <w:r w:rsidR="00262554">
        <w:rPr>
          <w:rFonts w:ascii="Book Antiqua" w:hAnsi="Book Antiqua" w:cs="Arial"/>
        </w:rPr>
        <w:t>Appellant</w:t>
      </w:r>
      <w:r w:rsidR="00EA78FF">
        <w:rPr>
          <w:rFonts w:ascii="Book Antiqua" w:hAnsi="Book Antiqua" w:cs="Arial"/>
        </w:rPr>
        <w:t xml:space="preserve">’s bundle.  </w:t>
      </w:r>
      <w:r w:rsidR="00B0536A">
        <w:rPr>
          <w:rFonts w:ascii="Book Antiqua" w:hAnsi="Book Antiqua" w:cs="Arial"/>
        </w:rPr>
        <w:t>T</w:t>
      </w:r>
      <w:r w:rsidR="00EA78FF">
        <w:rPr>
          <w:rFonts w:ascii="Book Antiqua" w:hAnsi="Book Antiqua" w:cs="Arial"/>
        </w:rPr>
        <w:t>he letters are</w:t>
      </w:r>
      <w:r w:rsidR="00B0536A">
        <w:rPr>
          <w:rFonts w:ascii="Book Antiqua" w:hAnsi="Book Antiqua" w:cs="Arial"/>
        </w:rPr>
        <w:t xml:space="preserve"> also</w:t>
      </w:r>
      <w:r w:rsidR="00EA78FF">
        <w:rPr>
          <w:rFonts w:ascii="Book Antiqua" w:hAnsi="Book Antiqua" w:cs="Arial"/>
        </w:rPr>
        <w:t xml:space="preserve"> similar in </w:t>
      </w:r>
      <w:r w:rsidR="00B0536A">
        <w:rPr>
          <w:rFonts w:ascii="Book Antiqua" w:hAnsi="Book Antiqua" w:cs="Arial"/>
        </w:rPr>
        <w:t>content</w:t>
      </w:r>
      <w:r w:rsidR="00EA78FF">
        <w:rPr>
          <w:rFonts w:ascii="Book Antiqua" w:hAnsi="Book Antiqua" w:cs="Arial"/>
        </w:rPr>
        <w:t xml:space="preserve"> to the earlier letters to which I have already referred.  </w:t>
      </w:r>
      <w:r w:rsidR="00003F87">
        <w:rPr>
          <w:rFonts w:ascii="Book Antiqua" w:hAnsi="Book Antiqua" w:cs="Arial"/>
        </w:rPr>
        <w:t>SF</w:t>
      </w:r>
      <w:r w:rsidR="00EA78FF">
        <w:rPr>
          <w:rFonts w:ascii="Book Antiqua" w:hAnsi="Book Antiqua" w:cs="Arial"/>
        </w:rPr>
        <w:t xml:space="preserve"> again refers to the </w:t>
      </w:r>
      <w:r w:rsidR="00262554">
        <w:rPr>
          <w:rFonts w:ascii="Book Antiqua" w:hAnsi="Book Antiqua" w:cs="Arial"/>
        </w:rPr>
        <w:t>Appellant</w:t>
      </w:r>
      <w:r w:rsidR="00EA78FF">
        <w:rPr>
          <w:rFonts w:ascii="Book Antiqua" w:hAnsi="Book Antiqua" w:cs="Arial"/>
        </w:rPr>
        <w:t xml:space="preserve"> as having “</w:t>
      </w:r>
      <w:r w:rsidR="00EA78FF" w:rsidRPr="00EA78FF">
        <w:rPr>
          <w:rFonts w:ascii="Book Antiqua" w:hAnsi="Book Antiqua" w:cs="Arial"/>
          <w:i/>
        </w:rPr>
        <w:t xml:space="preserve">been very supportive during </w:t>
      </w:r>
      <w:proofErr w:type="gramStart"/>
      <w:r w:rsidR="00EA78FF" w:rsidRPr="00EA78FF">
        <w:rPr>
          <w:rFonts w:ascii="Book Antiqua" w:hAnsi="Book Antiqua" w:cs="Arial"/>
          <w:i/>
        </w:rPr>
        <w:t>these past</w:t>
      </w:r>
      <w:proofErr w:type="gramEnd"/>
      <w:r w:rsidR="00EA78FF" w:rsidRPr="00EA78FF">
        <w:rPr>
          <w:rFonts w:ascii="Book Antiqua" w:hAnsi="Book Antiqua" w:cs="Arial"/>
          <w:i/>
        </w:rPr>
        <w:t xml:space="preserve"> few years</w:t>
      </w:r>
      <w:r w:rsidR="00EA78FF">
        <w:rPr>
          <w:rFonts w:ascii="Book Antiqua" w:hAnsi="Book Antiqua" w:cs="Arial"/>
        </w:rPr>
        <w:t>”</w:t>
      </w:r>
      <w:r w:rsidR="00B0536A">
        <w:rPr>
          <w:rFonts w:ascii="Book Antiqua" w:hAnsi="Book Antiqua" w:cs="Arial"/>
        </w:rPr>
        <w:t>,</w:t>
      </w:r>
      <w:r w:rsidR="00EA78FF">
        <w:rPr>
          <w:rFonts w:ascii="Book Antiqua" w:hAnsi="Book Antiqua" w:cs="Arial"/>
        </w:rPr>
        <w:t xml:space="preserve"> and it is said “</w:t>
      </w:r>
      <w:r w:rsidR="00EA78FF" w:rsidRPr="00EA78FF">
        <w:rPr>
          <w:rFonts w:ascii="Book Antiqua" w:hAnsi="Book Antiqua" w:cs="Arial"/>
          <w:i/>
        </w:rPr>
        <w:t>She looks after and takes care of us</w:t>
      </w:r>
      <w:r w:rsidR="00EA78FF">
        <w:rPr>
          <w:rFonts w:ascii="Book Antiqua" w:hAnsi="Book Antiqua" w:cs="Arial"/>
        </w:rPr>
        <w:t xml:space="preserve">”.  </w:t>
      </w:r>
      <w:r w:rsidR="00003F87">
        <w:rPr>
          <w:rFonts w:ascii="Book Antiqua" w:hAnsi="Book Antiqua" w:cs="Arial"/>
        </w:rPr>
        <w:t>TF</w:t>
      </w:r>
      <w:r w:rsidR="00EA78FF">
        <w:rPr>
          <w:rFonts w:ascii="Book Antiqua" w:hAnsi="Book Antiqua" w:cs="Arial"/>
        </w:rPr>
        <w:t xml:space="preserve"> says in similar </w:t>
      </w:r>
      <w:r w:rsidR="00F224C0">
        <w:rPr>
          <w:rFonts w:ascii="Book Antiqua" w:hAnsi="Book Antiqua" w:cs="Arial"/>
        </w:rPr>
        <w:t>terms that her great-aunt “</w:t>
      </w:r>
      <w:r w:rsidR="00F224C0" w:rsidRPr="00F224C0">
        <w:rPr>
          <w:rFonts w:ascii="Book Antiqua" w:hAnsi="Book Antiqua" w:cs="Arial"/>
          <w:i/>
        </w:rPr>
        <w:t>has been very supportive to me when I was young, especially after mum died in 2008</w:t>
      </w:r>
      <w:r w:rsidR="00F224C0">
        <w:rPr>
          <w:rFonts w:ascii="Book Antiqua" w:hAnsi="Book Antiqua" w:cs="Arial"/>
        </w:rPr>
        <w:t>”</w:t>
      </w:r>
      <w:r w:rsidR="00B0536A">
        <w:rPr>
          <w:rFonts w:ascii="Book Antiqua" w:hAnsi="Book Antiqua" w:cs="Arial"/>
        </w:rPr>
        <w:t>,</w:t>
      </w:r>
      <w:r w:rsidR="00F224C0">
        <w:rPr>
          <w:rFonts w:ascii="Book Antiqua" w:hAnsi="Book Antiqua" w:cs="Arial"/>
        </w:rPr>
        <w:t xml:space="preserve"> before going on to say “</w:t>
      </w:r>
      <w:r w:rsidR="00F224C0" w:rsidRPr="00F224C0">
        <w:rPr>
          <w:rFonts w:ascii="Book Antiqua" w:hAnsi="Book Antiqua" w:cs="Arial"/>
          <w:i/>
        </w:rPr>
        <w:t>She tries her best to look after me and my younger sister.  She brings us things and gives us emotional support.  She comes by my house and checks up on us from time to time</w:t>
      </w:r>
      <w:r w:rsidR="00B0536A">
        <w:rPr>
          <w:rFonts w:ascii="Book Antiqua" w:hAnsi="Book Antiqua" w:cs="Arial"/>
        </w:rPr>
        <w:t>”.</w:t>
      </w:r>
    </w:p>
    <w:p w:rsidR="00B0536A" w:rsidRDefault="00B0536A" w:rsidP="00847259">
      <w:pPr>
        <w:ind w:left="567" w:hanging="567"/>
        <w:jc w:val="both"/>
        <w:rPr>
          <w:rFonts w:ascii="Book Antiqua" w:hAnsi="Book Antiqua" w:cs="Arial"/>
        </w:rPr>
      </w:pPr>
    </w:p>
    <w:p w:rsidR="00B0536A" w:rsidRDefault="00B0536A" w:rsidP="00847259">
      <w:pPr>
        <w:ind w:left="567" w:hanging="567"/>
        <w:jc w:val="both"/>
        <w:rPr>
          <w:rFonts w:ascii="Book Antiqua" w:hAnsi="Book Antiqua" w:cs="Arial"/>
        </w:rPr>
      </w:pPr>
    </w:p>
    <w:p w:rsidR="00082B7C" w:rsidRDefault="00B0536A" w:rsidP="00847259">
      <w:pPr>
        <w:ind w:left="567" w:hanging="567"/>
        <w:jc w:val="both"/>
        <w:rPr>
          <w:rFonts w:ascii="Book Antiqua" w:hAnsi="Book Antiqua" w:cs="Arial"/>
        </w:rPr>
      </w:pPr>
      <w:r>
        <w:rPr>
          <w:rFonts w:ascii="Book Antiqua" w:hAnsi="Book Antiqua" w:cs="Arial"/>
        </w:rPr>
        <w:t>19.</w:t>
      </w:r>
      <w:r>
        <w:rPr>
          <w:rFonts w:ascii="Book Antiqua" w:hAnsi="Book Antiqua" w:cs="Arial"/>
        </w:rPr>
        <w:tab/>
      </w:r>
      <w:r w:rsidR="00082B7C">
        <w:rPr>
          <w:rFonts w:ascii="Book Antiqua" w:hAnsi="Book Antiqua" w:cs="Arial"/>
        </w:rPr>
        <w:t xml:space="preserve">The appeal proceeded without any </w:t>
      </w:r>
      <w:r>
        <w:rPr>
          <w:rFonts w:ascii="Book Antiqua" w:hAnsi="Book Antiqua" w:cs="Arial"/>
        </w:rPr>
        <w:t>‘</w:t>
      </w:r>
      <w:r w:rsidR="00082B7C">
        <w:rPr>
          <w:rFonts w:ascii="Book Antiqua" w:hAnsi="Book Antiqua" w:cs="Arial"/>
        </w:rPr>
        <w:t>live</w:t>
      </w:r>
      <w:r>
        <w:rPr>
          <w:rFonts w:ascii="Book Antiqua" w:hAnsi="Book Antiqua" w:cs="Arial"/>
        </w:rPr>
        <w:t>’</w:t>
      </w:r>
      <w:r w:rsidR="00082B7C">
        <w:rPr>
          <w:rFonts w:ascii="Book Antiqua" w:hAnsi="Book Antiqua" w:cs="Arial"/>
        </w:rPr>
        <w:t xml:space="preserve"> evidence from the father of the girls</w:t>
      </w:r>
      <w:r>
        <w:rPr>
          <w:rFonts w:ascii="Book Antiqua" w:hAnsi="Book Antiqua" w:cs="Arial"/>
        </w:rPr>
        <w:t>,</w:t>
      </w:r>
      <w:r w:rsidR="00082B7C">
        <w:rPr>
          <w:rFonts w:ascii="Book Antiqua" w:hAnsi="Book Antiqua" w:cs="Arial"/>
        </w:rPr>
        <w:t xml:space="preserve"> and without any live evidence from the girls</w:t>
      </w:r>
      <w:r>
        <w:rPr>
          <w:rFonts w:ascii="Book Antiqua" w:hAnsi="Book Antiqua" w:cs="Arial"/>
        </w:rPr>
        <w:t>.</w:t>
      </w:r>
      <w:r w:rsidR="00082B7C">
        <w:rPr>
          <w:rFonts w:ascii="Book Antiqua" w:hAnsi="Book Antiqua" w:cs="Arial"/>
        </w:rPr>
        <w:t xml:space="preserve"> </w:t>
      </w:r>
      <w:r>
        <w:rPr>
          <w:rFonts w:ascii="Book Antiqua" w:hAnsi="Book Antiqua" w:cs="Arial"/>
        </w:rPr>
        <w:t>(A</w:t>
      </w:r>
      <w:r w:rsidR="00082B7C">
        <w:rPr>
          <w:rFonts w:ascii="Book Antiqua" w:hAnsi="Book Antiqua" w:cs="Arial"/>
        </w:rPr>
        <w:t xml:space="preserve">lthough both </w:t>
      </w:r>
      <w:r>
        <w:rPr>
          <w:rFonts w:ascii="Book Antiqua" w:hAnsi="Book Antiqua" w:cs="Arial"/>
        </w:rPr>
        <w:t xml:space="preserve">girls </w:t>
      </w:r>
      <w:r w:rsidR="00082B7C">
        <w:rPr>
          <w:rFonts w:ascii="Book Antiqua" w:hAnsi="Book Antiqua" w:cs="Arial"/>
        </w:rPr>
        <w:t>were</w:t>
      </w:r>
      <w:r>
        <w:rPr>
          <w:rFonts w:ascii="Book Antiqua" w:hAnsi="Book Antiqua" w:cs="Arial"/>
        </w:rPr>
        <w:t xml:space="preserve"> still</w:t>
      </w:r>
      <w:r w:rsidR="00082B7C">
        <w:rPr>
          <w:rFonts w:ascii="Book Antiqua" w:hAnsi="Book Antiqua" w:cs="Arial"/>
        </w:rPr>
        <w:t xml:space="preserve"> minors, </w:t>
      </w:r>
      <w:r>
        <w:rPr>
          <w:rFonts w:ascii="Book Antiqua" w:hAnsi="Book Antiqua" w:cs="Arial"/>
        </w:rPr>
        <w:t>the older</w:t>
      </w:r>
      <w:r w:rsidR="00082B7C">
        <w:rPr>
          <w:rFonts w:ascii="Book Antiqua" w:hAnsi="Book Antiqua" w:cs="Arial"/>
        </w:rPr>
        <w:t xml:space="preserve"> was approaching her 18</w:t>
      </w:r>
      <w:r w:rsidR="00082B7C" w:rsidRPr="00082B7C">
        <w:rPr>
          <w:rFonts w:ascii="Book Antiqua" w:hAnsi="Book Antiqua" w:cs="Arial"/>
          <w:vertAlign w:val="superscript"/>
        </w:rPr>
        <w:t>th</w:t>
      </w:r>
      <w:r w:rsidR="00082B7C">
        <w:rPr>
          <w:rFonts w:ascii="Book Antiqua" w:hAnsi="Book Antiqua" w:cs="Arial"/>
        </w:rPr>
        <w:t xml:space="preserve"> birthday.</w:t>
      </w:r>
      <w:r>
        <w:rPr>
          <w:rFonts w:ascii="Book Antiqua" w:hAnsi="Book Antiqua" w:cs="Arial"/>
        </w:rPr>
        <w:t>)</w:t>
      </w:r>
      <w:r w:rsidR="00082B7C">
        <w:rPr>
          <w:rFonts w:ascii="Book Antiqua" w:hAnsi="Book Antiqua" w:cs="Arial"/>
        </w:rPr>
        <w:t xml:space="preserve">  </w:t>
      </w:r>
    </w:p>
    <w:p w:rsidR="00082B7C" w:rsidRDefault="00082B7C" w:rsidP="00847259">
      <w:pPr>
        <w:ind w:left="567" w:hanging="567"/>
        <w:jc w:val="both"/>
        <w:rPr>
          <w:rFonts w:ascii="Book Antiqua" w:hAnsi="Book Antiqua" w:cs="Arial"/>
        </w:rPr>
      </w:pPr>
    </w:p>
    <w:p w:rsidR="00B0536A" w:rsidRDefault="00B0536A" w:rsidP="00847259">
      <w:pPr>
        <w:ind w:left="567" w:hanging="567"/>
        <w:jc w:val="both"/>
        <w:rPr>
          <w:rFonts w:ascii="Book Antiqua" w:hAnsi="Book Antiqua" w:cs="Arial"/>
        </w:rPr>
      </w:pPr>
    </w:p>
    <w:p w:rsidR="00B0536A" w:rsidRDefault="00B0536A" w:rsidP="00847259">
      <w:pPr>
        <w:ind w:left="567" w:hanging="567"/>
        <w:jc w:val="both"/>
        <w:rPr>
          <w:rFonts w:ascii="Book Antiqua" w:hAnsi="Book Antiqua" w:cs="Arial"/>
        </w:rPr>
      </w:pPr>
      <w:r>
        <w:rPr>
          <w:rFonts w:ascii="Book Antiqua" w:hAnsi="Book Antiqua" w:cs="Arial"/>
        </w:rPr>
        <w:t>20</w:t>
      </w:r>
      <w:r w:rsidR="00082B7C">
        <w:rPr>
          <w:rFonts w:ascii="Book Antiqua" w:hAnsi="Book Antiqua" w:cs="Arial"/>
        </w:rPr>
        <w:t>.</w:t>
      </w:r>
      <w:r w:rsidR="00082B7C">
        <w:rPr>
          <w:rFonts w:ascii="Book Antiqua" w:hAnsi="Book Antiqua" w:cs="Arial"/>
        </w:rPr>
        <w:tab/>
        <w:t xml:space="preserve">The </w:t>
      </w:r>
      <w:r w:rsidR="00262554">
        <w:rPr>
          <w:rFonts w:ascii="Book Antiqua" w:hAnsi="Book Antiqua" w:cs="Arial"/>
        </w:rPr>
        <w:t>Appellant</w:t>
      </w:r>
      <w:r w:rsidR="00082B7C">
        <w:rPr>
          <w:rFonts w:ascii="Book Antiqua" w:hAnsi="Book Antiqua" w:cs="Arial"/>
        </w:rPr>
        <w:t xml:space="preserve"> gave evidence before the Tribunal</w:t>
      </w:r>
      <w:r>
        <w:rPr>
          <w:rFonts w:ascii="Book Antiqua" w:hAnsi="Book Antiqua" w:cs="Arial"/>
        </w:rPr>
        <w:t xml:space="preserve"> as did her sister, Mrs </w:t>
      </w:r>
      <w:r w:rsidR="00D77C2A">
        <w:rPr>
          <w:rFonts w:ascii="Book Antiqua" w:hAnsi="Book Antiqua" w:cs="Arial"/>
        </w:rPr>
        <w:t>F</w:t>
      </w:r>
      <w:r>
        <w:rPr>
          <w:rFonts w:ascii="Book Antiqua" w:hAnsi="Book Antiqua" w:cs="Arial"/>
        </w:rPr>
        <w:t>.</w:t>
      </w:r>
    </w:p>
    <w:p w:rsidR="00B0536A" w:rsidRDefault="00B0536A" w:rsidP="00847259">
      <w:pPr>
        <w:ind w:left="567" w:hanging="567"/>
        <w:jc w:val="both"/>
        <w:rPr>
          <w:rFonts w:ascii="Book Antiqua" w:hAnsi="Book Antiqua" w:cs="Arial"/>
        </w:rPr>
      </w:pPr>
    </w:p>
    <w:p w:rsidR="00B0536A" w:rsidRDefault="00B0536A" w:rsidP="00847259">
      <w:pPr>
        <w:ind w:left="567" w:hanging="567"/>
        <w:jc w:val="both"/>
        <w:rPr>
          <w:rFonts w:ascii="Book Antiqua" w:hAnsi="Book Antiqua" w:cs="Arial"/>
        </w:rPr>
      </w:pPr>
    </w:p>
    <w:p w:rsidR="00B0536A" w:rsidRDefault="00B0536A" w:rsidP="00847259">
      <w:pPr>
        <w:ind w:left="567" w:hanging="567"/>
        <w:jc w:val="both"/>
        <w:rPr>
          <w:rFonts w:ascii="Book Antiqua" w:hAnsi="Book Antiqua" w:cs="Arial"/>
        </w:rPr>
      </w:pPr>
      <w:r>
        <w:rPr>
          <w:rFonts w:ascii="Book Antiqua" w:hAnsi="Book Antiqua" w:cs="Arial"/>
        </w:rPr>
        <w:t>21.</w:t>
      </w:r>
      <w:r>
        <w:rPr>
          <w:rFonts w:ascii="Book Antiqua" w:hAnsi="Book Antiqua" w:cs="Arial"/>
        </w:rPr>
        <w:tab/>
      </w:r>
      <w:r w:rsidR="00082B7C">
        <w:rPr>
          <w:rFonts w:ascii="Book Antiqua" w:hAnsi="Book Antiqua" w:cs="Arial"/>
        </w:rPr>
        <w:t xml:space="preserve">The </w:t>
      </w:r>
      <w:r w:rsidR="00262554">
        <w:rPr>
          <w:rFonts w:ascii="Book Antiqua" w:hAnsi="Book Antiqua" w:cs="Arial"/>
        </w:rPr>
        <w:t>Judge</w:t>
      </w:r>
      <w:r w:rsidR="00082B7C">
        <w:rPr>
          <w:rFonts w:ascii="Book Antiqua" w:hAnsi="Book Antiqua" w:cs="Arial"/>
        </w:rPr>
        <w:t xml:space="preserve"> has set out the evidence that was before him</w:t>
      </w:r>
      <w:r>
        <w:rPr>
          <w:rFonts w:ascii="Book Antiqua" w:hAnsi="Book Antiqua" w:cs="Arial"/>
        </w:rPr>
        <w:t>,</w:t>
      </w:r>
      <w:r w:rsidR="00082B7C">
        <w:rPr>
          <w:rFonts w:ascii="Book Antiqua" w:hAnsi="Book Antiqua" w:cs="Arial"/>
        </w:rPr>
        <w:t xml:space="preserve"> both documentary and oral</w:t>
      </w:r>
      <w:r>
        <w:rPr>
          <w:rFonts w:ascii="Book Antiqua" w:hAnsi="Book Antiqua" w:cs="Arial"/>
        </w:rPr>
        <w:t>,</w:t>
      </w:r>
      <w:r w:rsidR="00082B7C">
        <w:rPr>
          <w:rFonts w:ascii="Book Antiqua" w:hAnsi="Book Antiqua" w:cs="Arial"/>
        </w:rPr>
        <w:t xml:space="preserve"> in some detail and with some cogency</w:t>
      </w:r>
      <w:r>
        <w:rPr>
          <w:rFonts w:ascii="Book Antiqua" w:hAnsi="Book Antiqua" w:cs="Arial"/>
        </w:rPr>
        <w:t>:</w:t>
      </w:r>
      <w:r w:rsidR="00082B7C">
        <w:rPr>
          <w:rFonts w:ascii="Book Antiqua" w:hAnsi="Book Antiqua" w:cs="Arial"/>
        </w:rPr>
        <w:t xml:space="preserve"> paragraph 13</w:t>
      </w:r>
      <w:r>
        <w:rPr>
          <w:rFonts w:ascii="Book Antiqua" w:hAnsi="Book Antiqua" w:cs="Arial"/>
        </w:rPr>
        <w:t xml:space="preserve"> </w:t>
      </w:r>
      <w:r w:rsidRPr="00B0536A">
        <w:rPr>
          <w:rFonts w:ascii="Book Antiqua" w:hAnsi="Book Antiqua" w:cs="Arial"/>
          <w:i/>
        </w:rPr>
        <w:t>et seq.</w:t>
      </w:r>
      <w:r>
        <w:rPr>
          <w:rFonts w:ascii="Book Antiqua" w:hAnsi="Book Antiqua" w:cs="Arial"/>
        </w:rPr>
        <w:t>.</w:t>
      </w:r>
      <w:r w:rsidR="00082B7C">
        <w:rPr>
          <w:rFonts w:ascii="Book Antiqua" w:hAnsi="Book Antiqua" w:cs="Arial"/>
        </w:rPr>
        <w:t xml:space="preserve"> </w:t>
      </w:r>
      <w:r>
        <w:rPr>
          <w:rFonts w:ascii="Book Antiqua" w:hAnsi="Book Antiqua" w:cs="Arial"/>
        </w:rPr>
        <w:t>T</w:t>
      </w:r>
      <w:r w:rsidR="00082B7C">
        <w:rPr>
          <w:rFonts w:ascii="Book Antiqua" w:hAnsi="Book Antiqua" w:cs="Arial"/>
        </w:rPr>
        <w:t xml:space="preserve">he </w:t>
      </w:r>
      <w:r w:rsidR="00262554">
        <w:rPr>
          <w:rFonts w:ascii="Book Antiqua" w:hAnsi="Book Antiqua" w:cs="Arial"/>
        </w:rPr>
        <w:t>Judge</w:t>
      </w:r>
      <w:r w:rsidR="00082B7C">
        <w:rPr>
          <w:rFonts w:ascii="Book Antiqua" w:hAnsi="Book Antiqua" w:cs="Arial"/>
        </w:rPr>
        <w:t xml:space="preserve"> then sets out </w:t>
      </w:r>
      <w:r>
        <w:rPr>
          <w:rFonts w:ascii="Book Antiqua" w:hAnsi="Book Antiqua" w:cs="Arial"/>
        </w:rPr>
        <w:t>‘C</w:t>
      </w:r>
      <w:r w:rsidR="00082B7C">
        <w:rPr>
          <w:rFonts w:ascii="Book Antiqua" w:hAnsi="Book Antiqua" w:cs="Arial"/>
        </w:rPr>
        <w:t>onclusions</w:t>
      </w:r>
      <w:r>
        <w:rPr>
          <w:rFonts w:ascii="Book Antiqua" w:hAnsi="Book Antiqua" w:cs="Arial"/>
        </w:rPr>
        <w:t>’</w:t>
      </w:r>
      <w:r w:rsidR="00082B7C">
        <w:rPr>
          <w:rFonts w:ascii="Book Antiqua" w:hAnsi="Book Antiqua" w:cs="Arial"/>
        </w:rPr>
        <w:t xml:space="preserve"> from paragraph 38</w:t>
      </w:r>
      <w:r>
        <w:rPr>
          <w:rFonts w:ascii="Book Antiqua" w:hAnsi="Book Antiqua" w:cs="Arial"/>
        </w:rPr>
        <w:t>.</w:t>
      </w:r>
    </w:p>
    <w:p w:rsidR="00B0536A" w:rsidRDefault="00B0536A" w:rsidP="00847259">
      <w:pPr>
        <w:ind w:left="567" w:hanging="567"/>
        <w:jc w:val="both"/>
        <w:rPr>
          <w:rFonts w:ascii="Book Antiqua" w:hAnsi="Book Antiqua" w:cs="Arial"/>
        </w:rPr>
      </w:pPr>
    </w:p>
    <w:p w:rsidR="00B0536A" w:rsidRDefault="00B0536A" w:rsidP="00847259">
      <w:pPr>
        <w:ind w:left="567" w:hanging="567"/>
        <w:jc w:val="both"/>
        <w:rPr>
          <w:rFonts w:ascii="Book Antiqua" w:hAnsi="Book Antiqua" w:cs="Arial"/>
        </w:rPr>
      </w:pPr>
    </w:p>
    <w:p w:rsidR="00951805" w:rsidRDefault="00B0536A" w:rsidP="00847259">
      <w:pPr>
        <w:ind w:left="567" w:hanging="567"/>
        <w:jc w:val="both"/>
        <w:rPr>
          <w:rFonts w:ascii="Book Antiqua" w:hAnsi="Book Antiqua" w:cs="Arial"/>
        </w:rPr>
      </w:pPr>
      <w:r>
        <w:rPr>
          <w:rFonts w:ascii="Book Antiqua" w:hAnsi="Book Antiqua" w:cs="Arial"/>
        </w:rPr>
        <w:t>22.</w:t>
      </w:r>
      <w:r>
        <w:rPr>
          <w:rFonts w:ascii="Book Antiqua" w:hAnsi="Book Antiqua" w:cs="Arial"/>
        </w:rPr>
        <w:tab/>
        <w:t>The Judge records</w:t>
      </w:r>
      <w:r w:rsidR="00082B7C">
        <w:rPr>
          <w:rFonts w:ascii="Book Antiqua" w:hAnsi="Book Antiqua" w:cs="Arial"/>
        </w:rPr>
        <w:t xml:space="preserve"> that it was </w:t>
      </w:r>
      <w:r>
        <w:rPr>
          <w:rFonts w:ascii="Book Antiqua" w:hAnsi="Book Antiqua" w:cs="Arial"/>
        </w:rPr>
        <w:t>assert</w:t>
      </w:r>
      <w:r w:rsidR="00082B7C">
        <w:rPr>
          <w:rFonts w:ascii="Book Antiqua" w:hAnsi="Book Antiqua" w:cs="Arial"/>
        </w:rPr>
        <w:t xml:space="preserve">ed </w:t>
      </w:r>
      <w:r>
        <w:rPr>
          <w:rFonts w:ascii="Book Antiqua" w:hAnsi="Book Antiqua" w:cs="Arial"/>
        </w:rPr>
        <w:t>by</w:t>
      </w:r>
      <w:r w:rsidR="00082B7C">
        <w:rPr>
          <w:rFonts w:ascii="Book Antiqua" w:hAnsi="Book Antiqua" w:cs="Arial"/>
        </w:rPr>
        <w:t xml:space="preserve"> the </w:t>
      </w:r>
      <w:r w:rsidR="00262554">
        <w:rPr>
          <w:rFonts w:ascii="Book Antiqua" w:hAnsi="Book Antiqua" w:cs="Arial"/>
        </w:rPr>
        <w:t>Appellant</w:t>
      </w:r>
      <w:r>
        <w:rPr>
          <w:rFonts w:ascii="Book Antiqua" w:hAnsi="Book Antiqua" w:cs="Arial"/>
        </w:rPr>
        <w:t xml:space="preserve"> in her evidence</w:t>
      </w:r>
      <w:r w:rsidR="00082B7C">
        <w:rPr>
          <w:rFonts w:ascii="Book Antiqua" w:hAnsi="Book Antiqua" w:cs="Arial"/>
        </w:rPr>
        <w:t xml:space="preserve"> that she played the most important part in the children’s upbringing</w:t>
      </w:r>
      <w:r>
        <w:rPr>
          <w:rFonts w:ascii="Book Antiqua" w:hAnsi="Book Antiqua" w:cs="Arial"/>
        </w:rPr>
        <w:t>:</w:t>
      </w:r>
      <w:r w:rsidR="00082B7C">
        <w:rPr>
          <w:rFonts w:ascii="Book Antiqua" w:hAnsi="Book Antiqua" w:cs="Arial"/>
        </w:rPr>
        <w:t xml:space="preserve"> “</w:t>
      </w:r>
      <w:r w:rsidR="00082B7C" w:rsidRPr="00082B7C">
        <w:rPr>
          <w:rFonts w:ascii="Book Antiqua" w:hAnsi="Book Antiqua" w:cs="Arial"/>
          <w:i/>
        </w:rPr>
        <w:t xml:space="preserve">The </w:t>
      </w:r>
      <w:r w:rsidR="00262554">
        <w:rPr>
          <w:rFonts w:ascii="Book Antiqua" w:hAnsi="Book Antiqua" w:cs="Arial"/>
          <w:i/>
        </w:rPr>
        <w:t>Appellant</w:t>
      </w:r>
      <w:r w:rsidR="00082B7C" w:rsidRPr="00082B7C">
        <w:rPr>
          <w:rFonts w:ascii="Book Antiqua" w:hAnsi="Book Antiqua" w:cs="Arial"/>
          <w:i/>
        </w:rPr>
        <w:t xml:space="preserve">’s case is that she has a parental relationship with the children. In her oral evidence she </w:t>
      </w:r>
      <w:r w:rsidR="00262554" w:rsidRPr="00082B7C">
        <w:rPr>
          <w:rFonts w:ascii="Book Antiqua" w:hAnsi="Book Antiqua" w:cs="Arial"/>
          <w:i/>
        </w:rPr>
        <w:t>said</w:t>
      </w:r>
      <w:r w:rsidR="00082B7C" w:rsidRPr="00082B7C">
        <w:rPr>
          <w:rFonts w:ascii="Book Antiqua" w:hAnsi="Book Antiqua" w:cs="Arial"/>
          <w:i/>
        </w:rPr>
        <w:t xml:space="preserve"> that of all the family in the UK she plays the most important part</w:t>
      </w:r>
      <w:r w:rsidR="00082B7C">
        <w:rPr>
          <w:rFonts w:ascii="Book Antiqua" w:hAnsi="Book Antiqua" w:cs="Arial"/>
        </w:rPr>
        <w:t>”</w:t>
      </w:r>
      <w:r>
        <w:rPr>
          <w:rFonts w:ascii="Book Antiqua" w:hAnsi="Book Antiqua" w:cs="Arial"/>
        </w:rPr>
        <w:t xml:space="preserve"> (paragraph 66)</w:t>
      </w:r>
      <w:r w:rsidR="00082B7C">
        <w:rPr>
          <w:rFonts w:ascii="Book Antiqua" w:hAnsi="Book Antiqua" w:cs="Arial"/>
        </w:rPr>
        <w:t xml:space="preserve">.  </w:t>
      </w:r>
      <w:r w:rsidR="00AE328D">
        <w:rPr>
          <w:rFonts w:ascii="Book Antiqua" w:hAnsi="Book Antiqua" w:cs="Arial"/>
        </w:rPr>
        <w:t>Th</w:t>
      </w:r>
      <w:r w:rsidR="00951805">
        <w:rPr>
          <w:rFonts w:ascii="Book Antiqua" w:hAnsi="Book Antiqua" w:cs="Arial"/>
        </w:rPr>
        <w:t xml:space="preserve">e Judge rejected this claim </w:t>
      </w:r>
      <w:r w:rsidR="00AE328D">
        <w:rPr>
          <w:rFonts w:ascii="Book Antiqua" w:hAnsi="Book Antiqua" w:cs="Arial"/>
        </w:rPr>
        <w:t xml:space="preserve">at paragraph 69 </w:t>
      </w:r>
      <w:r w:rsidR="00951805">
        <w:rPr>
          <w:rFonts w:ascii="Book Antiqua" w:hAnsi="Book Antiqua" w:cs="Arial"/>
        </w:rPr>
        <w:t xml:space="preserve">pursuant to reasons given at </w:t>
      </w:r>
      <w:r w:rsidR="00AE328D">
        <w:rPr>
          <w:rFonts w:ascii="Book Antiqua" w:hAnsi="Book Antiqua" w:cs="Arial"/>
        </w:rPr>
        <w:t>paragraphs 67 and 68</w:t>
      </w:r>
      <w:r w:rsidR="00951805">
        <w:rPr>
          <w:rFonts w:ascii="Book Antiqua" w:hAnsi="Book Antiqua" w:cs="Arial"/>
        </w:rPr>
        <w:t>:</w:t>
      </w:r>
    </w:p>
    <w:p w:rsidR="00951805" w:rsidRDefault="00951805" w:rsidP="00847259">
      <w:pPr>
        <w:ind w:left="567" w:hanging="567"/>
        <w:jc w:val="both"/>
        <w:rPr>
          <w:rFonts w:ascii="Book Antiqua" w:hAnsi="Book Antiqua" w:cs="Arial"/>
        </w:rPr>
      </w:pPr>
    </w:p>
    <w:p w:rsidR="00951805" w:rsidRDefault="00951805" w:rsidP="00847259">
      <w:pPr>
        <w:ind w:left="567" w:hanging="567"/>
        <w:jc w:val="both"/>
        <w:rPr>
          <w:rFonts w:ascii="Book Antiqua" w:hAnsi="Book Antiqua" w:cs="Arial"/>
        </w:rPr>
      </w:pPr>
      <w:r>
        <w:rPr>
          <w:rFonts w:ascii="Book Antiqua" w:hAnsi="Book Antiqua" w:cs="Arial"/>
        </w:rPr>
        <w:lastRenderedPageBreak/>
        <w:tab/>
        <w:t>“</w:t>
      </w:r>
      <w:r w:rsidRPr="00951805">
        <w:rPr>
          <w:rFonts w:ascii="Book Antiqua" w:hAnsi="Book Antiqua" w:cs="Arial"/>
          <w:i/>
        </w:rPr>
        <w:t xml:space="preserve">I do accept that the Appellant has an important role in the children’s upbringing but I reject her claim that it is the most important. I say that with the evidence about the significant role played by their grandmother, Mrs </w:t>
      </w:r>
      <w:r w:rsidR="00D77C2A">
        <w:rPr>
          <w:rFonts w:ascii="Book Antiqua" w:hAnsi="Book Antiqua" w:cs="Arial"/>
          <w:i/>
        </w:rPr>
        <w:t>F</w:t>
      </w:r>
      <w:r w:rsidRPr="00951805">
        <w:rPr>
          <w:rFonts w:ascii="Book Antiqua" w:hAnsi="Book Antiqua" w:cs="Arial"/>
          <w:i/>
        </w:rPr>
        <w:t>, in mind.</w:t>
      </w:r>
      <w:r>
        <w:rPr>
          <w:rFonts w:ascii="Book Antiqua" w:hAnsi="Book Antiqua" w:cs="Arial"/>
        </w:rPr>
        <w:t>”</w:t>
      </w:r>
    </w:p>
    <w:p w:rsidR="00951805" w:rsidRDefault="00951805" w:rsidP="00847259">
      <w:pPr>
        <w:ind w:left="567" w:hanging="567"/>
        <w:jc w:val="both"/>
        <w:rPr>
          <w:rFonts w:ascii="Book Antiqua" w:hAnsi="Book Antiqua" w:cs="Arial"/>
        </w:rPr>
      </w:pPr>
    </w:p>
    <w:p w:rsidR="00951805" w:rsidRDefault="00951805" w:rsidP="00847259">
      <w:pPr>
        <w:ind w:left="567" w:hanging="567"/>
        <w:jc w:val="both"/>
        <w:rPr>
          <w:rFonts w:ascii="Book Antiqua" w:hAnsi="Book Antiqua" w:cs="Arial"/>
        </w:rPr>
      </w:pPr>
    </w:p>
    <w:p w:rsidR="000159F9" w:rsidRDefault="0087724F" w:rsidP="00847259">
      <w:pPr>
        <w:ind w:left="567" w:hanging="567"/>
        <w:jc w:val="both"/>
        <w:rPr>
          <w:rFonts w:ascii="Book Antiqua" w:hAnsi="Book Antiqua" w:cs="Arial"/>
        </w:rPr>
      </w:pPr>
      <w:r>
        <w:rPr>
          <w:rFonts w:ascii="Book Antiqua" w:hAnsi="Book Antiqua" w:cs="Arial"/>
        </w:rPr>
        <w:t>23.</w:t>
      </w:r>
      <w:r>
        <w:rPr>
          <w:rFonts w:ascii="Book Antiqua" w:hAnsi="Book Antiqua" w:cs="Arial"/>
        </w:rPr>
        <w:tab/>
      </w:r>
      <w:r w:rsidR="00BC1E5E">
        <w:rPr>
          <w:rFonts w:ascii="Book Antiqua" w:hAnsi="Book Antiqua" w:cs="Arial"/>
        </w:rPr>
        <w:t>The Judge sets out</w:t>
      </w:r>
      <w:r w:rsidRPr="0087724F">
        <w:rPr>
          <w:rFonts w:ascii="Book Antiqua" w:hAnsi="Book Antiqua" w:cs="Arial"/>
        </w:rPr>
        <w:t xml:space="preserve"> </w:t>
      </w:r>
      <w:r>
        <w:rPr>
          <w:rFonts w:ascii="Book Antiqua" w:hAnsi="Book Antiqua" w:cs="Arial"/>
        </w:rPr>
        <w:t>his reasons for rejecting the Appellant’s evidence in this regard</w:t>
      </w:r>
      <w:r w:rsidR="00BC1E5E">
        <w:rPr>
          <w:rFonts w:ascii="Book Antiqua" w:hAnsi="Book Antiqua" w:cs="Arial"/>
        </w:rPr>
        <w:t xml:space="preserve"> with considerable clarity at paragraph 68.  The</w:t>
      </w:r>
      <w:r>
        <w:rPr>
          <w:rFonts w:ascii="Book Antiqua" w:hAnsi="Book Antiqua" w:cs="Arial"/>
        </w:rPr>
        <w:t xml:space="preserve"> reasons go beyond the reference to Ms </w:t>
      </w:r>
      <w:r w:rsidR="00D77C2A">
        <w:rPr>
          <w:rFonts w:ascii="Book Antiqua" w:hAnsi="Book Antiqua" w:cs="Arial"/>
        </w:rPr>
        <w:t>F</w:t>
      </w:r>
      <w:r>
        <w:rPr>
          <w:rFonts w:ascii="Book Antiqua" w:hAnsi="Book Antiqua" w:cs="Arial"/>
        </w:rPr>
        <w:t xml:space="preserve">’s role referenced at paragraph 69. </w:t>
      </w:r>
      <w:r w:rsidR="000159F9">
        <w:rPr>
          <w:rFonts w:ascii="Book Antiqua" w:hAnsi="Book Antiqua" w:cs="Arial"/>
        </w:rPr>
        <w:t>The Judge noted an absence of detail in the Appellant’s description of her role in the children’s upbringing (paragraph 68(</w:t>
      </w:r>
      <w:proofErr w:type="spellStart"/>
      <w:r w:rsidR="000159F9">
        <w:rPr>
          <w:rFonts w:ascii="Book Antiqua" w:hAnsi="Book Antiqua" w:cs="Arial"/>
        </w:rPr>
        <w:t>i</w:t>
      </w:r>
      <w:proofErr w:type="spellEnd"/>
      <w:r w:rsidR="000159F9">
        <w:rPr>
          <w:rFonts w:ascii="Book Antiqua" w:hAnsi="Book Antiqua" w:cs="Arial"/>
        </w:rPr>
        <w:t xml:space="preserve">)), in contrast to the evidence of Mrs </w:t>
      </w:r>
      <w:r w:rsidR="00D77C2A">
        <w:rPr>
          <w:rFonts w:ascii="Book Antiqua" w:hAnsi="Book Antiqua" w:cs="Arial"/>
        </w:rPr>
        <w:t>F</w:t>
      </w:r>
      <w:r w:rsidR="000159F9">
        <w:rPr>
          <w:rFonts w:ascii="Book Antiqua" w:hAnsi="Book Antiqua" w:cs="Arial"/>
        </w:rPr>
        <w:t xml:space="preserve"> – which the Judge found credible – as to her, Mrs </w:t>
      </w:r>
      <w:r w:rsidR="00D77C2A">
        <w:rPr>
          <w:rFonts w:ascii="Book Antiqua" w:hAnsi="Book Antiqua" w:cs="Arial"/>
        </w:rPr>
        <w:t>F</w:t>
      </w:r>
      <w:r w:rsidR="000159F9">
        <w:rPr>
          <w:rFonts w:ascii="Book Antiqua" w:hAnsi="Book Antiqua" w:cs="Arial"/>
        </w:rPr>
        <w:t>’s, role which was more extensive than the Appellant’s (paragraph 68(vi), and see also paragraph 28).</w:t>
      </w:r>
    </w:p>
    <w:p w:rsidR="000159F9" w:rsidRDefault="000159F9" w:rsidP="00847259">
      <w:pPr>
        <w:ind w:left="567" w:hanging="567"/>
        <w:jc w:val="both"/>
        <w:rPr>
          <w:rFonts w:ascii="Book Antiqua" w:hAnsi="Book Antiqua" w:cs="Arial"/>
        </w:rPr>
      </w:pPr>
    </w:p>
    <w:p w:rsidR="000159F9" w:rsidRDefault="000159F9" w:rsidP="00847259">
      <w:pPr>
        <w:ind w:left="567" w:hanging="567"/>
        <w:jc w:val="both"/>
        <w:rPr>
          <w:rFonts w:ascii="Book Antiqua" w:hAnsi="Book Antiqua" w:cs="Arial"/>
        </w:rPr>
      </w:pPr>
    </w:p>
    <w:p w:rsidR="00BC1E5E" w:rsidRDefault="000159F9" w:rsidP="00847259">
      <w:pPr>
        <w:ind w:left="567" w:hanging="567"/>
        <w:jc w:val="both"/>
        <w:rPr>
          <w:rFonts w:ascii="Book Antiqua" w:hAnsi="Book Antiqua" w:cs="Arial"/>
        </w:rPr>
      </w:pPr>
      <w:r>
        <w:rPr>
          <w:rFonts w:ascii="Book Antiqua" w:hAnsi="Book Antiqua" w:cs="Arial"/>
        </w:rPr>
        <w:t>24.</w:t>
      </w:r>
      <w:r>
        <w:rPr>
          <w:rFonts w:ascii="Book Antiqua" w:hAnsi="Book Antiqua" w:cs="Arial"/>
        </w:rPr>
        <w:tab/>
        <w:t>The Judge also identifies</w:t>
      </w:r>
      <w:r w:rsidR="00BC1E5E">
        <w:rPr>
          <w:rFonts w:ascii="Book Antiqua" w:hAnsi="Book Antiqua" w:cs="Arial"/>
        </w:rPr>
        <w:t xml:space="preserve"> that it emerged </w:t>
      </w:r>
      <w:proofErr w:type="gramStart"/>
      <w:r w:rsidR="00BC1E5E">
        <w:rPr>
          <w:rFonts w:ascii="Book Antiqua" w:hAnsi="Book Antiqua" w:cs="Arial"/>
        </w:rPr>
        <w:t>during the course of</w:t>
      </w:r>
      <w:proofErr w:type="gramEnd"/>
      <w:r w:rsidR="00BC1E5E">
        <w:rPr>
          <w:rFonts w:ascii="Book Antiqua" w:hAnsi="Book Antiqua" w:cs="Arial"/>
        </w:rPr>
        <w:t xml:space="preserve"> Mrs </w:t>
      </w:r>
      <w:r w:rsidR="00D77C2A">
        <w:rPr>
          <w:rFonts w:ascii="Book Antiqua" w:hAnsi="Book Antiqua" w:cs="Arial"/>
        </w:rPr>
        <w:t>F</w:t>
      </w:r>
      <w:r w:rsidR="00BC1E5E">
        <w:rPr>
          <w:rFonts w:ascii="Book Antiqua" w:hAnsi="Book Antiqua" w:cs="Arial"/>
        </w:rPr>
        <w:t>’s evidence that the children’s father had a live-in partner</w:t>
      </w:r>
      <w:r>
        <w:rPr>
          <w:rFonts w:ascii="Book Antiqua" w:hAnsi="Book Antiqua" w:cs="Arial"/>
        </w:rPr>
        <w:t>, Ava,</w:t>
      </w:r>
      <w:r w:rsidR="00BC1E5E">
        <w:rPr>
          <w:rFonts w:ascii="Book Antiqua" w:hAnsi="Book Antiqua" w:cs="Arial"/>
        </w:rPr>
        <w:t xml:space="preserve"> who had in fact been residing with the girls and their father for some two years.  The Judge </w:t>
      </w:r>
      <w:r>
        <w:rPr>
          <w:rFonts w:ascii="Book Antiqua" w:hAnsi="Book Antiqua" w:cs="Arial"/>
        </w:rPr>
        <w:t>-</w:t>
      </w:r>
      <w:r w:rsidR="00BC1E5E">
        <w:rPr>
          <w:rFonts w:ascii="Book Antiqua" w:hAnsi="Book Antiqua" w:cs="Arial"/>
        </w:rPr>
        <w:t xml:space="preserve"> entirely sustainably</w:t>
      </w:r>
      <w:r>
        <w:rPr>
          <w:rFonts w:ascii="Book Antiqua" w:hAnsi="Book Antiqua" w:cs="Arial"/>
        </w:rPr>
        <w:t xml:space="preserve"> - foun</w:t>
      </w:r>
      <w:r w:rsidR="00BC1E5E">
        <w:rPr>
          <w:rFonts w:ascii="Book Antiqua" w:hAnsi="Book Antiqua" w:cs="Arial"/>
        </w:rPr>
        <w:t>d that “</w:t>
      </w:r>
      <w:r w:rsidR="00BC1E5E">
        <w:rPr>
          <w:rFonts w:ascii="Book Antiqua" w:hAnsi="Book Antiqua" w:cs="Arial"/>
          <w:i/>
        </w:rPr>
        <w:t>T</w:t>
      </w:r>
      <w:r w:rsidR="00BC1E5E" w:rsidRPr="00AE328D">
        <w:rPr>
          <w:rFonts w:ascii="Book Antiqua" w:hAnsi="Book Antiqua" w:cs="Arial"/>
          <w:i/>
        </w:rPr>
        <w:t>he presence of Ava at the family home means that there is no need for someone else to live in their home while their father is abroad</w:t>
      </w:r>
      <w:r w:rsidR="00BC1E5E">
        <w:rPr>
          <w:rFonts w:ascii="Book Antiqua" w:hAnsi="Book Antiqua" w:cs="Arial"/>
        </w:rPr>
        <w:t>”</w:t>
      </w:r>
      <w:r>
        <w:rPr>
          <w:rFonts w:ascii="Book Antiqua" w:hAnsi="Book Antiqua" w:cs="Arial"/>
        </w:rPr>
        <w:t xml:space="preserve"> (paragraph 68(iv)). He also found that</w:t>
      </w:r>
      <w:r w:rsidR="00BC1E5E">
        <w:rPr>
          <w:rFonts w:ascii="Book Antiqua" w:hAnsi="Book Antiqua" w:cs="Arial"/>
        </w:rPr>
        <w:t xml:space="preserve"> the Appellant’s “</w:t>
      </w:r>
      <w:r w:rsidR="00BC1E5E" w:rsidRPr="008A6003">
        <w:rPr>
          <w:rFonts w:ascii="Book Antiqua" w:hAnsi="Book Antiqua" w:cs="Arial"/>
          <w:i/>
        </w:rPr>
        <w:t>credibility and the reliability of her evidence was damaged by her omission to mention the presence of Ava in the family home</w:t>
      </w:r>
      <w:r w:rsidR="00BC1E5E">
        <w:rPr>
          <w:rFonts w:ascii="Book Antiqua" w:hAnsi="Book Antiqua" w:cs="Arial"/>
        </w:rPr>
        <w:t>” (paragraph 68(iii)).</w:t>
      </w:r>
    </w:p>
    <w:p w:rsidR="00BC1E5E" w:rsidRDefault="00BC1E5E" w:rsidP="00847259">
      <w:pPr>
        <w:ind w:left="567" w:hanging="567"/>
        <w:jc w:val="both"/>
        <w:rPr>
          <w:rFonts w:ascii="Book Antiqua" w:hAnsi="Book Antiqua" w:cs="Arial"/>
        </w:rPr>
      </w:pPr>
    </w:p>
    <w:p w:rsidR="00BC1E5E" w:rsidRDefault="00BC1E5E" w:rsidP="00847259">
      <w:pPr>
        <w:ind w:left="567" w:hanging="567"/>
        <w:jc w:val="both"/>
        <w:rPr>
          <w:rFonts w:ascii="Book Antiqua" w:hAnsi="Book Antiqua" w:cs="Arial"/>
        </w:rPr>
      </w:pPr>
    </w:p>
    <w:p w:rsidR="00F633CD" w:rsidRDefault="000159F9" w:rsidP="00847259">
      <w:pPr>
        <w:ind w:left="567" w:hanging="567"/>
        <w:jc w:val="both"/>
        <w:rPr>
          <w:rFonts w:ascii="Book Antiqua" w:hAnsi="Book Antiqua" w:cs="Arial"/>
        </w:rPr>
      </w:pPr>
      <w:r>
        <w:rPr>
          <w:rFonts w:ascii="Book Antiqua" w:hAnsi="Book Antiqua" w:cs="Arial"/>
        </w:rPr>
        <w:t>25.</w:t>
      </w:r>
      <w:r>
        <w:rPr>
          <w:rFonts w:ascii="Book Antiqua" w:hAnsi="Book Antiqua" w:cs="Arial"/>
        </w:rPr>
        <w:tab/>
        <w:t xml:space="preserve">The submission that the Judge confused parental responsibility with sole responsibility is grounded </w:t>
      </w:r>
      <w:r w:rsidR="00F633CD">
        <w:rPr>
          <w:rFonts w:ascii="Book Antiqua" w:hAnsi="Book Antiqua" w:cs="Arial"/>
        </w:rPr>
        <w:t>on the Judge’s finding that the Appellant’s role was not “</w:t>
      </w:r>
      <w:r w:rsidR="00F633CD" w:rsidRPr="00F633CD">
        <w:rPr>
          <w:rFonts w:ascii="Book Antiqua" w:hAnsi="Book Antiqua" w:cs="Arial"/>
          <w:i/>
        </w:rPr>
        <w:t>the most important</w:t>
      </w:r>
      <w:r w:rsidR="00F633CD">
        <w:rPr>
          <w:rFonts w:ascii="Book Antiqua" w:hAnsi="Book Antiqua" w:cs="Arial"/>
        </w:rPr>
        <w:t>”.</w:t>
      </w:r>
    </w:p>
    <w:p w:rsidR="00F633CD" w:rsidRDefault="00F633CD" w:rsidP="00847259">
      <w:pPr>
        <w:ind w:left="567" w:hanging="567"/>
        <w:jc w:val="both"/>
        <w:rPr>
          <w:rFonts w:ascii="Book Antiqua" w:hAnsi="Book Antiqua" w:cs="Arial"/>
        </w:rPr>
      </w:pPr>
    </w:p>
    <w:p w:rsidR="00F633CD" w:rsidRDefault="00F633CD" w:rsidP="00847259">
      <w:pPr>
        <w:ind w:left="567" w:hanging="567"/>
        <w:jc w:val="both"/>
        <w:rPr>
          <w:rFonts w:ascii="Book Antiqua" w:hAnsi="Book Antiqua" w:cs="Arial"/>
        </w:rPr>
      </w:pPr>
    </w:p>
    <w:p w:rsidR="00082B7C" w:rsidRDefault="00F633CD" w:rsidP="00847259">
      <w:pPr>
        <w:ind w:left="567" w:hanging="567"/>
        <w:jc w:val="both"/>
        <w:rPr>
          <w:rFonts w:ascii="Book Antiqua" w:hAnsi="Book Antiqua" w:cs="Arial"/>
        </w:rPr>
      </w:pPr>
      <w:r>
        <w:rPr>
          <w:rFonts w:ascii="Book Antiqua" w:hAnsi="Book Antiqua" w:cs="Arial"/>
        </w:rPr>
        <w:t>26.</w:t>
      </w:r>
      <w:r>
        <w:rPr>
          <w:rFonts w:ascii="Book Antiqua" w:hAnsi="Book Antiqua" w:cs="Arial"/>
        </w:rPr>
        <w:tab/>
        <w:t>I do not accept that the Judge’s finding in this regard is evidence of a confusion as to the relevant issue. In my judgement it is manifestly clear that the Judge made this finding because he was addressing the evidence of the Appellant. It was a finding on the Appellant’s own assertion as to the nature of her role.</w:t>
      </w:r>
      <w:r w:rsidR="00AE328D">
        <w:rPr>
          <w:rFonts w:ascii="Book Antiqua" w:hAnsi="Book Antiqua" w:cs="Arial"/>
        </w:rPr>
        <w:t xml:space="preserve">   </w:t>
      </w:r>
      <w:r w:rsidR="008A6003">
        <w:rPr>
          <w:rFonts w:ascii="Book Antiqua" w:hAnsi="Book Antiqua" w:cs="Arial"/>
        </w:rPr>
        <w:t xml:space="preserve">  </w:t>
      </w:r>
    </w:p>
    <w:p w:rsidR="008A6003" w:rsidRDefault="008A6003" w:rsidP="00847259">
      <w:pPr>
        <w:ind w:left="567" w:hanging="567"/>
        <w:jc w:val="both"/>
        <w:rPr>
          <w:rFonts w:ascii="Book Antiqua" w:hAnsi="Book Antiqua" w:cs="Arial"/>
        </w:rPr>
      </w:pPr>
    </w:p>
    <w:p w:rsidR="00F633CD" w:rsidRDefault="00F633CD" w:rsidP="00847259">
      <w:pPr>
        <w:ind w:left="567" w:hanging="567"/>
        <w:jc w:val="both"/>
        <w:rPr>
          <w:rFonts w:ascii="Book Antiqua" w:hAnsi="Book Antiqua" w:cs="Arial"/>
        </w:rPr>
      </w:pPr>
      <w:r>
        <w:rPr>
          <w:rFonts w:ascii="Book Antiqua" w:hAnsi="Book Antiqua" w:cs="Arial"/>
        </w:rPr>
        <w:t>27.</w:t>
      </w:r>
      <w:r>
        <w:rPr>
          <w:rFonts w:ascii="Book Antiqua" w:hAnsi="Book Antiqua" w:cs="Arial"/>
        </w:rPr>
        <w:tab/>
        <w:t>It is also manifestly clear that the Judge properly addressed the question of parental responsibility and sustainably reached a finding unfavourable to the Appellant. This underscores the absence of any confusion.</w:t>
      </w:r>
    </w:p>
    <w:p w:rsidR="00F633CD" w:rsidRDefault="00F633CD" w:rsidP="00847259">
      <w:pPr>
        <w:ind w:left="567" w:hanging="567"/>
        <w:jc w:val="both"/>
        <w:rPr>
          <w:rFonts w:ascii="Book Antiqua" w:hAnsi="Book Antiqua" w:cs="Arial"/>
        </w:rPr>
      </w:pPr>
    </w:p>
    <w:p w:rsidR="00F633CD" w:rsidRDefault="00F633CD" w:rsidP="00847259">
      <w:pPr>
        <w:ind w:left="567" w:hanging="567"/>
        <w:jc w:val="both"/>
        <w:rPr>
          <w:rFonts w:ascii="Book Antiqua" w:hAnsi="Book Antiqua" w:cs="Arial"/>
        </w:rPr>
      </w:pPr>
    </w:p>
    <w:p w:rsidR="005C7963" w:rsidRDefault="00262554" w:rsidP="00847259">
      <w:pPr>
        <w:ind w:left="567" w:hanging="567"/>
        <w:jc w:val="both"/>
        <w:rPr>
          <w:rFonts w:ascii="Book Antiqua" w:hAnsi="Book Antiqua" w:cs="Arial"/>
        </w:rPr>
      </w:pPr>
      <w:r>
        <w:rPr>
          <w:rFonts w:ascii="Book Antiqua" w:hAnsi="Book Antiqua" w:cs="Arial"/>
        </w:rPr>
        <w:t>2</w:t>
      </w:r>
      <w:r w:rsidR="00F633CD">
        <w:rPr>
          <w:rFonts w:ascii="Book Antiqua" w:hAnsi="Book Antiqua" w:cs="Arial"/>
        </w:rPr>
        <w:t>8</w:t>
      </w:r>
      <w:r w:rsidR="008A6003">
        <w:rPr>
          <w:rFonts w:ascii="Book Antiqua" w:hAnsi="Book Antiqua" w:cs="Arial"/>
        </w:rPr>
        <w:t>.</w:t>
      </w:r>
      <w:r w:rsidR="008A6003">
        <w:rPr>
          <w:rFonts w:ascii="Book Antiqua" w:hAnsi="Book Antiqua" w:cs="Arial"/>
        </w:rPr>
        <w:tab/>
        <w:t xml:space="preserve">The </w:t>
      </w:r>
      <w:r>
        <w:rPr>
          <w:rFonts w:ascii="Book Antiqua" w:hAnsi="Book Antiqua" w:cs="Arial"/>
        </w:rPr>
        <w:t>Judge</w:t>
      </w:r>
      <w:r w:rsidR="008A6003">
        <w:rPr>
          <w:rFonts w:ascii="Book Antiqua" w:hAnsi="Book Antiqua" w:cs="Arial"/>
        </w:rPr>
        <w:t xml:space="preserve"> </w:t>
      </w:r>
      <w:r w:rsidR="00F633CD">
        <w:rPr>
          <w:rFonts w:ascii="Book Antiqua" w:hAnsi="Book Antiqua" w:cs="Arial"/>
        </w:rPr>
        <w:t>plainly</w:t>
      </w:r>
      <w:r w:rsidR="008A6003">
        <w:rPr>
          <w:rFonts w:ascii="Book Antiqua" w:hAnsi="Book Antiqua" w:cs="Arial"/>
        </w:rPr>
        <w:t xml:space="preserve"> had in mind the case of </w:t>
      </w:r>
      <w:r w:rsidR="008A6003" w:rsidRPr="008A6003">
        <w:rPr>
          <w:rFonts w:ascii="Book Antiqua" w:hAnsi="Book Antiqua" w:cs="Arial"/>
          <w:b/>
          <w:u w:val="single"/>
        </w:rPr>
        <w:t>R (on the application of RK) v Secretary of State for the Home Department</w:t>
      </w:r>
      <w:r w:rsidR="008A6003" w:rsidRPr="00F633CD">
        <w:rPr>
          <w:rFonts w:ascii="Book Antiqua" w:hAnsi="Book Antiqua" w:cs="Arial"/>
          <w:b/>
          <w:u w:val="single"/>
        </w:rPr>
        <w:t xml:space="preserve"> (s.117B(6); “parental relationship”)</w:t>
      </w:r>
      <w:r w:rsidR="008A6003" w:rsidRPr="008A6003">
        <w:rPr>
          <w:rFonts w:ascii="Book Antiqua" w:hAnsi="Book Antiqua" w:cs="Arial"/>
          <w:b/>
        </w:rPr>
        <w:t xml:space="preserve"> IJR [2016] UKUT 00031 (IAC)</w:t>
      </w:r>
      <w:r w:rsidR="008A6003">
        <w:rPr>
          <w:rFonts w:ascii="Book Antiqua" w:hAnsi="Book Antiqua" w:cs="Arial"/>
        </w:rPr>
        <w:t xml:space="preserve">.  </w:t>
      </w:r>
      <w:r w:rsidR="00F633CD">
        <w:rPr>
          <w:rFonts w:ascii="Book Antiqua" w:hAnsi="Book Antiqua" w:cs="Arial"/>
        </w:rPr>
        <w:t>It is cited at paragraph 57, and further</w:t>
      </w:r>
      <w:r w:rsidR="008A6003">
        <w:rPr>
          <w:rFonts w:ascii="Book Antiqua" w:hAnsi="Book Antiqua" w:cs="Arial"/>
        </w:rPr>
        <w:t xml:space="preserve"> refer</w:t>
      </w:r>
      <w:r w:rsidR="00F633CD">
        <w:rPr>
          <w:rFonts w:ascii="Book Antiqua" w:hAnsi="Book Antiqua" w:cs="Arial"/>
        </w:rPr>
        <w:t>enced</w:t>
      </w:r>
      <w:r w:rsidR="008A6003">
        <w:rPr>
          <w:rFonts w:ascii="Book Antiqua" w:hAnsi="Book Antiqua" w:cs="Arial"/>
        </w:rPr>
        <w:t xml:space="preserve"> at paragraphs 70 and 71</w:t>
      </w:r>
      <w:r w:rsidR="00F633CD">
        <w:rPr>
          <w:rFonts w:ascii="Book Antiqua" w:hAnsi="Book Antiqua" w:cs="Arial"/>
        </w:rPr>
        <w:t xml:space="preserve"> (albeit mistyped as ‘RJ</w:t>
      </w:r>
      <w:r w:rsidR="005C7963">
        <w:rPr>
          <w:rFonts w:ascii="Book Antiqua" w:hAnsi="Book Antiqua" w:cs="Arial"/>
        </w:rPr>
        <w:t>’</w:t>
      </w:r>
      <w:r w:rsidR="00F633CD">
        <w:rPr>
          <w:rFonts w:ascii="Book Antiqua" w:hAnsi="Book Antiqua" w:cs="Arial"/>
        </w:rPr>
        <w:t>)</w:t>
      </w:r>
      <w:r w:rsidR="005C7963">
        <w:rPr>
          <w:rFonts w:ascii="Book Antiqua" w:hAnsi="Book Antiqua" w:cs="Arial"/>
        </w:rPr>
        <w:t>.</w:t>
      </w:r>
    </w:p>
    <w:p w:rsidR="005C7963" w:rsidRDefault="005C7963" w:rsidP="00847259">
      <w:pPr>
        <w:ind w:left="567" w:hanging="567"/>
        <w:jc w:val="both"/>
        <w:rPr>
          <w:rFonts w:ascii="Book Antiqua" w:hAnsi="Book Antiqua" w:cs="Arial"/>
        </w:rPr>
      </w:pPr>
    </w:p>
    <w:p w:rsidR="005C7963" w:rsidRDefault="005C7963" w:rsidP="00847259">
      <w:pPr>
        <w:ind w:left="567" w:hanging="567"/>
        <w:jc w:val="both"/>
        <w:rPr>
          <w:rFonts w:ascii="Book Antiqua" w:hAnsi="Book Antiqua" w:cs="Arial"/>
        </w:rPr>
      </w:pPr>
    </w:p>
    <w:p w:rsidR="008A6003" w:rsidRDefault="005C7963" w:rsidP="00847259">
      <w:pPr>
        <w:ind w:left="567" w:hanging="567"/>
        <w:jc w:val="both"/>
        <w:rPr>
          <w:rFonts w:ascii="Book Antiqua" w:hAnsi="Book Antiqua" w:cs="Arial"/>
        </w:rPr>
      </w:pPr>
      <w:r>
        <w:rPr>
          <w:rFonts w:ascii="Book Antiqua" w:hAnsi="Book Antiqua" w:cs="Arial"/>
        </w:rPr>
        <w:t>29.</w:t>
      </w:r>
      <w:r>
        <w:rPr>
          <w:rFonts w:ascii="Book Antiqua" w:hAnsi="Book Antiqua" w:cs="Arial"/>
        </w:rPr>
        <w:tab/>
      </w:r>
      <w:r w:rsidR="008A6003">
        <w:rPr>
          <w:rFonts w:ascii="Book Antiqua" w:hAnsi="Book Antiqua" w:cs="Arial"/>
        </w:rPr>
        <w:t>It is helpful to re</w:t>
      </w:r>
      <w:r>
        <w:rPr>
          <w:rFonts w:ascii="Book Antiqua" w:hAnsi="Book Antiqua" w:cs="Arial"/>
        </w:rPr>
        <w:t>call</w:t>
      </w:r>
      <w:r w:rsidR="008A6003">
        <w:rPr>
          <w:rFonts w:ascii="Book Antiqua" w:hAnsi="Book Antiqua" w:cs="Arial"/>
        </w:rPr>
        <w:t xml:space="preserve"> what is said </w:t>
      </w:r>
      <w:r>
        <w:rPr>
          <w:rFonts w:ascii="Book Antiqua" w:hAnsi="Book Antiqua" w:cs="Arial"/>
        </w:rPr>
        <w:t xml:space="preserve">in </w:t>
      </w:r>
      <w:r w:rsidRPr="005C7963">
        <w:rPr>
          <w:rFonts w:ascii="Book Antiqua" w:hAnsi="Book Antiqua" w:cs="Arial"/>
          <w:b/>
          <w:u w:val="single"/>
        </w:rPr>
        <w:t>RK</w:t>
      </w:r>
      <w:r>
        <w:rPr>
          <w:rFonts w:ascii="Book Antiqua" w:hAnsi="Book Antiqua" w:cs="Arial"/>
        </w:rPr>
        <w:t xml:space="preserve"> </w:t>
      </w:r>
      <w:r w:rsidR="008A6003">
        <w:rPr>
          <w:rFonts w:ascii="Book Antiqua" w:hAnsi="Book Antiqua" w:cs="Arial"/>
        </w:rPr>
        <w:t>at paragraph 43</w:t>
      </w:r>
      <w:r>
        <w:rPr>
          <w:rFonts w:ascii="Book Antiqua" w:hAnsi="Book Antiqua" w:cs="Arial"/>
        </w:rPr>
        <w:t>:</w:t>
      </w:r>
    </w:p>
    <w:p w:rsidR="008A6003" w:rsidRDefault="008A6003" w:rsidP="00847259">
      <w:pPr>
        <w:ind w:left="567" w:hanging="567"/>
        <w:jc w:val="both"/>
        <w:rPr>
          <w:rFonts w:ascii="Book Antiqua" w:hAnsi="Book Antiqua" w:cs="Arial"/>
        </w:rPr>
      </w:pPr>
    </w:p>
    <w:p w:rsidR="008A6003" w:rsidRDefault="008A6003" w:rsidP="008A6003">
      <w:pPr>
        <w:ind w:left="1134"/>
        <w:jc w:val="both"/>
        <w:rPr>
          <w:rFonts w:ascii="Book Antiqua" w:hAnsi="Book Antiqua" w:cs="Arial"/>
        </w:rPr>
      </w:pPr>
      <w:r>
        <w:rPr>
          <w:rFonts w:ascii="Book Antiqua" w:hAnsi="Book Antiqua" w:cs="Arial"/>
        </w:rPr>
        <w:t>“</w:t>
      </w:r>
      <w:r w:rsidRPr="008A6003">
        <w:rPr>
          <w:rFonts w:ascii="Book Antiqua" w:hAnsi="Book Antiqua" w:cs="Arial"/>
          <w:i/>
        </w:rPr>
        <w:t xml:space="preserve">I agree with Mr </w:t>
      </w:r>
      <w:proofErr w:type="spellStart"/>
      <w:r w:rsidRPr="008A6003">
        <w:rPr>
          <w:rFonts w:ascii="Book Antiqua" w:hAnsi="Book Antiqua" w:cs="Arial"/>
          <w:i/>
        </w:rPr>
        <w:t>Mandalia’s</w:t>
      </w:r>
      <w:proofErr w:type="spellEnd"/>
      <w:r w:rsidRPr="008A6003">
        <w:rPr>
          <w:rFonts w:ascii="Book Antiqua" w:hAnsi="Book Antiqua" w:cs="Arial"/>
          <w:i/>
        </w:rPr>
        <w:t xml:space="preserve"> formulation that, in effect, an individual must ‘step into the shoes of a parent’ in order to establish a ‘parental relationship’.   If the role they play, </w:t>
      </w:r>
      <w:r w:rsidRPr="008A6003">
        <w:rPr>
          <w:rFonts w:ascii="Book Antiqua" w:hAnsi="Book Antiqua" w:cs="Arial"/>
          <w:i/>
        </w:rPr>
        <w:lastRenderedPageBreak/>
        <w:t>whether as a relative or friend of the family, is as a caring relative or friend but not so as to take on the role of a parent then it cannot be said that they have a ‘parental relationship’ with the child.  It is perhaps obvious to state that ‘carers’ are not per se ‘parents’.  A child may have carers who do not step into the shoes of their parents but look after the child for specific periods of time (for example whilst the parents are at work) or even longer term (for example where the parents are travelling abroad for a holiday or family visit).  Those carers may be professionally employed; they may be relatives; or they may be friends.  In all those cases, it may properly be said that there is an element of dependency between the child and his or her carers.  However, that alone would not, in my judgment, give rise to a ‘parental relationship’.</w:t>
      </w:r>
      <w:r w:rsidRPr="008A6003">
        <w:rPr>
          <w:rFonts w:ascii="Book Antiqua" w:hAnsi="Book Antiqua" w:cs="Arial"/>
        </w:rPr>
        <w:t>”</w:t>
      </w:r>
    </w:p>
    <w:p w:rsidR="008A6003" w:rsidRDefault="008A6003" w:rsidP="00847259">
      <w:pPr>
        <w:ind w:left="567" w:hanging="567"/>
        <w:jc w:val="both"/>
        <w:rPr>
          <w:rFonts w:ascii="Book Antiqua" w:hAnsi="Book Antiqua" w:cs="Arial"/>
        </w:rPr>
      </w:pPr>
    </w:p>
    <w:p w:rsidR="00206311" w:rsidRDefault="00206311" w:rsidP="00847259">
      <w:pPr>
        <w:ind w:left="567" w:hanging="567"/>
        <w:jc w:val="both"/>
        <w:rPr>
          <w:rFonts w:ascii="Book Antiqua" w:hAnsi="Book Antiqua" w:cs="Arial"/>
        </w:rPr>
      </w:pPr>
    </w:p>
    <w:p w:rsidR="008A6003" w:rsidRDefault="00262554" w:rsidP="00847259">
      <w:pPr>
        <w:ind w:left="567" w:hanging="567"/>
        <w:jc w:val="both"/>
        <w:rPr>
          <w:rFonts w:ascii="Book Antiqua" w:hAnsi="Book Antiqua" w:cs="Arial"/>
        </w:rPr>
      </w:pPr>
      <w:r>
        <w:rPr>
          <w:rFonts w:ascii="Book Antiqua" w:hAnsi="Book Antiqua" w:cs="Arial"/>
        </w:rPr>
        <w:t>3</w:t>
      </w:r>
      <w:r w:rsidR="00206311">
        <w:rPr>
          <w:rFonts w:ascii="Book Antiqua" w:hAnsi="Book Antiqua" w:cs="Arial"/>
        </w:rPr>
        <w:t>0</w:t>
      </w:r>
      <w:r w:rsidR="008A6003">
        <w:rPr>
          <w:rFonts w:ascii="Book Antiqua" w:hAnsi="Book Antiqua" w:cs="Arial"/>
        </w:rPr>
        <w:t>.</w:t>
      </w:r>
      <w:r w:rsidR="008A6003">
        <w:rPr>
          <w:rFonts w:ascii="Book Antiqua" w:hAnsi="Book Antiqua" w:cs="Arial"/>
        </w:rPr>
        <w:tab/>
        <w:t xml:space="preserve">Mr </w:t>
      </w:r>
      <w:proofErr w:type="spellStart"/>
      <w:r w:rsidR="008A6003">
        <w:rPr>
          <w:rFonts w:ascii="Book Antiqua" w:hAnsi="Book Antiqua" w:cs="Arial"/>
        </w:rPr>
        <w:t>Kumi</w:t>
      </w:r>
      <w:proofErr w:type="spellEnd"/>
      <w:r w:rsidR="008A6003">
        <w:rPr>
          <w:rFonts w:ascii="Book Antiqua" w:hAnsi="Book Antiqua" w:cs="Arial"/>
        </w:rPr>
        <w:t xml:space="preserve"> has also directed my attention to the case of </w:t>
      </w:r>
      <w:r w:rsidR="008A6003" w:rsidRPr="008A6003">
        <w:rPr>
          <w:rFonts w:ascii="Book Antiqua" w:hAnsi="Book Antiqua" w:cs="Arial"/>
          <w:b/>
          <w:u w:val="single"/>
        </w:rPr>
        <w:t>TD</w:t>
      </w:r>
      <w:r w:rsidR="008A6003" w:rsidRPr="00206311">
        <w:rPr>
          <w:rFonts w:ascii="Book Antiqua" w:hAnsi="Book Antiqua" w:cs="Arial"/>
          <w:b/>
          <w:u w:val="single"/>
        </w:rPr>
        <w:t xml:space="preserve"> (Paragraph 297(</w:t>
      </w:r>
      <w:proofErr w:type="spellStart"/>
      <w:r w:rsidR="008A6003" w:rsidRPr="00206311">
        <w:rPr>
          <w:rFonts w:ascii="Book Antiqua" w:hAnsi="Book Antiqua" w:cs="Arial"/>
          <w:b/>
          <w:u w:val="single"/>
        </w:rPr>
        <w:t>i</w:t>
      </w:r>
      <w:proofErr w:type="spellEnd"/>
      <w:r w:rsidR="008A6003" w:rsidRPr="00206311">
        <w:rPr>
          <w:rFonts w:ascii="Book Antiqua" w:hAnsi="Book Antiqua" w:cs="Arial"/>
          <w:b/>
          <w:u w:val="single"/>
        </w:rPr>
        <w:t>)(e): “sole responsibility”) Yemen</w:t>
      </w:r>
      <w:r w:rsidR="008A6003" w:rsidRPr="008A6003">
        <w:rPr>
          <w:rFonts w:ascii="Book Antiqua" w:hAnsi="Book Antiqua" w:cs="Arial"/>
          <w:b/>
        </w:rPr>
        <w:t xml:space="preserve"> [2006] UKAIT 00049</w:t>
      </w:r>
      <w:r w:rsidR="008A6003">
        <w:rPr>
          <w:rFonts w:ascii="Book Antiqua" w:hAnsi="Book Antiqua" w:cs="Arial"/>
        </w:rPr>
        <w:t xml:space="preserve">.  Although </w:t>
      </w:r>
      <w:r w:rsidR="00206311" w:rsidRPr="00206311">
        <w:rPr>
          <w:rFonts w:ascii="Book Antiqua" w:hAnsi="Book Antiqua" w:cs="Arial"/>
          <w:b/>
          <w:u w:val="single"/>
        </w:rPr>
        <w:t>TD</w:t>
      </w:r>
      <w:r w:rsidR="008A6003">
        <w:rPr>
          <w:rFonts w:ascii="Book Antiqua" w:hAnsi="Book Antiqua" w:cs="Arial"/>
        </w:rPr>
        <w:t xml:space="preserve"> case is concerned with sole responsibility</w:t>
      </w:r>
      <w:r w:rsidR="00206311">
        <w:rPr>
          <w:rFonts w:ascii="Book Antiqua" w:hAnsi="Book Antiqua" w:cs="Arial"/>
        </w:rPr>
        <w:t>,</w:t>
      </w:r>
      <w:r w:rsidR="008A6003">
        <w:rPr>
          <w:rFonts w:ascii="Book Antiqua" w:hAnsi="Book Antiqua" w:cs="Arial"/>
        </w:rPr>
        <w:t xml:space="preserve"> it is relevant</w:t>
      </w:r>
      <w:r w:rsidR="00206311">
        <w:rPr>
          <w:rFonts w:ascii="Book Antiqua" w:hAnsi="Book Antiqua" w:cs="Arial"/>
        </w:rPr>
        <w:t xml:space="preserve"> herein</w:t>
      </w:r>
      <w:r w:rsidR="008A6003">
        <w:rPr>
          <w:rFonts w:ascii="Book Antiqua" w:hAnsi="Book Antiqua" w:cs="Arial"/>
        </w:rPr>
        <w:t xml:space="preserve"> insofar as it provides something of a steer as to what is contemplated by the notion of </w:t>
      </w:r>
      <w:r w:rsidR="00206311">
        <w:rPr>
          <w:rFonts w:ascii="Book Antiqua" w:hAnsi="Book Antiqua" w:cs="Arial"/>
        </w:rPr>
        <w:t>‘</w:t>
      </w:r>
      <w:r w:rsidR="008A6003">
        <w:rPr>
          <w:rFonts w:ascii="Book Antiqua" w:hAnsi="Book Antiqua" w:cs="Arial"/>
        </w:rPr>
        <w:t>responsibility</w:t>
      </w:r>
      <w:r w:rsidR="00206311">
        <w:rPr>
          <w:rFonts w:ascii="Book Antiqua" w:hAnsi="Book Antiqua" w:cs="Arial"/>
        </w:rPr>
        <w:t>’</w:t>
      </w:r>
      <w:r w:rsidR="008A6003">
        <w:rPr>
          <w:rFonts w:ascii="Book Antiqua" w:hAnsi="Book Antiqua" w:cs="Arial"/>
        </w:rPr>
        <w:t xml:space="preserve"> in respect of a child under the immigration legislation and </w:t>
      </w:r>
      <w:r w:rsidR="007C174B">
        <w:rPr>
          <w:rFonts w:ascii="Book Antiqua" w:hAnsi="Book Antiqua" w:cs="Arial"/>
        </w:rPr>
        <w:t xml:space="preserve">rules.  </w:t>
      </w:r>
      <w:r w:rsidR="00206311">
        <w:rPr>
          <w:rFonts w:ascii="Book Antiqua" w:hAnsi="Book Antiqua" w:cs="Arial"/>
        </w:rPr>
        <w:t>Dr</w:t>
      </w:r>
      <w:r w:rsidR="007C174B">
        <w:rPr>
          <w:rFonts w:ascii="Book Antiqua" w:hAnsi="Book Antiqua" w:cs="Arial"/>
        </w:rPr>
        <w:t>awing upon Court of Appeal authorities cited within the body of the decision</w:t>
      </w:r>
      <w:r w:rsidR="00206311">
        <w:rPr>
          <w:rFonts w:ascii="Book Antiqua" w:hAnsi="Book Antiqua" w:cs="Arial"/>
        </w:rPr>
        <w:t>, paragraph 27 is in the following terms</w:t>
      </w:r>
      <w:r w:rsidR="007C174B">
        <w:rPr>
          <w:rFonts w:ascii="Book Antiqua" w:hAnsi="Book Antiqua" w:cs="Arial"/>
        </w:rPr>
        <w:t>:</w:t>
      </w:r>
    </w:p>
    <w:p w:rsidR="00262554" w:rsidRDefault="00262554" w:rsidP="007C174B">
      <w:pPr>
        <w:ind w:left="1134"/>
        <w:jc w:val="both"/>
        <w:rPr>
          <w:rFonts w:ascii="Book Antiqua" w:hAnsi="Book Antiqua" w:cs="Arial"/>
        </w:rPr>
      </w:pPr>
    </w:p>
    <w:p w:rsidR="007C174B" w:rsidRPr="007C174B" w:rsidRDefault="007C174B" w:rsidP="007C174B">
      <w:pPr>
        <w:ind w:left="1134"/>
        <w:jc w:val="both"/>
        <w:rPr>
          <w:rFonts w:ascii="Book Antiqua" w:hAnsi="Book Antiqua" w:cs="Arial"/>
        </w:rPr>
      </w:pPr>
      <w:r>
        <w:rPr>
          <w:rFonts w:ascii="Book Antiqua" w:hAnsi="Book Antiqua" w:cs="Arial"/>
        </w:rPr>
        <w:t>“</w:t>
      </w:r>
      <w:r w:rsidRPr="007C174B">
        <w:rPr>
          <w:rFonts w:ascii="Book Antiqua" w:hAnsi="Book Antiqua" w:cs="Arial"/>
          <w:i/>
        </w:rPr>
        <w:t>What is apparent from both the judgments is the need to establish ‘responsibility’ for the child’s upbringing in the sense of decision-making, control and obligation towards the child which must lie exclusively with the parent.   Financial support, even exclusive financial support, will not necessarily mean that the person providing it has ‘sole responsibility’ for the child.  It is a factor but no more than that.</w:t>
      </w:r>
      <w:r>
        <w:rPr>
          <w:rFonts w:ascii="Book Antiqua" w:hAnsi="Book Antiqua" w:cs="Arial"/>
        </w:rPr>
        <w:t>”</w:t>
      </w:r>
    </w:p>
    <w:p w:rsidR="007C174B" w:rsidRDefault="007C174B" w:rsidP="00847259">
      <w:pPr>
        <w:ind w:left="567" w:hanging="567"/>
        <w:jc w:val="both"/>
        <w:rPr>
          <w:rFonts w:ascii="Book Antiqua" w:hAnsi="Book Antiqua" w:cs="Arial"/>
        </w:rPr>
      </w:pPr>
    </w:p>
    <w:p w:rsidR="00206311" w:rsidRDefault="00206311" w:rsidP="00847259">
      <w:pPr>
        <w:ind w:left="567" w:hanging="567"/>
        <w:jc w:val="both"/>
        <w:rPr>
          <w:rFonts w:ascii="Book Antiqua" w:hAnsi="Book Antiqua" w:cs="Arial"/>
        </w:rPr>
      </w:pPr>
    </w:p>
    <w:p w:rsidR="009F65B8" w:rsidRDefault="00206311" w:rsidP="00847259">
      <w:pPr>
        <w:ind w:left="567" w:hanging="567"/>
        <w:jc w:val="both"/>
        <w:rPr>
          <w:rFonts w:ascii="Book Antiqua" w:hAnsi="Book Antiqua" w:cs="Arial"/>
        </w:rPr>
      </w:pPr>
      <w:r>
        <w:rPr>
          <w:rFonts w:ascii="Book Antiqua" w:hAnsi="Book Antiqua" w:cs="Arial"/>
        </w:rPr>
        <w:t>31</w:t>
      </w:r>
      <w:r w:rsidR="007C174B">
        <w:rPr>
          <w:rFonts w:ascii="Book Antiqua" w:hAnsi="Book Antiqua" w:cs="Arial"/>
        </w:rPr>
        <w:t>.</w:t>
      </w:r>
      <w:r w:rsidR="007C174B">
        <w:rPr>
          <w:rFonts w:ascii="Book Antiqua" w:hAnsi="Book Antiqua" w:cs="Arial"/>
        </w:rPr>
        <w:tab/>
        <w:t xml:space="preserve">I note that </w:t>
      </w:r>
      <w:r w:rsidR="007C174B" w:rsidRPr="007C174B">
        <w:rPr>
          <w:rFonts w:ascii="Book Antiqua" w:hAnsi="Book Antiqua" w:cs="Arial"/>
          <w:b/>
          <w:u w:val="single"/>
        </w:rPr>
        <w:t>TD</w:t>
      </w:r>
      <w:r w:rsidR="007C174B">
        <w:rPr>
          <w:rFonts w:ascii="Book Antiqua" w:hAnsi="Book Antiqua" w:cs="Arial"/>
        </w:rPr>
        <w:t xml:space="preserve"> was not expressly referred to by the Upper Tribunal in the case of </w:t>
      </w:r>
      <w:r w:rsidR="007C174B" w:rsidRPr="007C174B">
        <w:rPr>
          <w:rFonts w:ascii="Book Antiqua" w:hAnsi="Book Antiqua" w:cs="Arial"/>
          <w:b/>
          <w:u w:val="single"/>
        </w:rPr>
        <w:t>RK</w:t>
      </w:r>
      <w:r w:rsidR="007C174B">
        <w:rPr>
          <w:rFonts w:ascii="Book Antiqua" w:hAnsi="Book Antiqua" w:cs="Arial"/>
        </w:rPr>
        <w:t xml:space="preserve">, but nonetheless it seems to me that insofar as </w:t>
      </w:r>
      <w:r w:rsidR="00E5362F" w:rsidRPr="00E5362F">
        <w:rPr>
          <w:rFonts w:ascii="Book Antiqua" w:hAnsi="Book Antiqua" w:cs="Arial"/>
          <w:b/>
          <w:u w:val="single"/>
        </w:rPr>
        <w:t>TD</w:t>
      </w:r>
      <w:r w:rsidR="007C174B">
        <w:rPr>
          <w:rFonts w:ascii="Book Antiqua" w:hAnsi="Book Antiqua" w:cs="Arial"/>
        </w:rPr>
        <w:t xml:space="preserve"> deals with questions of </w:t>
      </w:r>
      <w:r w:rsidR="00E5362F">
        <w:rPr>
          <w:rFonts w:ascii="Book Antiqua" w:hAnsi="Book Antiqua" w:cs="Arial"/>
        </w:rPr>
        <w:t>‘</w:t>
      </w:r>
      <w:r w:rsidR="007C174B">
        <w:rPr>
          <w:rFonts w:ascii="Book Antiqua" w:hAnsi="Book Antiqua" w:cs="Arial"/>
        </w:rPr>
        <w:t>responsibility</w:t>
      </w:r>
      <w:r w:rsidR="00E5362F">
        <w:rPr>
          <w:rFonts w:ascii="Book Antiqua" w:hAnsi="Book Antiqua" w:cs="Arial"/>
        </w:rPr>
        <w:t>’ -</w:t>
      </w:r>
      <w:r w:rsidR="007C174B">
        <w:rPr>
          <w:rFonts w:ascii="Book Antiqua" w:hAnsi="Book Antiqua" w:cs="Arial"/>
        </w:rPr>
        <w:t xml:space="preserve"> even if </w:t>
      </w:r>
      <w:r w:rsidR="00E5362F">
        <w:rPr>
          <w:rFonts w:ascii="Book Antiqua" w:hAnsi="Book Antiqua" w:cs="Arial"/>
        </w:rPr>
        <w:t>it thereafter addresses</w:t>
      </w:r>
      <w:r w:rsidR="007C174B">
        <w:rPr>
          <w:rFonts w:ascii="Book Antiqua" w:hAnsi="Book Antiqua" w:cs="Arial"/>
        </w:rPr>
        <w:t xml:space="preserve"> the </w:t>
      </w:r>
      <w:r w:rsidR="00E5362F">
        <w:rPr>
          <w:rFonts w:ascii="Book Antiqua" w:hAnsi="Book Antiqua" w:cs="Arial"/>
        </w:rPr>
        <w:t>meaning</w:t>
      </w:r>
      <w:r w:rsidR="007C174B">
        <w:rPr>
          <w:rFonts w:ascii="Book Antiqua" w:hAnsi="Book Antiqua" w:cs="Arial"/>
        </w:rPr>
        <w:t xml:space="preserve"> of </w:t>
      </w:r>
      <w:r w:rsidR="00E5362F">
        <w:rPr>
          <w:rFonts w:ascii="Book Antiqua" w:hAnsi="Book Antiqua" w:cs="Arial"/>
        </w:rPr>
        <w:t>‘</w:t>
      </w:r>
      <w:r w:rsidR="007C174B">
        <w:rPr>
          <w:rFonts w:ascii="Book Antiqua" w:hAnsi="Book Antiqua" w:cs="Arial"/>
        </w:rPr>
        <w:t>sole responsibility</w:t>
      </w:r>
      <w:r w:rsidR="00E5362F">
        <w:rPr>
          <w:rFonts w:ascii="Book Antiqua" w:hAnsi="Book Antiqua" w:cs="Arial"/>
        </w:rPr>
        <w:t>’ -</w:t>
      </w:r>
      <w:r w:rsidR="007C174B">
        <w:rPr>
          <w:rFonts w:ascii="Book Antiqua" w:hAnsi="Book Antiqua" w:cs="Arial"/>
        </w:rPr>
        <w:t xml:space="preserve"> it is instructive.  In any event I can see nothing inconsistent as to what is said with regard to responsibility in </w:t>
      </w:r>
      <w:r w:rsidR="007C174B" w:rsidRPr="007C174B">
        <w:rPr>
          <w:rFonts w:ascii="Book Antiqua" w:hAnsi="Book Antiqua" w:cs="Arial"/>
          <w:b/>
          <w:u w:val="single"/>
        </w:rPr>
        <w:t>TD</w:t>
      </w:r>
      <w:r w:rsidR="007C174B">
        <w:rPr>
          <w:rFonts w:ascii="Book Antiqua" w:hAnsi="Book Antiqua" w:cs="Arial"/>
        </w:rPr>
        <w:t xml:space="preserve"> and what is said in the case of </w:t>
      </w:r>
      <w:r w:rsidR="007C174B" w:rsidRPr="007C174B">
        <w:rPr>
          <w:rFonts w:ascii="Book Antiqua" w:hAnsi="Book Antiqua" w:cs="Arial"/>
          <w:b/>
          <w:u w:val="single"/>
        </w:rPr>
        <w:t>RK</w:t>
      </w:r>
      <w:r w:rsidR="00042C2C">
        <w:rPr>
          <w:rFonts w:ascii="Book Antiqua" w:hAnsi="Book Antiqua" w:cs="Arial"/>
        </w:rPr>
        <w:t xml:space="preserve"> </w:t>
      </w:r>
      <w:r w:rsidR="00E5362F">
        <w:rPr>
          <w:rFonts w:ascii="Book Antiqua" w:hAnsi="Book Antiqua" w:cs="Arial"/>
        </w:rPr>
        <w:t>in respect of ‘parental relationship</w:t>
      </w:r>
      <w:r w:rsidR="00042C2C">
        <w:rPr>
          <w:rFonts w:ascii="Book Antiqua" w:hAnsi="Book Antiqua" w:cs="Arial"/>
        </w:rPr>
        <w:t>’.</w:t>
      </w:r>
      <w:r w:rsidR="007C174B">
        <w:rPr>
          <w:rFonts w:ascii="Book Antiqua" w:hAnsi="Book Antiqua" w:cs="Arial"/>
        </w:rPr>
        <w:t xml:space="preserve">  </w:t>
      </w:r>
      <w:r w:rsidR="00080E8B">
        <w:rPr>
          <w:rFonts w:ascii="Book Antiqua" w:hAnsi="Book Antiqua" w:cs="Arial"/>
        </w:rPr>
        <w:t>‘S</w:t>
      </w:r>
      <w:r w:rsidR="007C174B">
        <w:rPr>
          <w:rFonts w:ascii="Book Antiqua" w:hAnsi="Book Antiqua" w:cs="Arial"/>
        </w:rPr>
        <w:t>tepping into the shoes of a parent</w:t>
      </w:r>
      <w:r w:rsidR="00080E8B">
        <w:rPr>
          <w:rFonts w:ascii="Book Antiqua" w:hAnsi="Book Antiqua" w:cs="Arial"/>
        </w:rPr>
        <w:t>’ denotes</w:t>
      </w:r>
      <w:r w:rsidR="007C174B">
        <w:rPr>
          <w:rFonts w:ascii="Book Antiqua" w:hAnsi="Book Antiqua" w:cs="Arial"/>
        </w:rPr>
        <w:t xml:space="preserve"> exercising a degree of decision making and control in respect of the direction of a child’s life.</w:t>
      </w:r>
      <w:r w:rsidR="00080E8B">
        <w:rPr>
          <w:rFonts w:ascii="Book Antiqua" w:hAnsi="Book Antiqua" w:cs="Arial"/>
        </w:rPr>
        <w:t xml:space="preserve"> This is akin to assuming ‘responsibility’ – although this must be considered as distinct from the legal concept of ‘parental responsibility’: see paragraph 42 of </w:t>
      </w:r>
      <w:r w:rsidR="00080E8B" w:rsidRPr="00080E8B">
        <w:rPr>
          <w:rFonts w:ascii="Book Antiqua" w:hAnsi="Book Antiqua" w:cs="Arial"/>
          <w:b/>
          <w:u w:val="single"/>
        </w:rPr>
        <w:t>TD</w:t>
      </w:r>
      <w:r w:rsidR="00080E8B">
        <w:rPr>
          <w:rFonts w:ascii="Book Antiqua" w:hAnsi="Book Antiqua" w:cs="Arial"/>
        </w:rPr>
        <w:t>.</w:t>
      </w:r>
    </w:p>
    <w:p w:rsidR="009F65B8" w:rsidRDefault="009F65B8" w:rsidP="00847259">
      <w:pPr>
        <w:ind w:left="567" w:hanging="567"/>
        <w:jc w:val="both"/>
        <w:rPr>
          <w:rFonts w:ascii="Book Antiqua" w:hAnsi="Book Antiqua" w:cs="Arial"/>
        </w:rPr>
      </w:pPr>
    </w:p>
    <w:p w:rsidR="009F65B8" w:rsidRDefault="009F65B8" w:rsidP="00847259">
      <w:pPr>
        <w:ind w:left="567" w:hanging="567"/>
        <w:jc w:val="both"/>
        <w:rPr>
          <w:rFonts w:ascii="Book Antiqua" w:hAnsi="Book Antiqua" w:cs="Arial"/>
        </w:rPr>
      </w:pPr>
    </w:p>
    <w:p w:rsidR="009F65B8" w:rsidRDefault="009F65B8" w:rsidP="00847259">
      <w:pPr>
        <w:ind w:left="567" w:hanging="567"/>
        <w:jc w:val="both"/>
        <w:rPr>
          <w:rFonts w:ascii="Book Antiqua" w:hAnsi="Book Antiqua" w:cs="Arial"/>
        </w:rPr>
      </w:pPr>
      <w:r>
        <w:rPr>
          <w:rFonts w:ascii="Book Antiqua" w:hAnsi="Book Antiqua" w:cs="Arial"/>
        </w:rPr>
        <w:t>32.</w:t>
      </w:r>
      <w:r>
        <w:rPr>
          <w:rFonts w:ascii="Book Antiqua" w:hAnsi="Book Antiqua" w:cs="Arial"/>
        </w:rPr>
        <w:tab/>
      </w:r>
      <w:r w:rsidR="007C174B">
        <w:rPr>
          <w:rFonts w:ascii="Book Antiqua" w:hAnsi="Book Antiqua" w:cs="Arial"/>
        </w:rPr>
        <w:t xml:space="preserve">There was no </w:t>
      </w:r>
      <w:r>
        <w:rPr>
          <w:rFonts w:ascii="Book Antiqua" w:hAnsi="Book Antiqua" w:cs="Arial"/>
        </w:rPr>
        <w:t xml:space="preserve">reliable </w:t>
      </w:r>
      <w:r w:rsidR="007C174B">
        <w:rPr>
          <w:rFonts w:ascii="Book Antiqua" w:hAnsi="Book Antiqua" w:cs="Arial"/>
        </w:rPr>
        <w:t xml:space="preserve">evidence before the First-tier Tribunal </w:t>
      </w:r>
      <w:r>
        <w:rPr>
          <w:rFonts w:ascii="Book Antiqua" w:hAnsi="Book Antiqua" w:cs="Arial"/>
        </w:rPr>
        <w:t xml:space="preserve">to sustain a conclusion </w:t>
      </w:r>
      <w:r w:rsidR="007C174B">
        <w:rPr>
          <w:rFonts w:ascii="Book Antiqua" w:hAnsi="Book Antiqua" w:cs="Arial"/>
        </w:rPr>
        <w:t xml:space="preserve">that the </w:t>
      </w:r>
      <w:r w:rsidR="00262554">
        <w:rPr>
          <w:rFonts w:ascii="Book Antiqua" w:hAnsi="Book Antiqua" w:cs="Arial"/>
        </w:rPr>
        <w:t>Appellant</w:t>
      </w:r>
      <w:r w:rsidR="007C174B">
        <w:rPr>
          <w:rFonts w:ascii="Book Antiqua" w:hAnsi="Book Antiqua" w:cs="Arial"/>
        </w:rPr>
        <w:t xml:space="preserve"> </w:t>
      </w:r>
      <w:r>
        <w:rPr>
          <w:rFonts w:ascii="Book Antiqua" w:hAnsi="Book Antiqua" w:cs="Arial"/>
        </w:rPr>
        <w:t xml:space="preserve">had ‘stepped into the shoes of a parent’ </w:t>
      </w:r>
      <w:r w:rsidR="007C174B">
        <w:rPr>
          <w:rFonts w:ascii="Book Antiqua" w:hAnsi="Book Antiqua" w:cs="Arial"/>
        </w:rPr>
        <w:t>of the two girls.</w:t>
      </w:r>
      <w:r>
        <w:rPr>
          <w:rFonts w:ascii="Book Antiqua" w:hAnsi="Book Antiqua" w:cs="Arial"/>
        </w:rPr>
        <w:t xml:space="preserve"> T</w:t>
      </w:r>
      <w:r w:rsidR="007C174B">
        <w:rPr>
          <w:rFonts w:ascii="Book Antiqua" w:hAnsi="Book Antiqua" w:cs="Arial"/>
        </w:rPr>
        <w:t xml:space="preserve">he </w:t>
      </w:r>
      <w:r w:rsidR="00262554">
        <w:rPr>
          <w:rFonts w:ascii="Book Antiqua" w:hAnsi="Book Antiqua" w:cs="Arial"/>
        </w:rPr>
        <w:t>Appellant</w:t>
      </w:r>
      <w:r>
        <w:rPr>
          <w:rFonts w:ascii="Book Antiqua" w:hAnsi="Book Antiqua" w:cs="Arial"/>
        </w:rPr>
        <w:t xml:space="preserve"> had essentially made an assertion as to the significance of her role, which was not backed up with any detail suggesting that she  had any function in guiding or shaping their lives, as opposed to offering care from time-to-time such as shopping, cooking, and doing their hair. Nor was her assertion backed up by any supporting testimony; rather it was undermined by the available evidence. The Appellant’s</w:t>
      </w:r>
      <w:r w:rsidR="007C174B">
        <w:rPr>
          <w:rFonts w:ascii="Book Antiqua" w:hAnsi="Book Antiqua" w:cs="Arial"/>
        </w:rPr>
        <w:t xml:space="preserve"> case was not helped by the fact that her evidence did not come up to proof in respect of the extent to which she</w:t>
      </w:r>
      <w:r>
        <w:rPr>
          <w:rFonts w:ascii="Book Antiqua" w:hAnsi="Book Antiqua" w:cs="Arial"/>
        </w:rPr>
        <w:t xml:space="preserve"> claimed she</w:t>
      </w:r>
      <w:r w:rsidR="007C174B">
        <w:rPr>
          <w:rFonts w:ascii="Book Antiqua" w:hAnsi="Book Antiqua" w:cs="Arial"/>
        </w:rPr>
        <w:t xml:space="preserve"> played an important part in the girls’ lives</w:t>
      </w:r>
      <w:r>
        <w:rPr>
          <w:rFonts w:ascii="Book Antiqua" w:hAnsi="Book Antiqua" w:cs="Arial"/>
        </w:rPr>
        <w:t>.</w:t>
      </w:r>
    </w:p>
    <w:p w:rsidR="009F65B8" w:rsidRDefault="009F65B8" w:rsidP="00847259">
      <w:pPr>
        <w:ind w:left="567" w:hanging="567"/>
        <w:jc w:val="both"/>
        <w:rPr>
          <w:rFonts w:ascii="Book Antiqua" w:hAnsi="Book Antiqua" w:cs="Arial"/>
        </w:rPr>
      </w:pPr>
    </w:p>
    <w:p w:rsidR="009F65B8" w:rsidRDefault="009F65B8" w:rsidP="00847259">
      <w:pPr>
        <w:ind w:left="567" w:hanging="567"/>
        <w:jc w:val="both"/>
        <w:rPr>
          <w:rFonts w:ascii="Book Antiqua" w:hAnsi="Book Antiqua" w:cs="Arial"/>
        </w:rPr>
      </w:pPr>
    </w:p>
    <w:p w:rsidR="007C174B" w:rsidRDefault="009F65B8" w:rsidP="00847259">
      <w:pPr>
        <w:ind w:left="567" w:hanging="567"/>
        <w:jc w:val="both"/>
        <w:rPr>
          <w:rFonts w:ascii="Book Antiqua" w:hAnsi="Book Antiqua" w:cs="Arial"/>
        </w:rPr>
      </w:pPr>
      <w:r>
        <w:rPr>
          <w:rFonts w:ascii="Book Antiqua" w:hAnsi="Book Antiqua" w:cs="Arial"/>
        </w:rPr>
        <w:lastRenderedPageBreak/>
        <w:t>33.</w:t>
      </w:r>
      <w:r>
        <w:rPr>
          <w:rFonts w:ascii="Book Antiqua" w:hAnsi="Book Antiqua" w:cs="Arial"/>
        </w:rPr>
        <w:tab/>
        <w:t>Nor was the Appellant’s case</w:t>
      </w:r>
      <w:r w:rsidR="007C174B">
        <w:rPr>
          <w:rFonts w:ascii="Book Antiqua" w:hAnsi="Book Antiqua" w:cs="Arial"/>
        </w:rPr>
        <w:t xml:space="preserve"> helped by the complete absence of an </w:t>
      </w:r>
      <w:r>
        <w:rPr>
          <w:rFonts w:ascii="Book Antiqua" w:hAnsi="Book Antiqua" w:cs="Arial"/>
        </w:rPr>
        <w:t>‘</w:t>
      </w:r>
      <w:r w:rsidR="007C174B">
        <w:rPr>
          <w:rFonts w:ascii="Book Antiqua" w:hAnsi="Book Antiqua" w:cs="Arial"/>
        </w:rPr>
        <w:t>on-point</w:t>
      </w:r>
      <w:r>
        <w:rPr>
          <w:rFonts w:ascii="Book Antiqua" w:hAnsi="Book Antiqua" w:cs="Arial"/>
        </w:rPr>
        <w:t>’</w:t>
      </w:r>
      <w:r w:rsidR="007C174B">
        <w:rPr>
          <w:rFonts w:ascii="Book Antiqua" w:hAnsi="Book Antiqua" w:cs="Arial"/>
        </w:rPr>
        <w:t xml:space="preserve"> witness statement from the father of the girls.  Although there were letters on file from the father written at various stages in the </w:t>
      </w:r>
      <w:r w:rsidR="00262554">
        <w:rPr>
          <w:rFonts w:ascii="Book Antiqua" w:hAnsi="Book Antiqua" w:cs="Arial"/>
        </w:rPr>
        <w:t>Appellant</w:t>
      </w:r>
      <w:r w:rsidR="007C174B">
        <w:rPr>
          <w:rFonts w:ascii="Book Antiqua" w:hAnsi="Book Antiqua" w:cs="Arial"/>
        </w:rPr>
        <w:t xml:space="preserve">’s immigration history, those letters do not </w:t>
      </w:r>
      <w:r>
        <w:rPr>
          <w:rFonts w:ascii="Book Antiqua" w:hAnsi="Book Antiqua" w:cs="Arial"/>
        </w:rPr>
        <w:t>go beyond acknowledging that t</w:t>
      </w:r>
      <w:r w:rsidR="007C174B">
        <w:rPr>
          <w:rFonts w:ascii="Book Antiqua" w:hAnsi="Book Antiqua" w:cs="Arial"/>
        </w:rPr>
        <w:t>he</w:t>
      </w:r>
      <w:r>
        <w:rPr>
          <w:rFonts w:ascii="Book Antiqua" w:hAnsi="Book Antiqua" w:cs="Arial"/>
        </w:rPr>
        <w:t xml:space="preserve"> Appellant</w:t>
      </w:r>
      <w:r w:rsidR="007C174B">
        <w:rPr>
          <w:rFonts w:ascii="Book Antiqua" w:hAnsi="Book Antiqua" w:cs="Arial"/>
        </w:rPr>
        <w:t xml:space="preserve"> had a</w:t>
      </w:r>
      <w:r>
        <w:rPr>
          <w:rFonts w:ascii="Book Antiqua" w:hAnsi="Book Antiqua" w:cs="Arial"/>
        </w:rPr>
        <w:t xml:space="preserve"> supportive</w:t>
      </w:r>
      <w:r w:rsidR="007C174B">
        <w:rPr>
          <w:rFonts w:ascii="Book Antiqua" w:hAnsi="Book Antiqua" w:cs="Arial"/>
        </w:rPr>
        <w:t xml:space="preserve"> role as a great-aunt.  There is absolutely nothing in those letters to suggest that Mr </w:t>
      </w:r>
      <w:r w:rsidR="00003F87">
        <w:rPr>
          <w:rFonts w:ascii="Book Antiqua" w:hAnsi="Book Antiqua" w:cs="Arial"/>
        </w:rPr>
        <w:t>AM</w:t>
      </w:r>
      <w:r w:rsidR="007C174B">
        <w:rPr>
          <w:rFonts w:ascii="Book Antiqua" w:hAnsi="Book Antiqua" w:cs="Arial"/>
        </w:rPr>
        <w:t xml:space="preserve"> was making decisions in respect of the children after discussion with the </w:t>
      </w:r>
      <w:r w:rsidR="00262554">
        <w:rPr>
          <w:rFonts w:ascii="Book Antiqua" w:hAnsi="Book Antiqua" w:cs="Arial"/>
        </w:rPr>
        <w:t>Appellant</w:t>
      </w:r>
      <w:r>
        <w:rPr>
          <w:rFonts w:ascii="Book Antiqua" w:hAnsi="Book Antiqua" w:cs="Arial"/>
        </w:rPr>
        <w:t>,</w:t>
      </w:r>
      <w:r w:rsidR="007C174B">
        <w:rPr>
          <w:rFonts w:ascii="Book Antiqua" w:hAnsi="Book Antiqua" w:cs="Arial"/>
        </w:rPr>
        <w:t xml:space="preserve"> or was otherwise allowing the </w:t>
      </w:r>
      <w:r w:rsidR="00262554">
        <w:rPr>
          <w:rFonts w:ascii="Book Antiqua" w:hAnsi="Book Antiqua" w:cs="Arial"/>
        </w:rPr>
        <w:t>Appellant</w:t>
      </w:r>
      <w:r w:rsidR="007C174B">
        <w:rPr>
          <w:rFonts w:ascii="Book Antiqua" w:hAnsi="Book Antiqua" w:cs="Arial"/>
        </w:rPr>
        <w:t xml:space="preserve"> to make such decisions herself</w:t>
      </w:r>
      <w:r>
        <w:rPr>
          <w:rFonts w:ascii="Book Antiqua" w:hAnsi="Book Antiqua" w:cs="Arial"/>
        </w:rPr>
        <w:t>,</w:t>
      </w:r>
      <w:r w:rsidR="007C174B">
        <w:rPr>
          <w:rFonts w:ascii="Book Antiqua" w:hAnsi="Book Antiqua" w:cs="Arial"/>
        </w:rPr>
        <w:t xml:space="preserve"> </w:t>
      </w:r>
      <w:r w:rsidR="004A0A65">
        <w:rPr>
          <w:rFonts w:ascii="Book Antiqua" w:hAnsi="Book Antiqua" w:cs="Arial"/>
        </w:rPr>
        <w:t>or jointly with him</w:t>
      </w:r>
      <w:r>
        <w:rPr>
          <w:rFonts w:ascii="Book Antiqua" w:hAnsi="Book Antiqua" w:cs="Arial"/>
        </w:rPr>
        <w:t>,</w:t>
      </w:r>
      <w:r w:rsidR="004A0A65">
        <w:rPr>
          <w:rFonts w:ascii="Book Antiqua" w:hAnsi="Book Antiqua" w:cs="Arial"/>
        </w:rPr>
        <w:t xml:space="preserve"> </w:t>
      </w:r>
      <w:r w:rsidR="007C174B">
        <w:rPr>
          <w:rFonts w:ascii="Book Antiqua" w:hAnsi="Book Antiqua" w:cs="Arial"/>
        </w:rPr>
        <w:t xml:space="preserve">or jointly with any other persons.  </w:t>
      </w:r>
    </w:p>
    <w:p w:rsidR="004A0A65" w:rsidRDefault="004A0A65" w:rsidP="00847259">
      <w:pPr>
        <w:ind w:left="567" w:hanging="567"/>
        <w:jc w:val="both"/>
        <w:rPr>
          <w:rFonts w:ascii="Book Antiqua" w:hAnsi="Book Antiqua" w:cs="Arial"/>
        </w:rPr>
      </w:pPr>
    </w:p>
    <w:p w:rsidR="009F65B8" w:rsidRDefault="009F65B8" w:rsidP="00847259">
      <w:pPr>
        <w:ind w:left="567" w:hanging="567"/>
        <w:jc w:val="both"/>
        <w:rPr>
          <w:rFonts w:ascii="Book Antiqua" w:hAnsi="Book Antiqua" w:cs="Arial"/>
        </w:rPr>
      </w:pPr>
    </w:p>
    <w:p w:rsidR="00011622" w:rsidRDefault="009F65B8" w:rsidP="00847259">
      <w:pPr>
        <w:ind w:left="567" w:hanging="567"/>
        <w:jc w:val="both"/>
        <w:rPr>
          <w:rFonts w:ascii="Book Antiqua" w:hAnsi="Book Antiqua" w:cs="Arial"/>
        </w:rPr>
      </w:pPr>
      <w:r>
        <w:rPr>
          <w:rFonts w:ascii="Book Antiqua" w:hAnsi="Book Antiqua" w:cs="Arial"/>
        </w:rPr>
        <w:t>34</w:t>
      </w:r>
      <w:r w:rsidR="004A0A65">
        <w:rPr>
          <w:rFonts w:ascii="Book Antiqua" w:hAnsi="Book Antiqua" w:cs="Arial"/>
        </w:rPr>
        <w:t>.</w:t>
      </w:r>
      <w:r w:rsidR="004A0A65">
        <w:rPr>
          <w:rFonts w:ascii="Book Antiqua" w:hAnsi="Book Antiqua" w:cs="Arial"/>
        </w:rPr>
        <w:tab/>
      </w:r>
      <w:r w:rsidR="00C750F1">
        <w:rPr>
          <w:rFonts w:ascii="Book Antiqua" w:hAnsi="Book Antiqua" w:cs="Arial"/>
        </w:rPr>
        <w:t xml:space="preserve">I </w:t>
      </w:r>
      <w:r>
        <w:rPr>
          <w:rFonts w:ascii="Book Antiqua" w:hAnsi="Book Antiqua" w:cs="Arial"/>
        </w:rPr>
        <w:t xml:space="preserve">have </w:t>
      </w:r>
      <w:r w:rsidR="00C750F1">
        <w:rPr>
          <w:rFonts w:ascii="Book Antiqua" w:hAnsi="Book Antiqua" w:cs="Arial"/>
        </w:rPr>
        <w:t>note</w:t>
      </w:r>
      <w:r>
        <w:rPr>
          <w:rFonts w:ascii="Book Antiqua" w:hAnsi="Book Antiqua" w:cs="Arial"/>
        </w:rPr>
        <w:t>d above</w:t>
      </w:r>
      <w:r w:rsidR="00C750F1">
        <w:rPr>
          <w:rFonts w:ascii="Book Antiqua" w:hAnsi="Book Antiqua" w:cs="Arial"/>
        </w:rPr>
        <w:t xml:space="preserve"> that the First-tier Tribunal </w:t>
      </w:r>
      <w:r w:rsidR="00262554">
        <w:rPr>
          <w:rFonts w:ascii="Book Antiqua" w:hAnsi="Book Antiqua" w:cs="Arial"/>
        </w:rPr>
        <w:t>Judge</w:t>
      </w:r>
      <w:r w:rsidR="00C750F1">
        <w:rPr>
          <w:rFonts w:ascii="Book Antiqua" w:hAnsi="Book Antiqua" w:cs="Arial"/>
        </w:rPr>
        <w:t xml:space="preserve"> acknowledged that the </w:t>
      </w:r>
      <w:r w:rsidR="00262554">
        <w:rPr>
          <w:rFonts w:ascii="Book Antiqua" w:hAnsi="Book Antiqua" w:cs="Arial"/>
        </w:rPr>
        <w:t>Appellant</w:t>
      </w:r>
      <w:r w:rsidR="00C750F1">
        <w:rPr>
          <w:rFonts w:ascii="Book Antiqua" w:hAnsi="Book Antiqua" w:cs="Arial"/>
        </w:rPr>
        <w:t xml:space="preserve"> had an important ro</w:t>
      </w:r>
      <w:r w:rsidR="00011622">
        <w:rPr>
          <w:rFonts w:ascii="Book Antiqua" w:hAnsi="Book Antiqua" w:cs="Arial"/>
        </w:rPr>
        <w:t>le in the children’s upbringing.</w:t>
      </w:r>
      <w:r w:rsidR="00C750F1">
        <w:rPr>
          <w:rFonts w:ascii="Book Antiqua" w:hAnsi="Book Antiqua" w:cs="Arial"/>
        </w:rPr>
        <w:t xml:space="preserve"> </w:t>
      </w:r>
      <w:r w:rsidR="00011622">
        <w:rPr>
          <w:rFonts w:ascii="Book Antiqua" w:hAnsi="Book Antiqua" w:cs="Arial"/>
        </w:rPr>
        <w:t>However,</w:t>
      </w:r>
      <w:r w:rsidR="00C750F1">
        <w:rPr>
          <w:rFonts w:ascii="Book Antiqua" w:hAnsi="Book Antiqua" w:cs="Arial"/>
        </w:rPr>
        <w:t xml:space="preserve"> i</w:t>
      </w:r>
      <w:r w:rsidR="00011622">
        <w:rPr>
          <w:rFonts w:ascii="Book Antiqua" w:hAnsi="Book Antiqua" w:cs="Arial"/>
        </w:rPr>
        <w:t>n my judgement i</w:t>
      </w:r>
      <w:r w:rsidR="00C750F1">
        <w:rPr>
          <w:rFonts w:ascii="Book Antiqua" w:hAnsi="Book Antiqua" w:cs="Arial"/>
        </w:rPr>
        <w:t>t</w:t>
      </w:r>
      <w:r w:rsidR="00011622">
        <w:rPr>
          <w:rFonts w:ascii="Book Antiqua" w:hAnsi="Book Antiqua" w:cs="Arial"/>
        </w:rPr>
        <w:t xml:space="preserve"> </w:t>
      </w:r>
      <w:r w:rsidR="00C750F1">
        <w:rPr>
          <w:rFonts w:ascii="Book Antiqua" w:hAnsi="Book Antiqua" w:cs="Arial"/>
        </w:rPr>
        <w:t xml:space="preserve">was entirely sustainable </w:t>
      </w:r>
      <w:r w:rsidR="00262554">
        <w:rPr>
          <w:rFonts w:ascii="Book Antiqua" w:hAnsi="Book Antiqua" w:cs="Arial"/>
        </w:rPr>
        <w:t xml:space="preserve">that </w:t>
      </w:r>
      <w:r w:rsidR="00011622">
        <w:rPr>
          <w:rFonts w:ascii="Book Antiqua" w:hAnsi="Book Antiqua" w:cs="Arial"/>
        </w:rPr>
        <w:t>t</w:t>
      </w:r>
      <w:r w:rsidR="00262554">
        <w:rPr>
          <w:rFonts w:ascii="Book Antiqua" w:hAnsi="Book Antiqua" w:cs="Arial"/>
        </w:rPr>
        <w:t>he</w:t>
      </w:r>
      <w:r w:rsidR="00011622">
        <w:rPr>
          <w:rFonts w:ascii="Book Antiqua" w:hAnsi="Book Antiqua" w:cs="Arial"/>
        </w:rPr>
        <w:t xml:space="preserve"> Judge</w:t>
      </w:r>
      <w:r w:rsidR="00262554">
        <w:rPr>
          <w:rFonts w:ascii="Book Antiqua" w:hAnsi="Book Antiqua" w:cs="Arial"/>
        </w:rPr>
        <w:t xml:space="preserve"> concluded that the relationship was not a parental relationship.  </w:t>
      </w:r>
      <w:r w:rsidR="00011622">
        <w:rPr>
          <w:rFonts w:ascii="Book Antiqua" w:hAnsi="Book Antiqua" w:cs="Arial"/>
        </w:rPr>
        <w:t xml:space="preserve">I am also clear that the Judge in so concluding had not become confused with the concept of ‘sole responsibility’. The Judge’s references to </w:t>
      </w:r>
      <w:r w:rsidR="00011622" w:rsidRPr="00011622">
        <w:rPr>
          <w:rFonts w:ascii="Book Antiqua" w:hAnsi="Book Antiqua" w:cs="Arial"/>
          <w:b/>
          <w:u w:val="single"/>
        </w:rPr>
        <w:t>RK</w:t>
      </w:r>
      <w:r w:rsidR="00011622">
        <w:rPr>
          <w:rFonts w:ascii="Book Antiqua" w:hAnsi="Book Antiqua" w:cs="Arial"/>
        </w:rPr>
        <w:t xml:space="preserve"> make this evident, as does the unequivocal finding at paragraph 71 – “</w:t>
      </w:r>
      <w:r w:rsidR="00011622" w:rsidRPr="00011622">
        <w:rPr>
          <w:rFonts w:ascii="Book Antiqua" w:hAnsi="Book Antiqua" w:cs="Arial"/>
          <w:i/>
        </w:rPr>
        <w:t>I do not find that the Appellant’s relationship is a parental relationship</w:t>
      </w:r>
      <w:r w:rsidR="00011622">
        <w:rPr>
          <w:rFonts w:ascii="Book Antiqua" w:hAnsi="Book Antiqua" w:cs="Arial"/>
        </w:rPr>
        <w:t>” – and the concomitant finding that section 117B(6) is of no relevance (paragraph 72).</w:t>
      </w:r>
    </w:p>
    <w:p w:rsidR="00011622" w:rsidRDefault="00011622" w:rsidP="00847259">
      <w:pPr>
        <w:ind w:left="567" w:hanging="567"/>
        <w:jc w:val="both"/>
        <w:rPr>
          <w:rFonts w:ascii="Book Antiqua" w:hAnsi="Book Antiqua" w:cs="Arial"/>
        </w:rPr>
      </w:pPr>
    </w:p>
    <w:p w:rsidR="00262554" w:rsidRDefault="00262554" w:rsidP="00847259">
      <w:pPr>
        <w:ind w:left="567" w:hanging="567"/>
        <w:jc w:val="both"/>
        <w:rPr>
          <w:rFonts w:ascii="Book Antiqua" w:hAnsi="Book Antiqua" w:cs="Arial"/>
        </w:rPr>
      </w:pPr>
    </w:p>
    <w:p w:rsidR="00262554" w:rsidRPr="00262554" w:rsidRDefault="00262554" w:rsidP="00847259">
      <w:pPr>
        <w:ind w:left="567" w:hanging="567"/>
        <w:jc w:val="both"/>
        <w:rPr>
          <w:rFonts w:ascii="Book Antiqua" w:hAnsi="Book Antiqua" w:cs="Arial"/>
          <w:b/>
          <w:u w:val="single"/>
        </w:rPr>
      </w:pPr>
      <w:r w:rsidRPr="00262554">
        <w:rPr>
          <w:rFonts w:ascii="Book Antiqua" w:hAnsi="Book Antiqua" w:cs="Arial"/>
          <w:b/>
          <w:u w:val="single"/>
        </w:rPr>
        <w:t xml:space="preserve">Notice of Decision </w:t>
      </w:r>
    </w:p>
    <w:p w:rsidR="00262554" w:rsidRDefault="00262554" w:rsidP="00847259">
      <w:pPr>
        <w:ind w:left="567" w:hanging="567"/>
        <w:jc w:val="both"/>
        <w:rPr>
          <w:rFonts w:ascii="Book Antiqua" w:hAnsi="Book Antiqua" w:cs="Arial"/>
        </w:rPr>
      </w:pPr>
    </w:p>
    <w:p w:rsidR="00262554" w:rsidRDefault="00011622" w:rsidP="00847259">
      <w:pPr>
        <w:ind w:left="567" w:hanging="567"/>
        <w:jc w:val="both"/>
        <w:rPr>
          <w:rFonts w:ascii="Book Antiqua" w:hAnsi="Book Antiqua" w:cs="Arial"/>
        </w:rPr>
      </w:pPr>
      <w:r>
        <w:rPr>
          <w:rFonts w:ascii="Book Antiqua" w:hAnsi="Book Antiqua" w:cs="Arial"/>
        </w:rPr>
        <w:t>35</w:t>
      </w:r>
      <w:r w:rsidR="00262554">
        <w:rPr>
          <w:rFonts w:ascii="Book Antiqua" w:hAnsi="Book Antiqua" w:cs="Arial"/>
        </w:rPr>
        <w:t>.</w:t>
      </w:r>
      <w:r w:rsidR="00262554">
        <w:rPr>
          <w:rFonts w:ascii="Book Antiqua" w:hAnsi="Book Antiqua" w:cs="Arial"/>
        </w:rPr>
        <w:tab/>
      </w:r>
      <w:r w:rsidR="00E64D18">
        <w:rPr>
          <w:rFonts w:ascii="Book Antiqua" w:hAnsi="Book Antiqua" w:cs="Arial"/>
        </w:rPr>
        <w:t xml:space="preserve">The Decision of the First-tier Tribunal contains </w:t>
      </w:r>
      <w:r w:rsidR="00262554">
        <w:rPr>
          <w:rFonts w:ascii="Book Antiqua" w:hAnsi="Book Antiqua" w:cs="Arial"/>
        </w:rPr>
        <w:t xml:space="preserve">no error of law and </w:t>
      </w:r>
      <w:r w:rsidR="00E64D18">
        <w:rPr>
          <w:rFonts w:ascii="Book Antiqua" w:hAnsi="Book Antiqua" w:cs="Arial"/>
        </w:rPr>
        <w:t>accordingly</w:t>
      </w:r>
      <w:r w:rsidR="00262554">
        <w:rPr>
          <w:rFonts w:ascii="Book Antiqua" w:hAnsi="Book Antiqua" w:cs="Arial"/>
        </w:rPr>
        <w:t xml:space="preserve"> stands.</w:t>
      </w:r>
    </w:p>
    <w:p w:rsidR="00E64D18" w:rsidRDefault="00E64D18" w:rsidP="00847259">
      <w:pPr>
        <w:ind w:left="567" w:hanging="567"/>
        <w:jc w:val="both"/>
        <w:rPr>
          <w:rFonts w:ascii="Book Antiqua" w:hAnsi="Book Antiqua" w:cs="Arial"/>
        </w:rPr>
      </w:pPr>
    </w:p>
    <w:p w:rsidR="00E64D18" w:rsidRDefault="00E64D18" w:rsidP="00847259">
      <w:pPr>
        <w:ind w:left="567" w:hanging="567"/>
        <w:jc w:val="both"/>
        <w:rPr>
          <w:rFonts w:ascii="Book Antiqua" w:hAnsi="Book Antiqua" w:cs="Arial"/>
        </w:rPr>
      </w:pPr>
    </w:p>
    <w:p w:rsidR="00E64D18" w:rsidRDefault="00011622" w:rsidP="00847259">
      <w:pPr>
        <w:ind w:left="567" w:hanging="567"/>
        <w:jc w:val="both"/>
        <w:rPr>
          <w:rFonts w:ascii="Book Antiqua" w:hAnsi="Book Antiqua" w:cs="Arial"/>
        </w:rPr>
      </w:pPr>
      <w:r>
        <w:rPr>
          <w:rFonts w:ascii="Book Antiqua" w:hAnsi="Book Antiqua" w:cs="Arial"/>
        </w:rPr>
        <w:t>36</w:t>
      </w:r>
      <w:r w:rsidR="00E64D18">
        <w:rPr>
          <w:rFonts w:ascii="Book Antiqua" w:hAnsi="Book Antiqua" w:cs="Arial"/>
        </w:rPr>
        <w:t>.</w:t>
      </w:r>
      <w:r w:rsidR="00E64D18">
        <w:rPr>
          <w:rFonts w:ascii="Book Antiqua" w:hAnsi="Book Antiqua" w:cs="Arial"/>
        </w:rPr>
        <w:tab/>
        <w:t>The Appellant’s appeal remains dismissed.</w:t>
      </w:r>
    </w:p>
    <w:p w:rsidR="00262554" w:rsidRDefault="00262554" w:rsidP="00847259">
      <w:pPr>
        <w:ind w:left="567" w:hanging="567"/>
        <w:jc w:val="both"/>
        <w:rPr>
          <w:rFonts w:ascii="Book Antiqua" w:hAnsi="Book Antiqua" w:cs="Arial"/>
        </w:rPr>
      </w:pPr>
    </w:p>
    <w:p w:rsidR="00262554" w:rsidRDefault="00262554" w:rsidP="00847259">
      <w:pPr>
        <w:ind w:left="567" w:hanging="567"/>
        <w:jc w:val="both"/>
        <w:rPr>
          <w:rFonts w:ascii="Book Antiqua" w:hAnsi="Book Antiqua" w:cs="Arial"/>
        </w:rPr>
      </w:pPr>
    </w:p>
    <w:p w:rsidR="00262554" w:rsidRDefault="00262554" w:rsidP="00847259">
      <w:pPr>
        <w:ind w:left="567" w:hanging="567"/>
        <w:jc w:val="both"/>
        <w:rPr>
          <w:rFonts w:ascii="Book Antiqua" w:hAnsi="Book Antiqua" w:cs="Arial"/>
        </w:rPr>
      </w:pPr>
    </w:p>
    <w:p w:rsidR="00847259" w:rsidRDefault="00011622" w:rsidP="00262554">
      <w:pPr>
        <w:ind w:left="567" w:hanging="567"/>
        <w:jc w:val="both"/>
        <w:rPr>
          <w:rFonts w:ascii="Book Antiqua" w:hAnsi="Book Antiqua" w:cs="Arial"/>
        </w:rPr>
      </w:pPr>
      <w:r>
        <w:rPr>
          <w:rFonts w:ascii="Book Antiqua" w:hAnsi="Book Antiqua" w:cs="Arial"/>
        </w:rPr>
        <w:t>37</w:t>
      </w:r>
      <w:r w:rsidR="00262554">
        <w:rPr>
          <w:rFonts w:ascii="Book Antiqua" w:hAnsi="Book Antiqua" w:cs="Arial"/>
        </w:rPr>
        <w:t>.</w:t>
      </w:r>
      <w:r w:rsidR="00262554">
        <w:rPr>
          <w:rFonts w:ascii="Book Antiqua" w:hAnsi="Book Antiqua" w:cs="Arial"/>
        </w:rPr>
        <w:tab/>
      </w:r>
      <w:r w:rsidR="00847259" w:rsidRPr="00687601">
        <w:rPr>
          <w:rFonts w:ascii="Book Antiqua" w:hAnsi="Book Antiqua" w:cs="Arial"/>
        </w:rPr>
        <w:t>No</w:t>
      </w:r>
      <w:r w:rsidR="00847259">
        <w:rPr>
          <w:rFonts w:ascii="Book Antiqua" w:hAnsi="Book Antiqua" w:cs="Arial"/>
        </w:rPr>
        <w:t xml:space="preserve"> anonymity direction is </w:t>
      </w:r>
      <w:r w:rsidR="00E64D18">
        <w:rPr>
          <w:rFonts w:ascii="Book Antiqua" w:hAnsi="Book Antiqua" w:cs="Arial"/>
        </w:rPr>
        <w:t xml:space="preserve">sought or </w:t>
      </w:r>
      <w:r w:rsidR="00847259">
        <w:rPr>
          <w:rFonts w:ascii="Book Antiqua" w:hAnsi="Book Antiqua" w:cs="Arial"/>
        </w:rPr>
        <w:t>made.</w:t>
      </w: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p>
    <w:p w:rsidR="00E64D18" w:rsidRPr="00E64D18" w:rsidRDefault="00E64D18" w:rsidP="00847259">
      <w:pPr>
        <w:jc w:val="both"/>
        <w:rPr>
          <w:rFonts w:ascii="Book Antiqua" w:hAnsi="Book Antiqua" w:cs="Arial"/>
          <w:i/>
        </w:rPr>
      </w:pPr>
      <w:r w:rsidRPr="00E64D18">
        <w:rPr>
          <w:rFonts w:ascii="Book Antiqua" w:hAnsi="Book Antiqua" w:cs="Arial"/>
          <w:i/>
        </w:rPr>
        <w:t>The above represents a corrected transcript of ex tempore reasons given at the conclusion of the hearing.</w:t>
      </w:r>
    </w:p>
    <w:p w:rsidR="009F5220" w:rsidRPr="00AE6DDE" w:rsidRDefault="009F5220" w:rsidP="00847259">
      <w:pPr>
        <w:jc w:val="both"/>
        <w:rPr>
          <w:rFonts w:ascii="Book Antiqua" w:hAnsi="Book Antiqua" w:cs="Arial"/>
        </w:rPr>
      </w:pPr>
    </w:p>
    <w:p w:rsidR="001F2716" w:rsidRPr="00AE6DDE" w:rsidRDefault="001F2716" w:rsidP="00847259">
      <w:pPr>
        <w:jc w:val="both"/>
        <w:rPr>
          <w:rFonts w:ascii="Book Antiqua" w:hAnsi="Book Antiqua" w:cs="Arial"/>
        </w:rPr>
      </w:pPr>
    </w:p>
    <w:p w:rsidR="00A509FA" w:rsidRPr="00AE6DDE" w:rsidRDefault="00A509FA"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00E64D18">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E64D18">
        <w:rPr>
          <w:rFonts w:ascii="Book Antiqua" w:hAnsi="Book Antiqua" w:cs="Arial"/>
        </w:rPr>
        <w:t xml:space="preserve">: </w:t>
      </w:r>
      <w:r w:rsidR="00E64D18" w:rsidRPr="00E64D18">
        <w:rPr>
          <w:rFonts w:ascii="Book Antiqua" w:hAnsi="Book Antiqua" w:cs="Arial"/>
          <w:b/>
        </w:rPr>
        <w:t>23 May 2018</w:t>
      </w:r>
    </w:p>
    <w:p w:rsidR="001F2716" w:rsidRPr="00AE6DDE" w:rsidRDefault="001F2716" w:rsidP="00847259">
      <w:pPr>
        <w:jc w:val="both"/>
        <w:rPr>
          <w:rFonts w:ascii="Book Antiqua" w:hAnsi="Book Antiqua" w:cs="Arial"/>
        </w:rPr>
      </w:pPr>
    </w:p>
    <w:p w:rsidR="0062078F" w:rsidRPr="00E64D18" w:rsidRDefault="00347A9C" w:rsidP="00847259">
      <w:pPr>
        <w:jc w:val="both"/>
        <w:rPr>
          <w:rFonts w:ascii="Book Antiqua" w:hAnsi="Book Antiqua" w:cs="Arial"/>
          <w:b/>
          <w:color w:val="000000"/>
        </w:rPr>
      </w:pPr>
      <w:r w:rsidRPr="00E64D18">
        <w:rPr>
          <w:rFonts w:ascii="Book Antiqua" w:hAnsi="Book Antiqua" w:cs="Arial"/>
          <w:b/>
          <w:color w:val="000000"/>
        </w:rPr>
        <w:t xml:space="preserve">Deputy Upper Tribunal </w:t>
      </w:r>
      <w:r w:rsidR="00262554" w:rsidRPr="00E64D18">
        <w:rPr>
          <w:rFonts w:ascii="Book Antiqua" w:hAnsi="Book Antiqua" w:cs="Arial"/>
          <w:b/>
          <w:color w:val="000000"/>
        </w:rPr>
        <w:t>Judge</w:t>
      </w:r>
      <w:r w:rsidRPr="00E64D18">
        <w:rPr>
          <w:rFonts w:ascii="Book Antiqua" w:hAnsi="Book Antiqua" w:cs="Arial"/>
          <w:b/>
          <w:color w:val="000000"/>
        </w:rPr>
        <w:t xml:space="preserve"> I A Lewis</w:t>
      </w:r>
      <w:r w:rsidR="005E761F" w:rsidRPr="00E64D18">
        <w:rPr>
          <w:rFonts w:ascii="Book Antiqua" w:hAnsi="Book Antiqua" w:cs="Arial"/>
          <w:b/>
          <w:color w:val="000000"/>
        </w:rPr>
        <w:t xml:space="preserve"> </w:t>
      </w:r>
    </w:p>
    <w:p w:rsidR="00847259" w:rsidRDefault="00847259" w:rsidP="00847259">
      <w:pPr>
        <w:jc w:val="both"/>
        <w:rPr>
          <w:rFonts w:ascii="Book Antiqua" w:hAnsi="Book Antiqua" w:cs="Arial"/>
          <w:color w:val="000000"/>
        </w:rPr>
      </w:pPr>
    </w:p>
    <w:sectPr w:rsidR="00847259" w:rsidSect="00407A5B">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F94" w:rsidRDefault="00232F94">
      <w:r>
        <w:separator/>
      </w:r>
    </w:p>
  </w:endnote>
  <w:endnote w:type="continuationSeparator" w:id="0">
    <w:p w:rsidR="00232F94" w:rsidRDefault="00232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554" w:rsidRPr="00E60B7B" w:rsidRDefault="00262554" w:rsidP="00593795">
    <w:pPr>
      <w:pStyle w:val="Footer"/>
      <w:jc w:val="center"/>
      <w:rPr>
        <w:rFonts w:ascii="Book Antiqua" w:hAnsi="Book Antiqua" w:cs="Arial"/>
      </w:rPr>
    </w:pPr>
    <w:r w:rsidRPr="00E60B7B">
      <w:rPr>
        <w:rStyle w:val="PageNumber"/>
        <w:rFonts w:ascii="Book Antiqua" w:hAnsi="Book Antiqua" w:cs="Arial"/>
      </w:rPr>
      <w:fldChar w:fldCharType="begin"/>
    </w:r>
    <w:r w:rsidRPr="00E60B7B">
      <w:rPr>
        <w:rStyle w:val="PageNumber"/>
        <w:rFonts w:ascii="Book Antiqua" w:hAnsi="Book Antiqua" w:cs="Arial"/>
      </w:rPr>
      <w:instrText xml:space="preserve"> PAGE </w:instrText>
    </w:r>
    <w:r w:rsidRPr="00E60B7B">
      <w:rPr>
        <w:rStyle w:val="PageNumber"/>
        <w:rFonts w:ascii="Book Antiqua" w:hAnsi="Book Antiqua" w:cs="Arial"/>
      </w:rPr>
      <w:fldChar w:fldCharType="separate"/>
    </w:r>
    <w:r w:rsidR="00CF0ECC">
      <w:rPr>
        <w:rStyle w:val="PageNumber"/>
        <w:rFonts w:ascii="Book Antiqua" w:hAnsi="Book Antiqua" w:cs="Arial"/>
        <w:noProof/>
      </w:rPr>
      <w:t>8</w:t>
    </w:r>
    <w:r w:rsidRPr="00E60B7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554" w:rsidRPr="00AE6DDE" w:rsidRDefault="00262554"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F94" w:rsidRDefault="00232F94">
      <w:r>
        <w:separator/>
      </w:r>
    </w:p>
  </w:footnote>
  <w:footnote w:type="continuationSeparator" w:id="0">
    <w:p w:rsidR="00232F94" w:rsidRDefault="00232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554" w:rsidRDefault="0026255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6C7911">
      <w:rPr>
        <w:rFonts w:ascii="Book Antiqua" w:hAnsi="Book Antiqua" w:cs="Arial"/>
        <w:sz w:val="16"/>
        <w:szCs w:val="16"/>
      </w:rPr>
      <w:t>HU/11458/2016</w:t>
    </w:r>
  </w:p>
  <w:p w:rsidR="00E60B7B" w:rsidRPr="006C7911" w:rsidRDefault="00E60B7B"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554" w:rsidRPr="00AE6DDE" w:rsidRDefault="0026255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8404E"/>
    <w:multiLevelType w:val="hybridMultilevel"/>
    <w:tmpl w:val="A99665E0"/>
    <w:lvl w:ilvl="0" w:tplc="5900D8CE">
      <w:start w:val="1"/>
      <w:numFmt w:val="decimal"/>
      <w:lvlText w:val="%1."/>
      <w:lvlJc w:val="left"/>
      <w:pPr>
        <w:tabs>
          <w:tab w:val="num" w:pos="680"/>
        </w:tabs>
        <w:ind w:left="680" w:hanging="680"/>
      </w:pPr>
      <w:rPr>
        <w:rFonts w:hint="default"/>
      </w:rPr>
    </w:lvl>
    <w:lvl w:ilvl="1" w:tplc="0809000F">
      <w:start w:val="1"/>
      <w:numFmt w:val="decimal"/>
      <w:lvlText w:val="%2."/>
      <w:lvlJc w:val="left"/>
      <w:pPr>
        <w:tabs>
          <w:tab w:val="num" w:pos="1080"/>
        </w:tabs>
        <w:ind w:left="1080" w:hanging="360"/>
      </w:pPr>
      <w:rPr>
        <w:rFonts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667F160-D1BB-49BA-9B79-6DDEE9FEE6B7}"/>
    <w:docVar w:name="dgnword-eventsink" w:val="312189336"/>
  </w:docVars>
  <w:rsids>
    <w:rsidRoot w:val="00867DB9"/>
    <w:rsid w:val="00000621"/>
    <w:rsid w:val="00002AFC"/>
    <w:rsid w:val="000036C2"/>
    <w:rsid w:val="00003F87"/>
    <w:rsid w:val="00011622"/>
    <w:rsid w:val="00015547"/>
    <w:rsid w:val="000159F9"/>
    <w:rsid w:val="00033D3D"/>
    <w:rsid w:val="00036302"/>
    <w:rsid w:val="00042C2C"/>
    <w:rsid w:val="00062F02"/>
    <w:rsid w:val="00071A7E"/>
    <w:rsid w:val="000746C0"/>
    <w:rsid w:val="00074D1D"/>
    <w:rsid w:val="00080E8B"/>
    <w:rsid w:val="00082B7C"/>
    <w:rsid w:val="0008769E"/>
    <w:rsid w:val="00092580"/>
    <w:rsid w:val="00093D4D"/>
    <w:rsid w:val="000B24F7"/>
    <w:rsid w:val="000C4CC2"/>
    <w:rsid w:val="000C78B9"/>
    <w:rsid w:val="000D5D94"/>
    <w:rsid w:val="000F1A0E"/>
    <w:rsid w:val="000F44BE"/>
    <w:rsid w:val="001165A7"/>
    <w:rsid w:val="00122BB3"/>
    <w:rsid w:val="00136424"/>
    <w:rsid w:val="00167D3A"/>
    <w:rsid w:val="00172C4A"/>
    <w:rsid w:val="00173946"/>
    <w:rsid w:val="00173A2D"/>
    <w:rsid w:val="00194AE0"/>
    <w:rsid w:val="001A3082"/>
    <w:rsid w:val="001B186A"/>
    <w:rsid w:val="001B2F75"/>
    <w:rsid w:val="001F2716"/>
    <w:rsid w:val="00206311"/>
    <w:rsid w:val="00207617"/>
    <w:rsid w:val="00212E5F"/>
    <w:rsid w:val="00224D49"/>
    <w:rsid w:val="0023134B"/>
    <w:rsid w:val="00232F94"/>
    <w:rsid w:val="002376E5"/>
    <w:rsid w:val="00252EB7"/>
    <w:rsid w:val="00253D70"/>
    <w:rsid w:val="00254DBC"/>
    <w:rsid w:val="00262554"/>
    <w:rsid w:val="00283659"/>
    <w:rsid w:val="002C1F85"/>
    <w:rsid w:val="002C529F"/>
    <w:rsid w:val="002C6BD4"/>
    <w:rsid w:val="002D083B"/>
    <w:rsid w:val="002D68BF"/>
    <w:rsid w:val="002F6B98"/>
    <w:rsid w:val="00326F2B"/>
    <w:rsid w:val="00336CBF"/>
    <w:rsid w:val="00343FE3"/>
    <w:rsid w:val="00347A9C"/>
    <w:rsid w:val="003546C8"/>
    <w:rsid w:val="003A0375"/>
    <w:rsid w:val="003A7CF2"/>
    <w:rsid w:val="003C5CE5"/>
    <w:rsid w:val="003E267B"/>
    <w:rsid w:val="003E7CD1"/>
    <w:rsid w:val="003F4C61"/>
    <w:rsid w:val="00402B9E"/>
    <w:rsid w:val="00407A5B"/>
    <w:rsid w:val="00411BA2"/>
    <w:rsid w:val="004249CB"/>
    <w:rsid w:val="0044127D"/>
    <w:rsid w:val="004448DB"/>
    <w:rsid w:val="00446C9A"/>
    <w:rsid w:val="00447988"/>
    <w:rsid w:val="00452F2B"/>
    <w:rsid w:val="00471E3C"/>
    <w:rsid w:val="00477193"/>
    <w:rsid w:val="00487AE8"/>
    <w:rsid w:val="004A0A65"/>
    <w:rsid w:val="004A1848"/>
    <w:rsid w:val="004A6F4A"/>
    <w:rsid w:val="004E4717"/>
    <w:rsid w:val="004F0187"/>
    <w:rsid w:val="004F2F21"/>
    <w:rsid w:val="004F672C"/>
    <w:rsid w:val="0050388A"/>
    <w:rsid w:val="00507FEC"/>
    <w:rsid w:val="00510F0E"/>
    <w:rsid w:val="00516825"/>
    <w:rsid w:val="005420FD"/>
    <w:rsid w:val="005473D4"/>
    <w:rsid w:val="005479E1"/>
    <w:rsid w:val="00553E0A"/>
    <w:rsid w:val="005570FD"/>
    <w:rsid w:val="005575EA"/>
    <w:rsid w:val="0057790C"/>
    <w:rsid w:val="005927F5"/>
    <w:rsid w:val="00593795"/>
    <w:rsid w:val="00596130"/>
    <w:rsid w:val="005A75FF"/>
    <w:rsid w:val="005C2B9C"/>
    <w:rsid w:val="005C7963"/>
    <w:rsid w:val="005D10AB"/>
    <w:rsid w:val="005E3B61"/>
    <w:rsid w:val="005E761F"/>
    <w:rsid w:val="00601D8F"/>
    <w:rsid w:val="0062078F"/>
    <w:rsid w:val="006239EA"/>
    <w:rsid w:val="00653E97"/>
    <w:rsid w:val="00684A74"/>
    <w:rsid w:val="00690B8A"/>
    <w:rsid w:val="006C2F3C"/>
    <w:rsid w:val="006C7911"/>
    <w:rsid w:val="006D0AD9"/>
    <w:rsid w:val="006E47C4"/>
    <w:rsid w:val="006F2CF1"/>
    <w:rsid w:val="00703184"/>
    <w:rsid w:val="007038ED"/>
    <w:rsid w:val="00703BC3"/>
    <w:rsid w:val="00704B61"/>
    <w:rsid w:val="00730384"/>
    <w:rsid w:val="007552A9"/>
    <w:rsid w:val="00761858"/>
    <w:rsid w:val="00767D59"/>
    <w:rsid w:val="00776E97"/>
    <w:rsid w:val="00780F86"/>
    <w:rsid w:val="007912AD"/>
    <w:rsid w:val="007A0794"/>
    <w:rsid w:val="007B0824"/>
    <w:rsid w:val="007B5D3C"/>
    <w:rsid w:val="007C174B"/>
    <w:rsid w:val="007F22F9"/>
    <w:rsid w:val="00821B72"/>
    <w:rsid w:val="00823EF2"/>
    <w:rsid w:val="00827025"/>
    <w:rsid w:val="008303B8"/>
    <w:rsid w:val="00833DCE"/>
    <w:rsid w:val="00847259"/>
    <w:rsid w:val="008478F6"/>
    <w:rsid w:val="00854534"/>
    <w:rsid w:val="0086688B"/>
    <w:rsid w:val="00867DB9"/>
    <w:rsid w:val="00871D34"/>
    <w:rsid w:val="00874D45"/>
    <w:rsid w:val="0087724F"/>
    <w:rsid w:val="008A6003"/>
    <w:rsid w:val="008B270C"/>
    <w:rsid w:val="008B5078"/>
    <w:rsid w:val="008C1AFC"/>
    <w:rsid w:val="008C3D3D"/>
    <w:rsid w:val="008D4131"/>
    <w:rsid w:val="008F1932"/>
    <w:rsid w:val="008F55A0"/>
    <w:rsid w:val="00921062"/>
    <w:rsid w:val="009276F2"/>
    <w:rsid w:val="00942BEE"/>
    <w:rsid w:val="00947565"/>
    <w:rsid w:val="00951805"/>
    <w:rsid w:val="009722BC"/>
    <w:rsid w:val="009727A3"/>
    <w:rsid w:val="00984E64"/>
    <w:rsid w:val="00987774"/>
    <w:rsid w:val="009A11E8"/>
    <w:rsid w:val="009B443B"/>
    <w:rsid w:val="009D1EA3"/>
    <w:rsid w:val="009D623C"/>
    <w:rsid w:val="009D73A4"/>
    <w:rsid w:val="009F5220"/>
    <w:rsid w:val="009F65B8"/>
    <w:rsid w:val="009F6BAB"/>
    <w:rsid w:val="00A15234"/>
    <w:rsid w:val="00A201AB"/>
    <w:rsid w:val="00A31C8B"/>
    <w:rsid w:val="00A509FA"/>
    <w:rsid w:val="00A57B5D"/>
    <w:rsid w:val="00A732B1"/>
    <w:rsid w:val="00A845DC"/>
    <w:rsid w:val="00A927E0"/>
    <w:rsid w:val="00A92942"/>
    <w:rsid w:val="00AD21C3"/>
    <w:rsid w:val="00AD5231"/>
    <w:rsid w:val="00AD5F07"/>
    <w:rsid w:val="00AE328D"/>
    <w:rsid w:val="00AE6DDE"/>
    <w:rsid w:val="00AE7D4D"/>
    <w:rsid w:val="00B0536A"/>
    <w:rsid w:val="00B05FFD"/>
    <w:rsid w:val="00B11073"/>
    <w:rsid w:val="00B20178"/>
    <w:rsid w:val="00B26AA2"/>
    <w:rsid w:val="00B3524D"/>
    <w:rsid w:val="00B40F69"/>
    <w:rsid w:val="00B46616"/>
    <w:rsid w:val="00B7040A"/>
    <w:rsid w:val="00B83391"/>
    <w:rsid w:val="00B87C01"/>
    <w:rsid w:val="00B95326"/>
    <w:rsid w:val="00BC1E5E"/>
    <w:rsid w:val="00BD4196"/>
    <w:rsid w:val="00BD7B07"/>
    <w:rsid w:val="00BE6840"/>
    <w:rsid w:val="00BF22CA"/>
    <w:rsid w:val="00BF23BB"/>
    <w:rsid w:val="00C26032"/>
    <w:rsid w:val="00C345E1"/>
    <w:rsid w:val="00C43BFD"/>
    <w:rsid w:val="00C53074"/>
    <w:rsid w:val="00C612EB"/>
    <w:rsid w:val="00C750F1"/>
    <w:rsid w:val="00CB6E35"/>
    <w:rsid w:val="00CC7624"/>
    <w:rsid w:val="00CD3634"/>
    <w:rsid w:val="00CD58CE"/>
    <w:rsid w:val="00CD59AC"/>
    <w:rsid w:val="00CE1A46"/>
    <w:rsid w:val="00CF0ECC"/>
    <w:rsid w:val="00CF6F27"/>
    <w:rsid w:val="00D20757"/>
    <w:rsid w:val="00D22636"/>
    <w:rsid w:val="00D40FD9"/>
    <w:rsid w:val="00D45631"/>
    <w:rsid w:val="00D53769"/>
    <w:rsid w:val="00D77C2A"/>
    <w:rsid w:val="00D85C13"/>
    <w:rsid w:val="00D87AF7"/>
    <w:rsid w:val="00D9111A"/>
    <w:rsid w:val="00D91BE3"/>
    <w:rsid w:val="00D94AFC"/>
    <w:rsid w:val="00DB333F"/>
    <w:rsid w:val="00DB70AE"/>
    <w:rsid w:val="00DD1BBC"/>
    <w:rsid w:val="00DD5071"/>
    <w:rsid w:val="00DD5C39"/>
    <w:rsid w:val="00DE7DB7"/>
    <w:rsid w:val="00DF09E9"/>
    <w:rsid w:val="00E00973"/>
    <w:rsid w:val="00E00A0A"/>
    <w:rsid w:val="00E030DE"/>
    <w:rsid w:val="00E066DE"/>
    <w:rsid w:val="00E07F57"/>
    <w:rsid w:val="00E30683"/>
    <w:rsid w:val="00E33576"/>
    <w:rsid w:val="00E453D8"/>
    <w:rsid w:val="00E50BCE"/>
    <w:rsid w:val="00E5362F"/>
    <w:rsid w:val="00E5617C"/>
    <w:rsid w:val="00E574BF"/>
    <w:rsid w:val="00E60B7B"/>
    <w:rsid w:val="00E61292"/>
    <w:rsid w:val="00E64D18"/>
    <w:rsid w:val="00E67616"/>
    <w:rsid w:val="00E745EC"/>
    <w:rsid w:val="00E77C4D"/>
    <w:rsid w:val="00E81D01"/>
    <w:rsid w:val="00E845A5"/>
    <w:rsid w:val="00EA78FF"/>
    <w:rsid w:val="00EE45D8"/>
    <w:rsid w:val="00F224C0"/>
    <w:rsid w:val="00F22EDA"/>
    <w:rsid w:val="00F633CD"/>
    <w:rsid w:val="00F74FA7"/>
    <w:rsid w:val="00FB5626"/>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4ED8AC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3335</Words>
  <Characters>16269</Characters>
  <Application>Microsoft Office Word</Application>
  <DocSecurity>0</DocSecurity>
  <Lines>135</Lines>
  <Paragraphs>39</Paragraphs>
  <ScaleCrop>false</ScaleCrop>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2018-06-15T16:40:00Z</dcterms:created>
  <dcterms:modified xsi:type="dcterms:W3CDTF">2018-06-15T16:40:00Z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