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1F24" w:rsidRPr="00B2395A" w:rsidRDefault="00EB091C" w:rsidP="00B2395A">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F31F24" w:rsidRDefault="00F31F24">
      <w:pPr>
        <w:tabs>
          <w:tab w:val="right" w:pos="9639"/>
        </w:tabs>
        <w:rPr>
          <w:rFonts w:ascii="Book Antiqua" w:hAnsi="Book Antiqua" w:cs="Arial"/>
          <w:b/>
        </w:rPr>
      </w:pPr>
      <w:r>
        <w:rPr>
          <w:rFonts w:ascii="Book Antiqua" w:hAnsi="Book Antiqua" w:cs="Arial"/>
          <w:b/>
        </w:rPr>
        <w:t>Upper Tribunal</w:t>
      </w:r>
    </w:p>
    <w:p w:rsidR="00F31F24" w:rsidRPr="000D5D68" w:rsidRDefault="00F31F24">
      <w:pPr>
        <w:tabs>
          <w:tab w:val="right" w:pos="9639"/>
        </w:tabs>
        <w:rPr>
          <w:rFonts w:ascii="Book Antiqua" w:hAnsi="Book Antiqua" w:cs="Arial"/>
          <w:b/>
        </w:rPr>
      </w:pPr>
      <w:r>
        <w:rPr>
          <w:rFonts w:ascii="Book Antiqua" w:hAnsi="Book Antiqua" w:cs="Arial"/>
          <w:b/>
        </w:rPr>
        <w:t>(</w:t>
      </w:r>
      <w:r w:rsidR="000D5D68">
        <w:rPr>
          <w:rFonts w:ascii="Book Antiqua" w:hAnsi="Book Antiqua" w:cs="Arial"/>
          <w:b/>
        </w:rPr>
        <w:t xml:space="preserve">Immigration and Asylum </w:t>
      </w:r>
      <w:proofErr w:type="gramStart"/>
      <w:r w:rsidR="000D5D68">
        <w:rPr>
          <w:rFonts w:ascii="Book Antiqua" w:hAnsi="Book Antiqua" w:cs="Arial"/>
          <w:b/>
        </w:rPr>
        <w:t xml:space="preserve">Chamber)   </w:t>
      </w:r>
      <w:proofErr w:type="gramEnd"/>
      <w:r w:rsidR="000D5D68">
        <w:rPr>
          <w:rFonts w:ascii="Book Antiqua" w:hAnsi="Book Antiqua" w:cs="Arial"/>
          <w:b/>
        </w:rPr>
        <w:t xml:space="preserve">                     </w:t>
      </w:r>
      <w:r w:rsidRPr="000D5D68">
        <w:rPr>
          <w:rFonts w:ascii="Book Antiqua" w:hAnsi="Book Antiqua" w:cs="Arial"/>
          <w:b/>
        </w:rPr>
        <w:t>Appeal Number: HU/11492/2016</w:t>
      </w:r>
    </w:p>
    <w:p w:rsidR="00F31F24" w:rsidRPr="000D5D68" w:rsidRDefault="00F31F24">
      <w:pPr>
        <w:jc w:val="center"/>
        <w:rPr>
          <w:rFonts w:ascii="Book Antiqua" w:hAnsi="Book Antiqua" w:cs="Arial"/>
          <w:b/>
        </w:rPr>
      </w:pPr>
    </w:p>
    <w:p w:rsidR="00F31F24" w:rsidRDefault="00F31F24">
      <w:pPr>
        <w:jc w:val="center"/>
        <w:rPr>
          <w:rFonts w:ascii="Book Antiqua" w:hAnsi="Book Antiqua" w:cs="Arial"/>
          <w:b/>
          <w:u w:val="single"/>
        </w:rPr>
      </w:pPr>
      <w:r>
        <w:rPr>
          <w:rFonts w:ascii="Book Antiqua" w:hAnsi="Book Antiqua" w:cs="Arial"/>
          <w:b/>
          <w:u w:val="single"/>
        </w:rPr>
        <w:t>THE IMMIGRATION ACTS</w:t>
      </w:r>
    </w:p>
    <w:p w:rsidR="00F31F24" w:rsidRDefault="00F31F24">
      <w:pPr>
        <w:jc w:val="center"/>
        <w:rPr>
          <w:rFonts w:ascii="Book Antiqua" w:hAnsi="Book Antiqua" w:cs="Arial"/>
          <w:b/>
          <w:u w:val="single"/>
        </w:rPr>
      </w:pPr>
    </w:p>
    <w:tbl>
      <w:tblPr>
        <w:tblW w:w="9854" w:type="dxa"/>
        <w:tblLayout w:type="fixed"/>
        <w:tblLook w:val="0000" w:firstRow="0" w:lastRow="0" w:firstColumn="0" w:lastColumn="0" w:noHBand="0" w:noVBand="0"/>
      </w:tblPr>
      <w:tblGrid>
        <w:gridCol w:w="5245"/>
        <w:gridCol w:w="4609"/>
      </w:tblGrid>
      <w:tr w:rsidR="00F31F24" w:rsidTr="000D5D68">
        <w:tc>
          <w:tcPr>
            <w:tcW w:w="5245" w:type="dxa"/>
          </w:tcPr>
          <w:p w:rsidR="00F31F24" w:rsidRDefault="00F31F24">
            <w:pPr>
              <w:jc w:val="both"/>
              <w:rPr>
                <w:rFonts w:ascii="Book Antiqua" w:hAnsi="Book Antiqua" w:cs="Arial"/>
                <w:b/>
              </w:rPr>
            </w:pPr>
            <w:r>
              <w:rPr>
                <w:rFonts w:ascii="Book Antiqua" w:hAnsi="Book Antiqua" w:cs="Arial"/>
                <w:b/>
              </w:rPr>
              <w:t>Heard at Field House</w:t>
            </w:r>
          </w:p>
        </w:tc>
        <w:tc>
          <w:tcPr>
            <w:tcW w:w="4609" w:type="dxa"/>
          </w:tcPr>
          <w:p w:rsidR="00F31F24" w:rsidRDefault="000D5D68" w:rsidP="000D5D68">
            <w:pPr>
              <w:rPr>
                <w:rFonts w:ascii="Book Antiqua" w:hAnsi="Book Antiqua" w:cs="Arial"/>
                <w:b/>
              </w:rPr>
            </w:pPr>
            <w:r>
              <w:rPr>
                <w:rFonts w:ascii="Book Antiqua" w:hAnsi="Book Antiqua" w:cs="Arial"/>
                <w:b/>
              </w:rPr>
              <w:t xml:space="preserve"> </w:t>
            </w:r>
            <w:r w:rsidR="00F31F24">
              <w:rPr>
                <w:rFonts w:ascii="Book Antiqua" w:hAnsi="Book Antiqua" w:cs="Arial"/>
                <w:b/>
              </w:rPr>
              <w:t>Decision &amp; Reasons Promulgated</w:t>
            </w:r>
          </w:p>
        </w:tc>
      </w:tr>
      <w:tr w:rsidR="00F31F24" w:rsidTr="000D5D68">
        <w:tc>
          <w:tcPr>
            <w:tcW w:w="5245" w:type="dxa"/>
          </w:tcPr>
          <w:p w:rsidR="00F31F24" w:rsidRDefault="00F31F24">
            <w:pPr>
              <w:jc w:val="both"/>
              <w:rPr>
                <w:rFonts w:ascii="Book Antiqua" w:hAnsi="Book Antiqua" w:cs="Arial"/>
                <w:b/>
              </w:rPr>
            </w:pPr>
            <w:r>
              <w:rPr>
                <w:rFonts w:ascii="Book Antiqua" w:hAnsi="Book Antiqua" w:cs="Arial"/>
                <w:b/>
              </w:rPr>
              <w:t>On 15 June 2018</w:t>
            </w:r>
          </w:p>
        </w:tc>
        <w:tc>
          <w:tcPr>
            <w:tcW w:w="4609" w:type="dxa"/>
          </w:tcPr>
          <w:p w:rsidR="00F31F24" w:rsidRDefault="000D5D68">
            <w:pPr>
              <w:jc w:val="both"/>
              <w:rPr>
                <w:rFonts w:ascii="Book Antiqua" w:hAnsi="Book Antiqua" w:cs="Arial"/>
                <w:b/>
              </w:rPr>
            </w:pPr>
            <w:r>
              <w:rPr>
                <w:rFonts w:ascii="Book Antiqua" w:hAnsi="Book Antiqua" w:cs="Arial"/>
                <w:b/>
              </w:rPr>
              <w:t xml:space="preserve"> </w:t>
            </w:r>
            <w:r w:rsidR="00EB091C">
              <w:rPr>
                <w:rFonts w:ascii="Book Antiqua" w:hAnsi="Book Antiqua" w:cs="Arial"/>
                <w:b/>
              </w:rPr>
              <w:t>On 27 June 2018</w:t>
            </w:r>
          </w:p>
        </w:tc>
      </w:tr>
      <w:tr w:rsidR="00F31F24" w:rsidTr="000D5D68">
        <w:tc>
          <w:tcPr>
            <w:tcW w:w="5245" w:type="dxa"/>
          </w:tcPr>
          <w:p w:rsidR="00F31F24" w:rsidRDefault="00F31F24">
            <w:pPr>
              <w:jc w:val="both"/>
              <w:rPr>
                <w:rFonts w:ascii="Book Antiqua" w:hAnsi="Book Antiqua" w:cs="Arial"/>
                <w:b/>
              </w:rPr>
            </w:pPr>
          </w:p>
        </w:tc>
        <w:tc>
          <w:tcPr>
            <w:tcW w:w="4609" w:type="dxa"/>
          </w:tcPr>
          <w:p w:rsidR="00F31F24" w:rsidRDefault="00F31F24">
            <w:pPr>
              <w:jc w:val="both"/>
              <w:rPr>
                <w:rFonts w:ascii="Book Antiqua" w:hAnsi="Book Antiqua" w:cs="Arial"/>
                <w:b/>
              </w:rPr>
            </w:pPr>
          </w:p>
        </w:tc>
      </w:tr>
    </w:tbl>
    <w:p w:rsidR="00F31F24" w:rsidRDefault="00F31F24">
      <w:pPr>
        <w:jc w:val="center"/>
        <w:rPr>
          <w:rFonts w:ascii="Book Antiqua" w:hAnsi="Book Antiqua" w:cs="Arial"/>
        </w:rPr>
      </w:pPr>
    </w:p>
    <w:p w:rsidR="00F31F24" w:rsidRDefault="00F31F24">
      <w:pPr>
        <w:jc w:val="center"/>
        <w:rPr>
          <w:rFonts w:ascii="Book Antiqua" w:hAnsi="Book Antiqua" w:cs="Arial"/>
        </w:rPr>
      </w:pPr>
    </w:p>
    <w:p w:rsidR="00F31F24" w:rsidRDefault="00F31F24">
      <w:pPr>
        <w:jc w:val="center"/>
        <w:rPr>
          <w:rFonts w:ascii="Book Antiqua" w:hAnsi="Book Antiqua" w:cs="Arial"/>
          <w:b/>
        </w:rPr>
      </w:pPr>
      <w:r>
        <w:rPr>
          <w:rFonts w:ascii="Book Antiqua" w:hAnsi="Book Antiqua" w:cs="Arial"/>
          <w:b/>
        </w:rPr>
        <w:t>Before</w:t>
      </w:r>
    </w:p>
    <w:p w:rsidR="00F31F24" w:rsidRDefault="00F31F24">
      <w:pPr>
        <w:jc w:val="center"/>
        <w:rPr>
          <w:rFonts w:ascii="Book Antiqua" w:hAnsi="Book Antiqua" w:cs="Arial"/>
          <w:b/>
        </w:rPr>
      </w:pPr>
    </w:p>
    <w:p w:rsidR="00F31F24" w:rsidRDefault="00F31F24">
      <w:pPr>
        <w:jc w:val="center"/>
        <w:rPr>
          <w:rFonts w:ascii="Book Antiqua" w:hAnsi="Book Antiqua" w:cs="Arial"/>
          <w:b/>
        </w:rPr>
      </w:pPr>
      <w:r>
        <w:rPr>
          <w:rFonts w:ascii="Book Antiqua" w:hAnsi="Book Antiqua" w:cs="Arial"/>
          <w:b/>
        </w:rPr>
        <w:t>DEPUTY UPPER TRIBUNAL JUDGE MONSON</w:t>
      </w:r>
    </w:p>
    <w:p w:rsidR="00F31F24" w:rsidRDefault="00F31F24">
      <w:pPr>
        <w:jc w:val="center"/>
        <w:rPr>
          <w:rFonts w:ascii="Book Antiqua" w:hAnsi="Book Antiqua" w:cs="Arial"/>
          <w:b/>
        </w:rPr>
      </w:pPr>
    </w:p>
    <w:p w:rsidR="00F31F24" w:rsidRDefault="00F31F24">
      <w:pPr>
        <w:jc w:val="center"/>
        <w:rPr>
          <w:rFonts w:ascii="Book Antiqua" w:hAnsi="Book Antiqua" w:cs="Arial"/>
          <w:b/>
        </w:rPr>
      </w:pPr>
      <w:r>
        <w:rPr>
          <w:rFonts w:ascii="Book Antiqua" w:hAnsi="Book Antiqua" w:cs="Arial"/>
          <w:b/>
        </w:rPr>
        <w:t>Between</w:t>
      </w:r>
    </w:p>
    <w:p w:rsidR="00F31F24" w:rsidRDefault="00F31F24">
      <w:pPr>
        <w:jc w:val="center"/>
        <w:rPr>
          <w:rFonts w:ascii="Book Antiqua" w:hAnsi="Book Antiqua" w:cs="Arial"/>
          <w:b/>
        </w:rPr>
      </w:pPr>
    </w:p>
    <w:p w:rsidR="00F31F24" w:rsidRDefault="00B2395A">
      <w:pPr>
        <w:jc w:val="center"/>
        <w:rPr>
          <w:rFonts w:ascii="Book Antiqua" w:hAnsi="Book Antiqua" w:cs="Arial"/>
          <w:b/>
        </w:rPr>
      </w:pPr>
      <w:r>
        <w:rPr>
          <w:rFonts w:ascii="Book Antiqua" w:hAnsi="Book Antiqua" w:cs="Arial"/>
          <w:b/>
        </w:rPr>
        <w:t xml:space="preserve">THE </w:t>
      </w:r>
      <w:r w:rsidR="00F31F24">
        <w:rPr>
          <w:rFonts w:ascii="Book Antiqua" w:hAnsi="Book Antiqua" w:cs="Arial"/>
          <w:b/>
        </w:rPr>
        <w:t>SECRETARY OF STATE FOR THE HOME DEPARTMENT</w:t>
      </w:r>
    </w:p>
    <w:p w:rsidR="00F31F24" w:rsidRDefault="00F31F24">
      <w:pPr>
        <w:jc w:val="right"/>
        <w:rPr>
          <w:rFonts w:ascii="Book Antiqua" w:hAnsi="Book Antiqua" w:cs="Arial"/>
          <w:u w:val="single"/>
        </w:rPr>
      </w:pPr>
      <w:r>
        <w:rPr>
          <w:rFonts w:ascii="Book Antiqua" w:hAnsi="Book Antiqua" w:cs="Arial"/>
          <w:u w:val="single"/>
        </w:rPr>
        <w:t>Appellant</w:t>
      </w:r>
    </w:p>
    <w:p w:rsidR="00F31F24" w:rsidRDefault="00F31F24">
      <w:pPr>
        <w:jc w:val="center"/>
        <w:rPr>
          <w:rFonts w:ascii="Book Antiqua" w:hAnsi="Book Antiqua" w:cs="Arial"/>
          <w:b/>
        </w:rPr>
      </w:pPr>
    </w:p>
    <w:p w:rsidR="00F31F24" w:rsidRDefault="00F31F24">
      <w:pPr>
        <w:jc w:val="center"/>
        <w:rPr>
          <w:rFonts w:ascii="Book Antiqua" w:hAnsi="Book Antiqua" w:cs="Arial"/>
          <w:b/>
        </w:rPr>
      </w:pPr>
      <w:r>
        <w:rPr>
          <w:rFonts w:ascii="Book Antiqua" w:hAnsi="Book Antiqua" w:cs="Arial"/>
          <w:b/>
        </w:rPr>
        <w:t>and</w:t>
      </w:r>
    </w:p>
    <w:p w:rsidR="00F31F24" w:rsidRDefault="00F31F24">
      <w:pPr>
        <w:jc w:val="center"/>
        <w:rPr>
          <w:rFonts w:ascii="Book Antiqua" w:hAnsi="Book Antiqua" w:cs="Arial"/>
          <w:b/>
        </w:rPr>
      </w:pPr>
    </w:p>
    <w:p w:rsidR="00F31F24" w:rsidRDefault="00F31F24">
      <w:pPr>
        <w:jc w:val="center"/>
        <w:rPr>
          <w:rFonts w:ascii="Book Antiqua" w:hAnsi="Book Antiqua" w:cs="Arial"/>
          <w:b/>
          <w:caps/>
        </w:rPr>
      </w:pPr>
      <w:r>
        <w:rPr>
          <w:rFonts w:ascii="Book Antiqua" w:hAnsi="Book Antiqua" w:cs="Arial"/>
          <w:b/>
        </w:rPr>
        <w:t>M</w:t>
      </w:r>
      <w:r>
        <w:rPr>
          <w:rFonts w:ascii="Book Antiqua" w:hAnsi="Book Antiqua" w:cs="Arial"/>
          <w:b/>
          <w:caps/>
        </w:rPr>
        <w:t>d ruhul amin</w:t>
      </w:r>
    </w:p>
    <w:p w:rsidR="00F31F24" w:rsidRPr="000D5D68" w:rsidRDefault="00F31F24">
      <w:pPr>
        <w:jc w:val="center"/>
        <w:rPr>
          <w:rFonts w:ascii="Book Antiqua" w:hAnsi="Book Antiqua" w:cs="Arial"/>
          <w:caps/>
        </w:rPr>
      </w:pPr>
      <w:r w:rsidRPr="000D5D68">
        <w:rPr>
          <w:rFonts w:ascii="Book Antiqua" w:hAnsi="Book Antiqua" w:cs="Arial"/>
          <w:caps/>
        </w:rPr>
        <w:t>(anonymity direction NOT MADE)</w:t>
      </w:r>
    </w:p>
    <w:p w:rsidR="00F31F24" w:rsidRDefault="00F31F24">
      <w:pPr>
        <w:jc w:val="right"/>
        <w:rPr>
          <w:rFonts w:ascii="Book Antiqua" w:hAnsi="Book Antiqua" w:cs="Arial"/>
          <w:u w:val="single"/>
        </w:rPr>
      </w:pPr>
      <w:r>
        <w:rPr>
          <w:rFonts w:ascii="Book Antiqua" w:hAnsi="Book Antiqua" w:cs="Arial"/>
          <w:u w:val="single"/>
        </w:rPr>
        <w:t>Respondent/Claimant</w:t>
      </w:r>
    </w:p>
    <w:p w:rsidR="00F31F24" w:rsidRDefault="00F31F24">
      <w:pPr>
        <w:rPr>
          <w:rFonts w:ascii="Book Antiqua" w:hAnsi="Book Antiqua" w:cs="Arial"/>
          <w:u w:val="single"/>
        </w:rPr>
      </w:pPr>
    </w:p>
    <w:p w:rsidR="00F31F24" w:rsidRDefault="00F31F24">
      <w:pPr>
        <w:rPr>
          <w:rFonts w:ascii="Book Antiqua" w:hAnsi="Book Antiqua" w:cs="Arial"/>
        </w:rPr>
      </w:pPr>
      <w:r>
        <w:rPr>
          <w:rFonts w:ascii="Book Antiqua" w:hAnsi="Book Antiqua" w:cs="Arial"/>
          <w:b/>
          <w:u w:val="single"/>
        </w:rPr>
        <w:t>Representation</w:t>
      </w:r>
      <w:r>
        <w:rPr>
          <w:rFonts w:ascii="Book Antiqua" w:hAnsi="Book Antiqua" w:cs="Arial"/>
          <w:b/>
        </w:rPr>
        <w:t>:</w:t>
      </w:r>
    </w:p>
    <w:p w:rsidR="00F31F24" w:rsidRDefault="00F31F24">
      <w:pPr>
        <w:rPr>
          <w:rFonts w:ascii="Book Antiqua" w:hAnsi="Book Antiqua" w:cs="Arial"/>
        </w:rPr>
      </w:pPr>
    </w:p>
    <w:p w:rsidR="00F31F24" w:rsidRDefault="00F31F24">
      <w:pPr>
        <w:tabs>
          <w:tab w:val="left" w:pos="2520"/>
        </w:tabs>
        <w:rPr>
          <w:rFonts w:ascii="Book Antiqua" w:hAnsi="Book Antiqua" w:cs="Arial"/>
        </w:rPr>
      </w:pPr>
      <w:r>
        <w:rPr>
          <w:rFonts w:ascii="Book Antiqua" w:hAnsi="Book Antiqua" w:cs="Arial"/>
        </w:rPr>
        <w:t>For the Appellant:</w:t>
      </w:r>
      <w:r>
        <w:rPr>
          <w:rFonts w:ascii="Book Antiqua" w:hAnsi="Book Antiqua" w:cs="Arial"/>
        </w:rPr>
        <w:tab/>
        <w:t>Ms J Isherwood, Senior Home Office Presenting Officer</w:t>
      </w:r>
    </w:p>
    <w:p w:rsidR="00F31F24" w:rsidRDefault="00F31F24">
      <w:pPr>
        <w:tabs>
          <w:tab w:val="left" w:pos="2520"/>
        </w:tabs>
        <w:rPr>
          <w:rFonts w:ascii="Book Antiqua" w:hAnsi="Book Antiqua" w:cs="Arial"/>
        </w:rPr>
      </w:pPr>
      <w:r>
        <w:rPr>
          <w:rFonts w:ascii="Book Antiqua" w:hAnsi="Book Antiqua" w:cs="Arial"/>
        </w:rPr>
        <w:t>For the Respondent/</w:t>
      </w:r>
    </w:p>
    <w:p w:rsidR="00F31F24" w:rsidRDefault="00F31F24">
      <w:pPr>
        <w:tabs>
          <w:tab w:val="left" w:pos="2520"/>
        </w:tabs>
        <w:rPr>
          <w:rFonts w:ascii="Book Antiqua" w:hAnsi="Book Antiqua" w:cs="Arial"/>
        </w:rPr>
      </w:pPr>
      <w:r>
        <w:rPr>
          <w:rFonts w:ascii="Book Antiqua" w:hAnsi="Book Antiqua" w:cs="Arial"/>
        </w:rPr>
        <w:t>Claimant:</w:t>
      </w:r>
      <w:r>
        <w:rPr>
          <w:rFonts w:ascii="Book Antiqua" w:hAnsi="Book Antiqua" w:cs="Arial"/>
        </w:rPr>
        <w:tab/>
        <w:t>Mr Zane Malik, Counsel, instructed by AWS Solicitors</w:t>
      </w:r>
    </w:p>
    <w:p w:rsidR="00F31F24" w:rsidRDefault="00F31F24">
      <w:pPr>
        <w:tabs>
          <w:tab w:val="left" w:pos="2520"/>
        </w:tabs>
        <w:jc w:val="center"/>
        <w:rPr>
          <w:rFonts w:ascii="Book Antiqua" w:hAnsi="Book Antiqua" w:cs="Arial"/>
        </w:rPr>
      </w:pPr>
    </w:p>
    <w:p w:rsidR="00F31F24" w:rsidRDefault="00F31F24">
      <w:pPr>
        <w:tabs>
          <w:tab w:val="left" w:pos="2520"/>
        </w:tabs>
        <w:jc w:val="center"/>
        <w:rPr>
          <w:rFonts w:ascii="Book Antiqua" w:hAnsi="Book Antiqua" w:cs="Arial"/>
        </w:rPr>
      </w:pPr>
    </w:p>
    <w:p w:rsidR="00F31F24" w:rsidRDefault="00F31F24">
      <w:pPr>
        <w:tabs>
          <w:tab w:val="left" w:pos="2520"/>
        </w:tabs>
        <w:jc w:val="center"/>
        <w:rPr>
          <w:rFonts w:ascii="Book Antiqua" w:hAnsi="Book Antiqua" w:cs="Arial"/>
        </w:rPr>
      </w:pPr>
      <w:r>
        <w:rPr>
          <w:rFonts w:ascii="Book Antiqua" w:hAnsi="Book Antiqua" w:cs="Arial"/>
          <w:b/>
          <w:u w:val="single"/>
        </w:rPr>
        <w:t>DECISION AND REASONS</w:t>
      </w:r>
    </w:p>
    <w:p w:rsidR="00F31F24" w:rsidRDefault="00F31F24">
      <w:pPr>
        <w:tabs>
          <w:tab w:val="left" w:pos="2520"/>
        </w:tabs>
        <w:jc w:val="both"/>
        <w:rPr>
          <w:rFonts w:ascii="Book Antiqua" w:hAnsi="Book Antiqua" w:cs="Arial"/>
        </w:rPr>
      </w:pPr>
    </w:p>
    <w:p w:rsidR="00B2395A" w:rsidRDefault="00F31F24">
      <w:pPr>
        <w:numPr>
          <w:ilvl w:val="0"/>
          <w:numId w:val="1"/>
        </w:numPr>
        <w:spacing w:before="240"/>
        <w:jc w:val="both"/>
        <w:rPr>
          <w:rFonts w:ascii="Book Antiqua" w:hAnsi="Book Antiqua" w:cs="Arial"/>
        </w:rPr>
      </w:pPr>
      <w:r>
        <w:rPr>
          <w:rFonts w:ascii="Book Antiqua" w:hAnsi="Book Antiqua" w:cs="Arial"/>
        </w:rPr>
        <w:t xml:space="preserve">The Secretary of State appeals from the decision of the First-tier Tribunal (Judge </w:t>
      </w:r>
      <w:proofErr w:type="spellStart"/>
      <w:r>
        <w:rPr>
          <w:rFonts w:ascii="Book Antiqua" w:hAnsi="Book Antiqua" w:cs="Arial"/>
        </w:rPr>
        <w:t>Hembrough</w:t>
      </w:r>
      <w:proofErr w:type="spellEnd"/>
      <w:r>
        <w:rPr>
          <w:rFonts w:ascii="Book Antiqua" w:hAnsi="Book Antiqua" w:cs="Arial"/>
        </w:rPr>
        <w:t xml:space="preserve"> sitting at Hatton Cross on 26 September 2017) allowing on human rights grounds the claimant’s appeal against the decision made on 22 April 2016 to refuse to gran</w:t>
      </w:r>
      <w:r w:rsidR="00B2395A">
        <w:rPr>
          <w:rFonts w:ascii="Book Antiqua" w:hAnsi="Book Antiqua" w:cs="Arial"/>
        </w:rPr>
        <w:t xml:space="preserve">t him ILR on the grounds of long </w:t>
      </w:r>
      <w:r>
        <w:rPr>
          <w:rFonts w:ascii="Book Antiqua" w:hAnsi="Book Antiqua" w:cs="Arial"/>
        </w:rPr>
        <w:t>residence.  The Secretary of State’s reason for refusing the application was</w:t>
      </w:r>
      <w:r w:rsidR="00B2395A">
        <w:rPr>
          <w:rFonts w:ascii="Book Antiqua" w:hAnsi="Book Antiqua" w:cs="Arial"/>
        </w:rPr>
        <w:t xml:space="preserve"> that she was satisfied that the claimant’s</w:t>
      </w:r>
      <w:r>
        <w:rPr>
          <w:rFonts w:ascii="Book Antiqua" w:hAnsi="Book Antiqua" w:cs="Arial"/>
        </w:rPr>
        <w:t xml:space="preserve"> presence in the UK was not conducive to the pub</w:t>
      </w:r>
      <w:r w:rsidR="00B2395A">
        <w:rPr>
          <w:rFonts w:ascii="Book Antiqua" w:hAnsi="Book Antiqua" w:cs="Arial"/>
        </w:rPr>
        <w:t>lic good because of his past mis</w:t>
      </w:r>
      <w:r>
        <w:rPr>
          <w:rFonts w:ascii="Book Antiqua" w:hAnsi="Book Antiqua" w:cs="Arial"/>
        </w:rPr>
        <w:t>conduct</w:t>
      </w:r>
      <w:r w:rsidR="00B2395A">
        <w:rPr>
          <w:rFonts w:ascii="Book Antiqua" w:hAnsi="Book Antiqua" w:cs="Arial"/>
        </w:rPr>
        <w:t xml:space="preserve">. </w:t>
      </w:r>
      <w:r>
        <w:rPr>
          <w:rFonts w:ascii="Book Antiqua" w:hAnsi="Book Antiqua" w:cs="Arial"/>
        </w:rPr>
        <w:t xml:space="preserve">The alleged </w:t>
      </w:r>
      <w:r w:rsidR="00B2395A">
        <w:rPr>
          <w:rFonts w:ascii="Book Antiqua" w:hAnsi="Book Antiqua" w:cs="Arial"/>
        </w:rPr>
        <w:t xml:space="preserve">misconduct </w:t>
      </w:r>
      <w:r>
        <w:rPr>
          <w:rFonts w:ascii="Book Antiqua" w:hAnsi="Book Antiqua" w:cs="Arial"/>
        </w:rPr>
        <w:t xml:space="preserve">was fraudulently obtaining an English Language certificate </w:t>
      </w:r>
      <w:r w:rsidR="00B2395A">
        <w:rPr>
          <w:rFonts w:ascii="Book Antiqua" w:hAnsi="Book Antiqua" w:cs="Arial"/>
        </w:rPr>
        <w:t xml:space="preserve">from ETS </w:t>
      </w:r>
      <w:r>
        <w:rPr>
          <w:rFonts w:ascii="Book Antiqua" w:hAnsi="Book Antiqua" w:cs="Arial"/>
        </w:rPr>
        <w:t xml:space="preserve">on two occasions </w:t>
      </w:r>
      <w:proofErr w:type="gramStart"/>
      <w:r>
        <w:rPr>
          <w:rFonts w:ascii="Book Antiqua" w:hAnsi="Book Antiqua" w:cs="Arial"/>
        </w:rPr>
        <w:t>by the use of</w:t>
      </w:r>
      <w:proofErr w:type="gramEnd"/>
      <w:r>
        <w:rPr>
          <w:rFonts w:ascii="Book Antiqua" w:hAnsi="Book Antiqua" w:cs="Arial"/>
        </w:rPr>
        <w:t xml:space="preserve"> a proxy test-taker.  </w:t>
      </w:r>
    </w:p>
    <w:p w:rsidR="00F31F24" w:rsidRDefault="00F31F24">
      <w:pPr>
        <w:spacing w:before="240"/>
        <w:jc w:val="both"/>
        <w:rPr>
          <w:rFonts w:ascii="Book Antiqua" w:hAnsi="Book Antiqua" w:cs="Arial"/>
          <w:b/>
          <w:bCs/>
          <w:u w:val="single"/>
        </w:rPr>
      </w:pPr>
      <w:bookmarkStart w:id="0" w:name="_GoBack"/>
      <w:bookmarkEnd w:id="0"/>
      <w:r>
        <w:rPr>
          <w:rFonts w:ascii="Book Antiqua" w:hAnsi="Book Antiqua" w:cs="Arial"/>
          <w:b/>
          <w:bCs/>
          <w:u w:val="single"/>
        </w:rPr>
        <w:lastRenderedPageBreak/>
        <w:t>The Reasons for Granting Permission to Appeal</w:t>
      </w:r>
    </w:p>
    <w:p w:rsidR="00F31F24" w:rsidRDefault="00F31F24">
      <w:pPr>
        <w:numPr>
          <w:ilvl w:val="0"/>
          <w:numId w:val="1"/>
        </w:numPr>
        <w:spacing w:before="240"/>
        <w:jc w:val="both"/>
        <w:rPr>
          <w:rFonts w:ascii="Book Antiqua" w:hAnsi="Book Antiqua" w:cs="Arial"/>
        </w:rPr>
      </w:pPr>
      <w:r>
        <w:rPr>
          <w:rFonts w:ascii="Book Antiqua" w:hAnsi="Book Antiqua" w:cs="Arial"/>
        </w:rPr>
        <w:t>On 25 April 2018 Judge Juliet Grant-Hutchison granted permission to appeal for the following reasons: “</w:t>
      </w:r>
      <w:r w:rsidR="00B2395A">
        <w:rPr>
          <w:rFonts w:ascii="Book Antiqua" w:hAnsi="Book Antiqua" w:cs="Arial"/>
          <w:i/>
          <w:iCs/>
        </w:rPr>
        <w:t>It is arguable</w:t>
      </w:r>
      <w:r>
        <w:rPr>
          <w:rFonts w:ascii="Book Antiqua" w:hAnsi="Book Antiqua" w:cs="Arial"/>
          <w:i/>
          <w:iCs/>
        </w:rPr>
        <w:t xml:space="preserve"> that the Judge has misdirected himself by </w:t>
      </w:r>
      <w:r w:rsidR="00B2395A">
        <w:rPr>
          <w:rFonts w:ascii="Book Antiqua" w:hAnsi="Book Antiqua" w:cs="Arial"/>
          <w:i/>
          <w:iCs/>
        </w:rPr>
        <w:t>(</w:t>
      </w:r>
      <w:r>
        <w:rPr>
          <w:rFonts w:ascii="Book Antiqua" w:hAnsi="Book Antiqua" w:cs="Arial"/>
          <w:i/>
          <w:iCs/>
        </w:rPr>
        <w:t xml:space="preserve">a) failing to make a clear finding as to whether it was accepted that the respondent had met the initial burden of proof; </w:t>
      </w:r>
      <w:r w:rsidR="00B2395A">
        <w:rPr>
          <w:rFonts w:ascii="Book Antiqua" w:hAnsi="Book Antiqua" w:cs="Arial"/>
          <w:i/>
          <w:iCs/>
        </w:rPr>
        <w:t>(</w:t>
      </w:r>
      <w:r>
        <w:rPr>
          <w:rFonts w:ascii="Book Antiqua" w:hAnsi="Book Antiqua" w:cs="Arial"/>
          <w:i/>
          <w:iCs/>
        </w:rPr>
        <w:t xml:space="preserve">b) by failing to give adequate reasons for accepting the appellant’s innocent explanation; </w:t>
      </w:r>
      <w:r w:rsidR="00B2395A">
        <w:rPr>
          <w:rFonts w:ascii="Book Antiqua" w:hAnsi="Book Antiqua" w:cs="Arial"/>
          <w:i/>
          <w:iCs/>
        </w:rPr>
        <w:t>(</w:t>
      </w:r>
      <w:r>
        <w:rPr>
          <w:rFonts w:ascii="Book Antiqua" w:hAnsi="Book Antiqua" w:cs="Arial"/>
          <w:i/>
          <w:iCs/>
        </w:rPr>
        <w:t>c) although the ETS certificates were not relied upon in the appellant’s applications, by failing to consider that there was no requirement in paragra</w:t>
      </w:r>
      <w:r w:rsidR="00B2395A">
        <w:rPr>
          <w:rFonts w:ascii="Book Antiqua" w:hAnsi="Book Antiqua" w:cs="Arial"/>
          <w:i/>
          <w:iCs/>
        </w:rPr>
        <w:t xml:space="preserve">ph 322 of the Immigration Rules … </w:t>
      </w:r>
      <w:r>
        <w:rPr>
          <w:rFonts w:ascii="Book Antiqua" w:hAnsi="Book Antiqua" w:cs="Arial"/>
          <w:i/>
          <w:iCs/>
        </w:rPr>
        <w:t>for the documen</w:t>
      </w:r>
      <w:r w:rsidR="00B2395A">
        <w:rPr>
          <w:rFonts w:ascii="Book Antiqua" w:hAnsi="Book Antiqua" w:cs="Arial"/>
          <w:i/>
          <w:iCs/>
        </w:rPr>
        <w:t>ts to have</w:t>
      </w:r>
      <w:r>
        <w:rPr>
          <w:rFonts w:ascii="Book Antiqua" w:hAnsi="Book Antiqua" w:cs="Arial"/>
          <w:i/>
          <w:iCs/>
        </w:rPr>
        <w:t xml:space="preserve"> been used in this way; and </w:t>
      </w:r>
      <w:r w:rsidR="00B2395A">
        <w:rPr>
          <w:rFonts w:ascii="Book Antiqua" w:hAnsi="Book Antiqua" w:cs="Arial"/>
          <w:i/>
          <w:iCs/>
        </w:rPr>
        <w:t>(</w:t>
      </w:r>
      <w:r>
        <w:rPr>
          <w:rFonts w:ascii="Book Antiqua" w:hAnsi="Book Antiqua" w:cs="Arial"/>
          <w:i/>
          <w:iCs/>
        </w:rPr>
        <w:t>d) by failing to identify compelling circumstances such as to justify consideration of whether there would be a br</w:t>
      </w:r>
      <w:r w:rsidR="00B2395A">
        <w:rPr>
          <w:rFonts w:ascii="Book Antiqua" w:hAnsi="Book Antiqua" w:cs="Arial"/>
          <w:i/>
          <w:iCs/>
        </w:rPr>
        <w:t>each of Article 8.  It is arguable</w:t>
      </w:r>
      <w:r>
        <w:rPr>
          <w:rFonts w:ascii="Book Antiqua" w:hAnsi="Book Antiqua" w:cs="Arial"/>
          <w:i/>
          <w:iCs/>
        </w:rPr>
        <w:t xml:space="preserve"> that the Judge’s proportionality assessment has been coloured by his error in respect of his findings on the appellant’s use of deception.  There was nothing to prevent the appellant returning to Bangladesh </w:t>
      </w:r>
      <w:proofErr w:type="gramStart"/>
      <w:r>
        <w:rPr>
          <w:rFonts w:ascii="Book Antiqua" w:hAnsi="Book Antiqua" w:cs="Arial"/>
          <w:i/>
          <w:iCs/>
        </w:rPr>
        <w:t>in order to</w:t>
      </w:r>
      <w:proofErr w:type="gramEnd"/>
      <w:r>
        <w:rPr>
          <w:rFonts w:ascii="Book Antiqua" w:hAnsi="Book Antiqua" w:cs="Arial"/>
          <w:i/>
          <w:iCs/>
        </w:rPr>
        <w:t xml:space="preserve"> apply for the correct entry clearance.”</w:t>
      </w:r>
    </w:p>
    <w:p w:rsidR="00F31F24" w:rsidRDefault="00F31F24">
      <w:pPr>
        <w:spacing w:before="240"/>
        <w:jc w:val="both"/>
        <w:rPr>
          <w:rFonts w:ascii="Book Antiqua" w:hAnsi="Book Antiqua" w:cs="Arial"/>
          <w:b/>
          <w:bCs/>
          <w:u w:val="single"/>
        </w:rPr>
      </w:pPr>
      <w:r>
        <w:rPr>
          <w:rFonts w:ascii="Book Antiqua" w:hAnsi="Book Antiqua" w:cs="Arial"/>
          <w:b/>
          <w:bCs/>
          <w:u w:val="single"/>
        </w:rPr>
        <w:t>The Hearing in the Upper Tribunal</w:t>
      </w:r>
    </w:p>
    <w:p w:rsidR="00F31F24" w:rsidRDefault="00F31F24">
      <w:pPr>
        <w:numPr>
          <w:ilvl w:val="0"/>
          <w:numId w:val="1"/>
        </w:numPr>
        <w:spacing w:before="240"/>
        <w:jc w:val="both"/>
        <w:rPr>
          <w:rFonts w:ascii="Book Antiqua" w:hAnsi="Book Antiqua" w:cs="Arial"/>
        </w:rPr>
      </w:pPr>
      <w:r>
        <w:rPr>
          <w:rFonts w:ascii="Book Antiqua" w:hAnsi="Book Antiqua" w:cs="Arial"/>
        </w:rPr>
        <w:t xml:space="preserve">At the hearing before me to determine whether an error of law was made out, Ms Isherwood developed the arguments advanced in the grounds of appeal.  </w:t>
      </w:r>
      <w:r w:rsidR="00E902FF">
        <w:rPr>
          <w:rFonts w:ascii="Book Antiqua" w:hAnsi="Book Antiqua" w:cs="Arial"/>
        </w:rPr>
        <w:t xml:space="preserve">In reply, </w:t>
      </w:r>
      <w:r>
        <w:rPr>
          <w:rFonts w:ascii="Book Antiqua" w:hAnsi="Book Antiqua" w:cs="Arial"/>
        </w:rPr>
        <w:t>Mr Malik</w:t>
      </w:r>
      <w:r w:rsidR="00E902FF">
        <w:rPr>
          <w:rFonts w:ascii="Book Antiqua" w:hAnsi="Book Antiqua" w:cs="Arial"/>
        </w:rPr>
        <w:t xml:space="preserve"> </w:t>
      </w:r>
      <w:r>
        <w:rPr>
          <w:rFonts w:ascii="Book Antiqua" w:hAnsi="Book Antiqua" w:cs="Arial"/>
        </w:rPr>
        <w:t>adhered to the Rule 24 response opposing the appeal which had been settled by his instructing solicitors.</w:t>
      </w:r>
    </w:p>
    <w:p w:rsidR="00F31F24" w:rsidRDefault="00F31F24">
      <w:pPr>
        <w:spacing w:before="240"/>
        <w:jc w:val="both"/>
        <w:rPr>
          <w:rFonts w:ascii="Book Antiqua" w:hAnsi="Book Antiqua" w:cs="Arial"/>
          <w:b/>
          <w:bCs/>
          <w:u w:val="single"/>
        </w:rPr>
      </w:pPr>
      <w:r>
        <w:rPr>
          <w:rFonts w:ascii="Book Antiqua" w:hAnsi="Book Antiqua" w:cs="Arial"/>
          <w:b/>
          <w:bCs/>
          <w:u w:val="single"/>
        </w:rPr>
        <w:t>Discussion</w:t>
      </w:r>
    </w:p>
    <w:p w:rsidR="00B41CCE" w:rsidRPr="00B41CCE" w:rsidRDefault="00B41CCE" w:rsidP="00B41CCE">
      <w:pPr>
        <w:numPr>
          <w:ilvl w:val="0"/>
          <w:numId w:val="1"/>
        </w:numPr>
        <w:spacing w:before="240"/>
        <w:jc w:val="both"/>
        <w:rPr>
          <w:rFonts w:ascii="Book Antiqua" w:hAnsi="Book Antiqua" w:cs="Arial"/>
        </w:rPr>
      </w:pPr>
      <w:r>
        <w:rPr>
          <w:rFonts w:ascii="Book Antiqua" w:hAnsi="Book Antiqua" w:cs="Arial"/>
        </w:rPr>
        <w:t xml:space="preserve">The case law of </w:t>
      </w:r>
      <w:r>
        <w:rPr>
          <w:rFonts w:ascii="Book Antiqua" w:hAnsi="Book Antiqua" w:cs="Arial"/>
          <w:b/>
          <w:bCs/>
          <w:u w:val="single"/>
        </w:rPr>
        <w:t xml:space="preserve">SM &amp; </w:t>
      </w:r>
      <w:proofErr w:type="spellStart"/>
      <w:r>
        <w:rPr>
          <w:rFonts w:ascii="Book Antiqua" w:hAnsi="Book Antiqua" w:cs="Arial"/>
          <w:b/>
          <w:bCs/>
          <w:u w:val="single"/>
        </w:rPr>
        <w:t>Qadir</w:t>
      </w:r>
      <w:proofErr w:type="spellEnd"/>
      <w:r>
        <w:rPr>
          <w:rFonts w:ascii="Book Antiqua" w:hAnsi="Book Antiqua" w:cs="Arial"/>
          <w:b/>
          <w:bCs/>
        </w:rPr>
        <w:t xml:space="preserve"> (ETS - evidence - burden of proof) UTIAC 21 April 2016,</w:t>
      </w:r>
      <w:r>
        <w:rPr>
          <w:rFonts w:ascii="Book Antiqua" w:hAnsi="Book Antiqua" w:cs="Arial"/>
        </w:rPr>
        <w:t xml:space="preserve"> </w:t>
      </w:r>
      <w:r>
        <w:rPr>
          <w:rFonts w:ascii="Book Antiqua" w:hAnsi="Book Antiqua" w:cs="Arial"/>
          <w:b/>
          <w:bCs/>
          <w:u w:val="single"/>
        </w:rPr>
        <w:t>Shehzad &amp; Another</w:t>
      </w:r>
      <w:r>
        <w:rPr>
          <w:rFonts w:ascii="Book Antiqua" w:hAnsi="Book Antiqua" w:cs="Arial"/>
          <w:b/>
          <w:bCs/>
        </w:rPr>
        <w:t xml:space="preserve"> [2016] EWCA </w:t>
      </w:r>
      <w:proofErr w:type="spellStart"/>
      <w:r>
        <w:rPr>
          <w:rFonts w:ascii="Book Antiqua" w:hAnsi="Book Antiqua" w:cs="Arial"/>
          <w:b/>
          <w:bCs/>
        </w:rPr>
        <w:t>Civ</w:t>
      </w:r>
      <w:proofErr w:type="spellEnd"/>
      <w:r>
        <w:rPr>
          <w:rFonts w:ascii="Book Antiqua" w:hAnsi="Book Antiqua" w:cs="Arial"/>
          <w:b/>
          <w:bCs/>
        </w:rPr>
        <w:t xml:space="preserve"> 615</w:t>
      </w:r>
      <w:r>
        <w:rPr>
          <w:rFonts w:ascii="Book Antiqua" w:hAnsi="Book Antiqua" w:cs="Arial"/>
        </w:rPr>
        <w:t xml:space="preserve"> and </w:t>
      </w:r>
      <w:r>
        <w:rPr>
          <w:rFonts w:ascii="Book Antiqua" w:hAnsi="Book Antiqua" w:cs="Arial"/>
          <w:b/>
          <w:bCs/>
          <w:u w:val="single"/>
        </w:rPr>
        <w:t>R (On the application of Nawaz) -v- SSHD (ETS: review standard/evidential basis</w:t>
      </w:r>
      <w:r>
        <w:rPr>
          <w:rFonts w:ascii="Book Antiqua" w:hAnsi="Book Antiqua" w:cs="Arial"/>
          <w:b/>
          <w:bCs/>
        </w:rPr>
        <w:t>) [2017] UKUT 00288 (IAC)</w:t>
      </w:r>
      <w:r>
        <w:rPr>
          <w:rFonts w:ascii="Book Antiqua" w:hAnsi="Book Antiqua" w:cs="Arial"/>
        </w:rPr>
        <w:t xml:space="preserve"> establishes</w:t>
      </w:r>
      <w:r w:rsidRPr="00B41CCE">
        <w:rPr>
          <w:rFonts w:ascii="Book Antiqua" w:hAnsi="Book Antiqua" w:cs="Arial"/>
        </w:rPr>
        <w:t xml:space="preserve"> </w:t>
      </w:r>
      <w:r>
        <w:rPr>
          <w:rFonts w:ascii="Book Antiqua" w:hAnsi="Book Antiqua" w:cs="Arial"/>
        </w:rPr>
        <w:t xml:space="preserve">that </w:t>
      </w:r>
      <w:r w:rsidRPr="00B41CCE">
        <w:rPr>
          <w:rFonts w:ascii="Book Antiqua" w:hAnsi="Book Antiqua" w:cs="Arial"/>
        </w:rPr>
        <w:t xml:space="preserve">the standard generic evidence relied on by the Secretary of State in ETS cases is sufficient to raise a prima facie case such that the evidential burden shifts to the claimant to provide an innocent explanation.  </w:t>
      </w:r>
    </w:p>
    <w:p w:rsidR="00F31F24" w:rsidRDefault="00F31F24">
      <w:pPr>
        <w:numPr>
          <w:ilvl w:val="0"/>
          <w:numId w:val="1"/>
        </w:numPr>
        <w:spacing w:before="240"/>
        <w:jc w:val="both"/>
        <w:rPr>
          <w:rFonts w:ascii="Book Antiqua" w:hAnsi="Book Antiqua" w:cs="Arial"/>
        </w:rPr>
      </w:pPr>
      <w:r>
        <w:rPr>
          <w:rFonts w:ascii="Book Antiqua" w:hAnsi="Book Antiqua" w:cs="Arial"/>
        </w:rPr>
        <w:t>The Judge received oral evidence from the claimant, who adopted as his evidence in chief a witness statement in which he gave a detailed account of taking a</w:t>
      </w:r>
      <w:r w:rsidR="00E902FF">
        <w:rPr>
          <w:rFonts w:ascii="Book Antiqua" w:hAnsi="Book Antiqua" w:cs="Arial"/>
        </w:rPr>
        <w:t xml:space="preserve">n ETS test </w:t>
      </w:r>
      <w:r>
        <w:rPr>
          <w:rFonts w:ascii="Book Antiqua" w:hAnsi="Book Antiqua" w:cs="Arial"/>
        </w:rPr>
        <w:t xml:space="preserve">at Synergy Business College </w:t>
      </w:r>
      <w:r w:rsidR="00E902FF">
        <w:rPr>
          <w:rFonts w:ascii="Book Antiqua" w:hAnsi="Book Antiqua" w:cs="Arial"/>
        </w:rPr>
        <w:t xml:space="preserve">in the autumn of </w:t>
      </w:r>
      <w:r>
        <w:rPr>
          <w:rFonts w:ascii="Book Antiqua" w:hAnsi="Book Antiqua" w:cs="Arial"/>
        </w:rPr>
        <w:t>2011, and of taking a</w:t>
      </w:r>
      <w:r w:rsidR="00E902FF">
        <w:rPr>
          <w:rFonts w:ascii="Book Antiqua" w:hAnsi="Book Antiqua" w:cs="Arial"/>
        </w:rPr>
        <w:t xml:space="preserve"> further ETS </w:t>
      </w:r>
      <w:r>
        <w:rPr>
          <w:rFonts w:ascii="Book Antiqua" w:hAnsi="Book Antiqua" w:cs="Arial"/>
        </w:rPr>
        <w:t>test on 27 November 2013 at South Quay College.</w:t>
      </w:r>
    </w:p>
    <w:p w:rsidR="00F31F24" w:rsidRDefault="00F31F24">
      <w:pPr>
        <w:numPr>
          <w:ilvl w:val="0"/>
          <w:numId w:val="1"/>
        </w:numPr>
        <w:spacing w:before="240"/>
        <w:jc w:val="both"/>
        <w:rPr>
          <w:rFonts w:ascii="Book Antiqua" w:hAnsi="Book Antiqua" w:cs="Arial"/>
        </w:rPr>
      </w:pPr>
      <w:r>
        <w:rPr>
          <w:rFonts w:ascii="Book Antiqua" w:hAnsi="Book Antiqua" w:cs="Arial"/>
        </w:rPr>
        <w:t>The Jud</w:t>
      </w:r>
      <w:r w:rsidR="00E902FF">
        <w:rPr>
          <w:rFonts w:ascii="Book Antiqua" w:hAnsi="Book Antiqua" w:cs="Arial"/>
        </w:rPr>
        <w:t>ge had the benefit of the claim</w:t>
      </w:r>
      <w:r>
        <w:rPr>
          <w:rFonts w:ascii="Book Antiqua" w:hAnsi="Book Antiqua" w:cs="Arial"/>
        </w:rPr>
        <w:t>ant’s evidence being tested b</w:t>
      </w:r>
      <w:r w:rsidR="00E902FF">
        <w:rPr>
          <w:rFonts w:ascii="Book Antiqua" w:hAnsi="Book Antiqua" w:cs="Arial"/>
        </w:rPr>
        <w:t>y way of cross-examination.  The claimant’s</w:t>
      </w:r>
      <w:r>
        <w:rPr>
          <w:rFonts w:ascii="Book Antiqua" w:hAnsi="Book Antiqua" w:cs="Arial"/>
        </w:rPr>
        <w:t xml:space="preserve"> evidence was that he did not use a proxy test-taker </w:t>
      </w:r>
      <w:proofErr w:type="gramStart"/>
      <w:r>
        <w:rPr>
          <w:rFonts w:ascii="Book Antiqua" w:hAnsi="Book Antiqua" w:cs="Arial"/>
        </w:rPr>
        <w:t>in connection with</w:t>
      </w:r>
      <w:proofErr w:type="gramEnd"/>
      <w:r w:rsidR="00E902FF">
        <w:rPr>
          <w:rFonts w:ascii="Book Antiqua" w:hAnsi="Book Antiqua" w:cs="Arial"/>
        </w:rPr>
        <w:t xml:space="preserve"> either test.  The Judge found </w:t>
      </w:r>
      <w:r>
        <w:rPr>
          <w:rFonts w:ascii="Book Antiqua" w:hAnsi="Book Antiqua" w:cs="Arial"/>
        </w:rPr>
        <w:t xml:space="preserve">at paragraph </w:t>
      </w:r>
      <w:r w:rsidR="00E902FF">
        <w:rPr>
          <w:rFonts w:ascii="Book Antiqua" w:hAnsi="Book Antiqua" w:cs="Arial"/>
        </w:rPr>
        <w:t>[16]</w:t>
      </w:r>
      <w:r>
        <w:rPr>
          <w:rFonts w:ascii="Book Antiqua" w:hAnsi="Book Antiqua" w:cs="Arial"/>
        </w:rPr>
        <w:t xml:space="preserve"> that </w:t>
      </w:r>
      <w:r w:rsidR="00E902FF">
        <w:rPr>
          <w:rFonts w:ascii="Book Antiqua" w:hAnsi="Book Antiqua" w:cs="Arial"/>
        </w:rPr>
        <w:t>t</w:t>
      </w:r>
      <w:r>
        <w:rPr>
          <w:rFonts w:ascii="Book Antiqua" w:hAnsi="Book Antiqua" w:cs="Arial"/>
        </w:rPr>
        <w:t xml:space="preserve">he </w:t>
      </w:r>
      <w:r w:rsidR="00E902FF">
        <w:rPr>
          <w:rFonts w:ascii="Book Antiqua" w:hAnsi="Book Antiqua" w:cs="Arial"/>
        </w:rPr>
        <w:t>claimant had g</w:t>
      </w:r>
      <w:r>
        <w:rPr>
          <w:rFonts w:ascii="Book Antiqua" w:hAnsi="Book Antiqua" w:cs="Arial"/>
        </w:rPr>
        <w:t xml:space="preserve">iven a reasonable account of how he came to take the test at the </w:t>
      </w:r>
      <w:r w:rsidR="00E902FF">
        <w:rPr>
          <w:rFonts w:ascii="Book Antiqua" w:hAnsi="Book Antiqua" w:cs="Arial"/>
        </w:rPr>
        <w:t>two</w:t>
      </w:r>
      <w:r>
        <w:rPr>
          <w:rFonts w:ascii="Book Antiqua" w:hAnsi="Book Antiqua" w:cs="Arial"/>
        </w:rPr>
        <w:t xml:space="preserve"> col</w:t>
      </w:r>
      <w:r w:rsidR="00E902FF">
        <w:rPr>
          <w:rFonts w:ascii="Book Antiqua" w:hAnsi="Book Antiqua" w:cs="Arial"/>
        </w:rPr>
        <w:t>leges, and why.   In short, both colleges</w:t>
      </w:r>
      <w:r>
        <w:rPr>
          <w:rFonts w:ascii="Book Antiqua" w:hAnsi="Book Antiqua" w:cs="Arial"/>
        </w:rPr>
        <w:t xml:space="preserve"> were close to where he was living, and he was looking for work, and he wished to be able submit evidence of his competence in English.</w:t>
      </w:r>
    </w:p>
    <w:p w:rsidR="00F31F24" w:rsidRDefault="00F31F24">
      <w:pPr>
        <w:numPr>
          <w:ilvl w:val="0"/>
          <w:numId w:val="1"/>
        </w:numPr>
        <w:spacing w:before="240"/>
        <w:jc w:val="both"/>
        <w:rPr>
          <w:rFonts w:ascii="Book Antiqua" w:hAnsi="Book Antiqua" w:cs="Arial"/>
        </w:rPr>
      </w:pPr>
      <w:r>
        <w:rPr>
          <w:rFonts w:ascii="Book Antiqua" w:hAnsi="Book Antiqua" w:cs="Arial"/>
        </w:rPr>
        <w:t xml:space="preserve">The burden of proof rested with the Secretary of State to prove that </w:t>
      </w:r>
      <w:r w:rsidR="00E902FF">
        <w:rPr>
          <w:rFonts w:ascii="Book Antiqua" w:hAnsi="Book Antiqua" w:cs="Arial"/>
        </w:rPr>
        <w:t>t</w:t>
      </w:r>
      <w:r>
        <w:rPr>
          <w:rFonts w:ascii="Book Antiqua" w:hAnsi="Book Antiqua" w:cs="Arial"/>
        </w:rPr>
        <w:t xml:space="preserve">he </w:t>
      </w:r>
      <w:r w:rsidR="00E902FF">
        <w:rPr>
          <w:rFonts w:ascii="Book Antiqua" w:hAnsi="Book Antiqua" w:cs="Arial"/>
        </w:rPr>
        <w:t xml:space="preserve">claimant </w:t>
      </w:r>
      <w:r>
        <w:rPr>
          <w:rFonts w:ascii="Book Antiqua" w:hAnsi="Book Antiqua" w:cs="Arial"/>
        </w:rPr>
        <w:t>had obtained his English Language certificates by deception</w:t>
      </w:r>
      <w:r w:rsidR="002C29C6">
        <w:rPr>
          <w:rFonts w:ascii="Book Antiqua" w:hAnsi="Book Antiqua" w:cs="Arial"/>
        </w:rPr>
        <w:t>: that is, by</w:t>
      </w:r>
      <w:r>
        <w:rPr>
          <w:rFonts w:ascii="Book Antiqua" w:hAnsi="Book Antiqua" w:cs="Arial"/>
        </w:rPr>
        <w:t xml:space="preserve"> not genuinely sitti</w:t>
      </w:r>
      <w:r w:rsidR="002C29C6">
        <w:rPr>
          <w:rFonts w:ascii="Book Antiqua" w:hAnsi="Book Antiqua" w:cs="Arial"/>
        </w:rPr>
        <w:t xml:space="preserve">ng for the speaking test, </w:t>
      </w:r>
      <w:r>
        <w:rPr>
          <w:rFonts w:ascii="Book Antiqua" w:hAnsi="Book Antiqua" w:cs="Arial"/>
        </w:rPr>
        <w:t>but by sanctioning someone else to take the speaking test</w:t>
      </w:r>
      <w:r w:rsidR="00827516">
        <w:rPr>
          <w:rFonts w:ascii="Book Antiqua" w:hAnsi="Book Antiqua" w:cs="Arial"/>
        </w:rPr>
        <w:t>s</w:t>
      </w:r>
      <w:r>
        <w:rPr>
          <w:rFonts w:ascii="Book Antiqua" w:hAnsi="Book Antiqua" w:cs="Arial"/>
        </w:rPr>
        <w:t xml:space="preserve"> on his behalf.</w:t>
      </w:r>
    </w:p>
    <w:p w:rsidR="00F31F24" w:rsidRPr="00B41CCE" w:rsidRDefault="00E902FF" w:rsidP="00E902FF">
      <w:pPr>
        <w:numPr>
          <w:ilvl w:val="0"/>
          <w:numId w:val="1"/>
        </w:numPr>
        <w:spacing w:before="240"/>
        <w:jc w:val="both"/>
        <w:rPr>
          <w:rFonts w:ascii="Book Antiqua" w:hAnsi="Book Antiqua" w:cs="Arial"/>
        </w:rPr>
      </w:pPr>
      <w:r w:rsidRPr="00E902FF">
        <w:rPr>
          <w:rFonts w:ascii="Book Antiqua" w:hAnsi="Book Antiqua" w:cs="Arial"/>
        </w:rPr>
        <w:t xml:space="preserve">While it was open to the Judge to find the claimant credible, </w:t>
      </w:r>
      <w:r w:rsidR="002C29C6">
        <w:rPr>
          <w:rFonts w:ascii="Book Antiqua" w:hAnsi="Book Antiqua" w:cs="Arial"/>
        </w:rPr>
        <w:t>he still had to give adequate reasons as to why the Secretary of State had not proved her case. His</w:t>
      </w:r>
      <w:r>
        <w:rPr>
          <w:rFonts w:ascii="Book Antiqua" w:hAnsi="Book Antiqua" w:cs="Arial"/>
        </w:rPr>
        <w:t xml:space="preserve"> decision </w:t>
      </w:r>
      <w:r w:rsidR="00F31F24" w:rsidRPr="00E902FF">
        <w:rPr>
          <w:rFonts w:ascii="Book Antiqua" w:hAnsi="Book Antiqua" w:cs="Arial"/>
        </w:rPr>
        <w:t xml:space="preserve">fails to discharge a vital function, which is to explain </w:t>
      </w:r>
      <w:r w:rsidR="00B41CCE">
        <w:rPr>
          <w:rFonts w:ascii="Book Antiqua" w:hAnsi="Book Antiqua" w:cs="Arial"/>
        </w:rPr>
        <w:t xml:space="preserve">adequately </w:t>
      </w:r>
      <w:r w:rsidR="00F31F24" w:rsidRPr="00E902FF">
        <w:rPr>
          <w:rFonts w:ascii="Book Antiqua" w:hAnsi="Book Antiqua" w:cs="Arial"/>
        </w:rPr>
        <w:t xml:space="preserve">to the losing party </w:t>
      </w:r>
      <w:r w:rsidR="00F31F24" w:rsidRPr="00E902FF">
        <w:rPr>
          <w:rFonts w:ascii="Book Antiqua" w:hAnsi="Book Antiqua" w:cs="Arial"/>
        </w:rPr>
        <w:lastRenderedPageBreak/>
        <w:t>why they have lost.  In addition, some of the Judge’s reasoning i</w:t>
      </w:r>
      <w:r>
        <w:rPr>
          <w:rFonts w:ascii="Book Antiqua" w:hAnsi="Book Antiqua" w:cs="Arial"/>
        </w:rPr>
        <w:t xml:space="preserve">s </w:t>
      </w:r>
      <w:r w:rsidR="002C29C6">
        <w:rPr>
          <w:rFonts w:ascii="Book Antiqua" w:hAnsi="Book Antiqua" w:cs="Arial"/>
        </w:rPr>
        <w:t xml:space="preserve">clearly </w:t>
      </w:r>
      <w:r>
        <w:rPr>
          <w:rFonts w:ascii="Book Antiqua" w:hAnsi="Book Antiqua" w:cs="Arial"/>
        </w:rPr>
        <w:t xml:space="preserve">flawed; and </w:t>
      </w:r>
      <w:r w:rsidR="00F31F24" w:rsidRPr="00E902FF">
        <w:rPr>
          <w:rFonts w:ascii="Book Antiqua" w:hAnsi="Book Antiqua" w:cs="Arial"/>
        </w:rPr>
        <w:t xml:space="preserve">there is </w:t>
      </w:r>
      <w:r w:rsidR="002C29C6">
        <w:rPr>
          <w:rFonts w:ascii="Book Antiqua" w:hAnsi="Book Antiqua" w:cs="Arial"/>
        </w:rPr>
        <w:t xml:space="preserve">also </w:t>
      </w:r>
      <w:r w:rsidR="00F31F24" w:rsidRPr="00E902FF">
        <w:rPr>
          <w:rFonts w:ascii="Book Antiqua" w:hAnsi="Book Antiqua" w:cs="Arial"/>
        </w:rPr>
        <w:t xml:space="preserve">an egregious failure </w:t>
      </w:r>
      <w:r w:rsidR="00827516">
        <w:rPr>
          <w:rFonts w:ascii="Book Antiqua" w:hAnsi="Book Antiqua" w:cs="Arial"/>
        </w:rPr>
        <w:t>by the Judge</w:t>
      </w:r>
      <w:r w:rsidR="00FF0E29">
        <w:rPr>
          <w:rFonts w:ascii="Book Antiqua" w:hAnsi="Book Antiqua" w:cs="Arial"/>
        </w:rPr>
        <w:t xml:space="preserve"> </w:t>
      </w:r>
      <w:r w:rsidR="00F31F24" w:rsidRPr="00E902FF">
        <w:rPr>
          <w:rFonts w:ascii="Book Antiqua" w:hAnsi="Book Antiqua" w:cs="Arial"/>
        </w:rPr>
        <w:t>to</w:t>
      </w:r>
      <w:r w:rsidR="00FF0E29">
        <w:rPr>
          <w:rFonts w:ascii="Book Antiqua" w:hAnsi="Book Antiqua" w:cs="Arial"/>
        </w:rPr>
        <w:t xml:space="preserve"> engage with the expert report of Professor Peter French </w:t>
      </w:r>
      <w:r w:rsidR="002C29C6">
        <w:rPr>
          <w:rFonts w:ascii="Book Antiqua" w:hAnsi="Book Antiqua" w:cs="Arial"/>
        </w:rPr>
        <w:t>dated 20 April 2016, or</w:t>
      </w:r>
      <w:r w:rsidR="00F31F24" w:rsidRPr="00E902FF">
        <w:rPr>
          <w:rFonts w:ascii="Book Antiqua" w:hAnsi="Book Antiqua" w:cs="Arial"/>
        </w:rPr>
        <w:t xml:space="preserve"> </w:t>
      </w:r>
      <w:r w:rsidR="00FF0E29">
        <w:rPr>
          <w:rFonts w:ascii="Book Antiqua" w:hAnsi="Book Antiqua" w:cs="Arial"/>
        </w:rPr>
        <w:t xml:space="preserve">with </w:t>
      </w:r>
      <w:r w:rsidR="00F31F24" w:rsidRPr="00E902FF">
        <w:rPr>
          <w:rFonts w:ascii="Book Antiqua" w:hAnsi="Book Antiqua" w:cs="Arial"/>
        </w:rPr>
        <w:t>a witness statement dated 15 May 2017 from Detective Inspector Andrew Carter</w:t>
      </w:r>
      <w:r w:rsidR="002C29C6">
        <w:rPr>
          <w:rFonts w:ascii="Book Antiqua" w:hAnsi="Book Antiqua" w:cs="Arial"/>
        </w:rPr>
        <w:t xml:space="preserve"> on the topic of Project Façade and the high level of abuse uncovered at the two colleges</w:t>
      </w:r>
      <w:r w:rsidR="00FF0E29">
        <w:rPr>
          <w:rFonts w:ascii="Book Antiqua" w:hAnsi="Book Antiqua" w:cs="Arial"/>
        </w:rPr>
        <w:t>,</w:t>
      </w:r>
      <w:r w:rsidR="00F31F24" w:rsidRPr="00E902FF">
        <w:rPr>
          <w:rFonts w:ascii="Book Antiqua" w:hAnsi="Book Antiqua" w:cs="Arial"/>
        </w:rPr>
        <w:t xml:space="preserve"> all of which </w:t>
      </w:r>
      <w:r w:rsidR="002C29C6">
        <w:rPr>
          <w:rFonts w:ascii="Book Antiqua" w:hAnsi="Book Antiqua" w:cs="Arial"/>
        </w:rPr>
        <w:t xml:space="preserve">material </w:t>
      </w:r>
      <w:r w:rsidR="00F31F24" w:rsidRPr="00E902FF">
        <w:rPr>
          <w:rFonts w:ascii="Book Antiqua" w:hAnsi="Book Antiqua" w:cs="Arial"/>
        </w:rPr>
        <w:t xml:space="preserve">was relied </w:t>
      </w:r>
      <w:r w:rsidR="00FF0E29">
        <w:rPr>
          <w:rFonts w:ascii="Book Antiqua" w:hAnsi="Book Antiqua" w:cs="Arial"/>
        </w:rPr>
        <w:t xml:space="preserve">upon by the Secretary of State </w:t>
      </w:r>
      <w:r w:rsidR="00F31F24" w:rsidRPr="00E902FF">
        <w:rPr>
          <w:rFonts w:ascii="Book Antiqua" w:hAnsi="Book Antiqua" w:cs="Arial"/>
        </w:rPr>
        <w:t>as augmenting what the Judge characterised as the “</w:t>
      </w:r>
      <w:r w:rsidR="00F31F24" w:rsidRPr="00E902FF">
        <w:rPr>
          <w:rFonts w:ascii="Book Antiqua" w:hAnsi="Book Antiqua" w:cs="Arial"/>
          <w:i/>
          <w:iCs/>
        </w:rPr>
        <w:t xml:space="preserve">now familiar generic evidence in ETS/TOEIC cases, namely the statements of Rebecca Collings and Peter Millington.” </w:t>
      </w:r>
    </w:p>
    <w:p w:rsidR="00F31F24" w:rsidRPr="00FF0E29" w:rsidRDefault="00F31F24" w:rsidP="00FF0E29">
      <w:pPr>
        <w:numPr>
          <w:ilvl w:val="0"/>
          <w:numId w:val="1"/>
        </w:numPr>
        <w:spacing w:before="240"/>
        <w:jc w:val="both"/>
        <w:rPr>
          <w:rFonts w:ascii="Book Antiqua" w:hAnsi="Book Antiqua" w:cs="Arial"/>
        </w:rPr>
      </w:pPr>
      <w:r>
        <w:rPr>
          <w:rFonts w:ascii="Book Antiqua" w:hAnsi="Book Antiqua" w:cs="Arial"/>
        </w:rPr>
        <w:t xml:space="preserve">At paragraph </w:t>
      </w:r>
      <w:r w:rsidR="00FF0E29">
        <w:rPr>
          <w:rFonts w:ascii="Book Antiqua" w:hAnsi="Book Antiqua" w:cs="Arial"/>
        </w:rPr>
        <w:t>[</w:t>
      </w:r>
      <w:r>
        <w:rPr>
          <w:rFonts w:ascii="Book Antiqua" w:hAnsi="Book Antiqua" w:cs="Arial"/>
        </w:rPr>
        <w:t>19</w:t>
      </w:r>
      <w:r w:rsidR="00FF0E29">
        <w:rPr>
          <w:rFonts w:ascii="Book Antiqua" w:hAnsi="Book Antiqua" w:cs="Arial"/>
        </w:rPr>
        <w:t>]</w:t>
      </w:r>
      <w:r>
        <w:rPr>
          <w:rFonts w:ascii="Book Antiqua" w:hAnsi="Book Antiqua" w:cs="Arial"/>
        </w:rPr>
        <w:t xml:space="preserve"> of his decision, Judge </w:t>
      </w:r>
      <w:proofErr w:type="spellStart"/>
      <w:r>
        <w:rPr>
          <w:rFonts w:ascii="Book Antiqua" w:hAnsi="Book Antiqua" w:cs="Arial"/>
        </w:rPr>
        <w:t>Hembrough</w:t>
      </w:r>
      <w:proofErr w:type="spellEnd"/>
      <w:r>
        <w:rPr>
          <w:rFonts w:ascii="Book Antiqua" w:hAnsi="Book Antiqua" w:cs="Arial"/>
        </w:rPr>
        <w:t xml:space="preserve"> said as follows: “</w:t>
      </w:r>
      <w:r>
        <w:rPr>
          <w:rFonts w:ascii="Book Antiqua" w:hAnsi="Book Antiqua" w:cs="Arial"/>
          <w:i/>
          <w:iCs/>
        </w:rPr>
        <w:t xml:space="preserve">It is not in my view necessary to make any finding as to whether the appellant did in fact cheat.  There is no evidence that use of the ETS certificates, whether obtained by fraud or otherwise, was contemplated for immigration purposes or for any other illegal purpose.”  </w:t>
      </w:r>
      <w:r w:rsidR="00FF0E29" w:rsidRPr="00FF0E29">
        <w:rPr>
          <w:rFonts w:ascii="Book Antiqua" w:hAnsi="Book Antiqua" w:cs="Arial"/>
        </w:rPr>
        <w:t>This is</w:t>
      </w:r>
      <w:r w:rsidRPr="00FF0E29">
        <w:rPr>
          <w:rFonts w:ascii="Book Antiqua" w:hAnsi="Book Antiqua" w:cs="Arial"/>
        </w:rPr>
        <w:t xml:space="preserve"> a clear misdire</w:t>
      </w:r>
      <w:r w:rsidR="00FF0E29">
        <w:rPr>
          <w:rFonts w:ascii="Book Antiqua" w:hAnsi="Book Antiqua" w:cs="Arial"/>
        </w:rPr>
        <w:t>ction.  The correct position is</w:t>
      </w:r>
      <w:r w:rsidRPr="00FF0E29">
        <w:rPr>
          <w:rFonts w:ascii="Book Antiqua" w:hAnsi="Book Antiqua" w:cs="Arial"/>
        </w:rPr>
        <w:t xml:space="preserve"> precisely the opposite.  It was incumbent on the Judge to make a finding as to whether the claimant had cheated in </w:t>
      </w:r>
      <w:r w:rsidR="000A5593">
        <w:rPr>
          <w:rFonts w:ascii="Book Antiqua" w:hAnsi="Book Antiqua" w:cs="Arial"/>
        </w:rPr>
        <w:t xml:space="preserve">either </w:t>
      </w:r>
      <w:r w:rsidRPr="00FF0E29">
        <w:rPr>
          <w:rFonts w:ascii="Book Antiqua" w:hAnsi="Book Antiqua" w:cs="Arial"/>
        </w:rPr>
        <w:t>one or both ETS tests.  The Judge appears to have considered that</w:t>
      </w:r>
      <w:r w:rsidR="00FF0E29">
        <w:rPr>
          <w:rFonts w:ascii="Book Antiqua" w:hAnsi="Book Antiqua" w:cs="Arial"/>
        </w:rPr>
        <w:t xml:space="preserve"> it was unnecessary to do so because he was under the misapprehension that </w:t>
      </w:r>
      <w:r w:rsidRPr="00FF0E29">
        <w:rPr>
          <w:rFonts w:ascii="Book Antiqua" w:hAnsi="Book Antiqua" w:cs="Arial"/>
        </w:rPr>
        <w:t>cheating in the ETS test</w:t>
      </w:r>
      <w:r w:rsidR="00FF0E29">
        <w:rPr>
          <w:rFonts w:ascii="Book Antiqua" w:hAnsi="Book Antiqua" w:cs="Arial"/>
        </w:rPr>
        <w:t>s</w:t>
      </w:r>
      <w:r w:rsidRPr="00FF0E29">
        <w:rPr>
          <w:rFonts w:ascii="Book Antiqua" w:hAnsi="Book Antiqua" w:cs="Arial"/>
        </w:rPr>
        <w:t xml:space="preserve"> would only have been material if the cla</w:t>
      </w:r>
      <w:r w:rsidR="00FF0E29">
        <w:rPr>
          <w:rFonts w:ascii="Book Antiqua" w:hAnsi="Book Antiqua" w:cs="Arial"/>
        </w:rPr>
        <w:t>imant’s purpose in obtaining false</w:t>
      </w:r>
      <w:r w:rsidRPr="00FF0E29">
        <w:rPr>
          <w:rFonts w:ascii="Book Antiqua" w:hAnsi="Book Antiqua" w:cs="Arial"/>
        </w:rPr>
        <w:t xml:space="preserve"> </w:t>
      </w:r>
      <w:r w:rsidR="00FF0E29">
        <w:rPr>
          <w:rFonts w:ascii="Book Antiqua" w:hAnsi="Book Antiqua" w:cs="Arial"/>
        </w:rPr>
        <w:t xml:space="preserve">ETS </w:t>
      </w:r>
      <w:r w:rsidRPr="00FF0E29">
        <w:rPr>
          <w:rFonts w:ascii="Book Antiqua" w:hAnsi="Book Antiqua" w:cs="Arial"/>
        </w:rPr>
        <w:t>certificates was to support an application for leave to remain.  But under the Rule cited in the refusal decision, Rule 322(5), the purpose for which the cheating had been undertaken was irrelevant.</w:t>
      </w:r>
      <w:r w:rsidR="00FF0E29">
        <w:rPr>
          <w:rFonts w:ascii="Book Antiqua" w:hAnsi="Book Antiqua" w:cs="Arial"/>
        </w:rPr>
        <w:t xml:space="preserve"> The Secretary of State acknowledged that </w:t>
      </w:r>
      <w:r w:rsidR="000A5593">
        <w:rPr>
          <w:rFonts w:ascii="Book Antiqua" w:hAnsi="Book Antiqua" w:cs="Arial"/>
        </w:rPr>
        <w:t>t</w:t>
      </w:r>
      <w:r w:rsidR="00FF0E29">
        <w:rPr>
          <w:rFonts w:ascii="Book Antiqua" w:hAnsi="Book Antiqua" w:cs="Arial"/>
        </w:rPr>
        <w:t>he</w:t>
      </w:r>
      <w:r w:rsidR="00FF0E29" w:rsidRPr="00FF0E29">
        <w:rPr>
          <w:rFonts w:ascii="Book Antiqua" w:hAnsi="Book Antiqua" w:cs="Arial"/>
        </w:rPr>
        <w:t xml:space="preserve"> </w:t>
      </w:r>
      <w:r w:rsidR="000A5593">
        <w:rPr>
          <w:rFonts w:ascii="Book Antiqua" w:hAnsi="Book Antiqua" w:cs="Arial"/>
        </w:rPr>
        <w:t xml:space="preserve">claimant </w:t>
      </w:r>
      <w:r w:rsidR="00FF0E29" w:rsidRPr="00FF0E29">
        <w:rPr>
          <w:rFonts w:ascii="Book Antiqua" w:hAnsi="Book Antiqua" w:cs="Arial"/>
        </w:rPr>
        <w:t>had not relied on his ETS language certificates for the purposes of an a</w:t>
      </w:r>
      <w:r w:rsidR="00FF0E29">
        <w:rPr>
          <w:rFonts w:ascii="Book Antiqua" w:hAnsi="Book Antiqua" w:cs="Arial"/>
        </w:rPr>
        <w:t xml:space="preserve">pplication for leave to remain. She relied instead on the following proposition: </w:t>
      </w:r>
      <w:r w:rsidR="00FF0E29" w:rsidRPr="00FF0E29">
        <w:rPr>
          <w:rFonts w:ascii="Book Antiqua" w:hAnsi="Book Antiqua" w:cs="Arial"/>
        </w:rPr>
        <w:t>“</w:t>
      </w:r>
      <w:r w:rsidR="00FF0E29" w:rsidRPr="00FF0E29">
        <w:rPr>
          <w:rFonts w:ascii="Book Antiqua" w:hAnsi="Book Antiqua" w:cs="Arial"/>
          <w:i/>
          <w:iCs/>
        </w:rPr>
        <w:t>your complicity in the fraud nonetheless contributed to an extremely serious attack on the maintenance of effective immigration controls and the public interest more generally.”</w:t>
      </w:r>
    </w:p>
    <w:p w:rsidR="00F31F24" w:rsidRDefault="00F31F24">
      <w:pPr>
        <w:numPr>
          <w:ilvl w:val="0"/>
          <w:numId w:val="1"/>
        </w:numPr>
        <w:spacing w:before="240"/>
        <w:jc w:val="both"/>
        <w:rPr>
          <w:rFonts w:ascii="Book Antiqua" w:hAnsi="Book Antiqua" w:cs="Arial"/>
        </w:rPr>
      </w:pPr>
      <w:r>
        <w:rPr>
          <w:rFonts w:ascii="Book Antiqua" w:hAnsi="Book Antiqua" w:cs="Arial"/>
        </w:rPr>
        <w:t>Al</w:t>
      </w:r>
      <w:r w:rsidR="00FF0E29">
        <w:rPr>
          <w:rFonts w:ascii="Book Antiqua" w:hAnsi="Book Antiqua" w:cs="Arial"/>
        </w:rPr>
        <w:t xml:space="preserve">though </w:t>
      </w:r>
      <w:r>
        <w:rPr>
          <w:rFonts w:ascii="Book Antiqua" w:hAnsi="Book Antiqua" w:cs="Arial"/>
        </w:rPr>
        <w:t xml:space="preserve">Ms </w:t>
      </w:r>
      <w:proofErr w:type="spellStart"/>
      <w:r>
        <w:rPr>
          <w:rFonts w:ascii="Book Antiqua" w:hAnsi="Book Antiqua" w:cs="Arial"/>
        </w:rPr>
        <w:t>Mindelsohn</w:t>
      </w:r>
      <w:proofErr w:type="spellEnd"/>
      <w:r>
        <w:rPr>
          <w:rFonts w:ascii="Book Antiqua" w:hAnsi="Book Antiqua" w:cs="Arial"/>
        </w:rPr>
        <w:t xml:space="preserve"> </w:t>
      </w:r>
      <w:r w:rsidR="00FF0E29">
        <w:rPr>
          <w:rFonts w:ascii="Book Antiqua" w:hAnsi="Book Antiqua" w:cs="Arial"/>
        </w:rPr>
        <w:t xml:space="preserve">of the Home Office </w:t>
      </w:r>
      <w:r>
        <w:rPr>
          <w:rFonts w:ascii="Book Antiqua" w:hAnsi="Book Antiqua" w:cs="Arial"/>
        </w:rPr>
        <w:t xml:space="preserve">mistakenly claimed </w:t>
      </w:r>
      <w:r w:rsidR="00FF0E29">
        <w:rPr>
          <w:rFonts w:ascii="Book Antiqua" w:hAnsi="Book Antiqua" w:cs="Arial"/>
        </w:rPr>
        <w:t xml:space="preserve">in her witness statement </w:t>
      </w:r>
      <w:r>
        <w:rPr>
          <w:rFonts w:ascii="Book Antiqua" w:hAnsi="Book Antiqua" w:cs="Arial"/>
        </w:rPr>
        <w:t xml:space="preserve">that the claimant had used </w:t>
      </w:r>
      <w:r w:rsidR="00FF0E29">
        <w:rPr>
          <w:rFonts w:ascii="Book Antiqua" w:hAnsi="Book Antiqua" w:cs="Arial"/>
        </w:rPr>
        <w:t xml:space="preserve">the </w:t>
      </w:r>
      <w:r>
        <w:rPr>
          <w:rFonts w:ascii="Book Antiqua" w:hAnsi="Book Antiqua" w:cs="Arial"/>
        </w:rPr>
        <w:t>ETS certificates in suppor</w:t>
      </w:r>
      <w:r w:rsidR="00FF0E29">
        <w:rPr>
          <w:rFonts w:ascii="Book Antiqua" w:hAnsi="Book Antiqua" w:cs="Arial"/>
        </w:rPr>
        <w:t>t of a previous application, the position taken in the</w:t>
      </w:r>
      <w:r>
        <w:rPr>
          <w:rFonts w:ascii="Book Antiqua" w:hAnsi="Book Antiqua" w:cs="Arial"/>
        </w:rPr>
        <w:t xml:space="preserve"> refusal decision </w:t>
      </w:r>
      <w:r w:rsidR="00FF0E29">
        <w:rPr>
          <w:rFonts w:ascii="Book Antiqua" w:hAnsi="Book Antiqua" w:cs="Arial"/>
        </w:rPr>
        <w:t xml:space="preserve">was </w:t>
      </w:r>
      <w:r>
        <w:rPr>
          <w:rFonts w:ascii="Book Antiqua" w:hAnsi="Book Antiqua" w:cs="Arial"/>
        </w:rPr>
        <w:t>that he had not done so, but that his complicity in the fraud nonetheless contributed to an extremely serious attack on the maintenance of effective immigration controls and the public interest more generally.</w:t>
      </w:r>
    </w:p>
    <w:p w:rsidR="00F31F24" w:rsidRDefault="00F31F24">
      <w:pPr>
        <w:numPr>
          <w:ilvl w:val="0"/>
          <w:numId w:val="1"/>
        </w:numPr>
        <w:spacing w:before="240"/>
        <w:jc w:val="both"/>
        <w:rPr>
          <w:rFonts w:ascii="Book Antiqua" w:hAnsi="Book Antiqua" w:cs="Arial"/>
        </w:rPr>
      </w:pPr>
      <w:r>
        <w:rPr>
          <w:rFonts w:ascii="Book Antiqua" w:hAnsi="Book Antiqua" w:cs="Arial"/>
        </w:rPr>
        <w:t xml:space="preserve">At paragraph </w:t>
      </w:r>
      <w:r w:rsidR="00FF0E29">
        <w:rPr>
          <w:rFonts w:ascii="Book Antiqua" w:hAnsi="Book Antiqua" w:cs="Arial"/>
        </w:rPr>
        <w:t>[</w:t>
      </w:r>
      <w:r>
        <w:rPr>
          <w:rFonts w:ascii="Book Antiqua" w:hAnsi="Book Antiqua" w:cs="Arial"/>
        </w:rPr>
        <w:t>18</w:t>
      </w:r>
      <w:r w:rsidR="00FF0E29">
        <w:rPr>
          <w:rFonts w:ascii="Book Antiqua" w:hAnsi="Book Antiqua" w:cs="Arial"/>
        </w:rPr>
        <w:t>]</w:t>
      </w:r>
      <w:r>
        <w:rPr>
          <w:rFonts w:ascii="Book Antiqua" w:hAnsi="Book Antiqua" w:cs="Arial"/>
        </w:rPr>
        <w:t>, the Judge held that there was no reason for the claimant to cheat, as the Immigration Rules did not require him to submit evidence of his competence in the Engl</w:t>
      </w:r>
      <w:r w:rsidR="00FF0E29">
        <w:rPr>
          <w:rFonts w:ascii="Book Antiqua" w:hAnsi="Book Antiqua" w:cs="Arial"/>
        </w:rPr>
        <w:t xml:space="preserve">ish language </w:t>
      </w:r>
      <w:proofErr w:type="gramStart"/>
      <w:r w:rsidR="00FF0E29">
        <w:rPr>
          <w:rFonts w:ascii="Book Antiqua" w:hAnsi="Book Antiqua" w:cs="Arial"/>
        </w:rPr>
        <w:t>in connection with</w:t>
      </w:r>
      <w:proofErr w:type="gramEnd"/>
      <w:r w:rsidR="00FF0E29">
        <w:rPr>
          <w:rFonts w:ascii="Book Antiqua" w:hAnsi="Book Antiqua" w:cs="Arial"/>
        </w:rPr>
        <w:t xml:space="preserve"> </w:t>
      </w:r>
      <w:r>
        <w:rPr>
          <w:rFonts w:ascii="Book Antiqua" w:hAnsi="Book Antiqua" w:cs="Arial"/>
        </w:rPr>
        <w:t xml:space="preserve">the Tier 1 dependant applications which he had made in 2011 and 2013.  </w:t>
      </w:r>
      <w:r w:rsidR="00FF0E29">
        <w:rPr>
          <w:rFonts w:ascii="Book Antiqua" w:hAnsi="Book Antiqua" w:cs="Arial"/>
        </w:rPr>
        <w:t xml:space="preserve">While this </w:t>
      </w:r>
      <w:r w:rsidR="002C29C6">
        <w:rPr>
          <w:rFonts w:ascii="Book Antiqua" w:hAnsi="Book Antiqua" w:cs="Arial"/>
        </w:rPr>
        <w:t>was</w:t>
      </w:r>
      <w:r w:rsidR="00FF0E29">
        <w:rPr>
          <w:rFonts w:ascii="Book Antiqua" w:hAnsi="Book Antiqua" w:cs="Arial"/>
        </w:rPr>
        <w:t xml:space="preserve"> true, at this stage of his reasoning the Judge appears to have forgotten</w:t>
      </w:r>
      <w:r>
        <w:rPr>
          <w:rFonts w:ascii="Book Antiqua" w:hAnsi="Book Antiqua" w:cs="Arial"/>
        </w:rPr>
        <w:t xml:space="preserve"> that the claimant had a </w:t>
      </w:r>
      <w:r w:rsidR="00FF0E29">
        <w:rPr>
          <w:rFonts w:ascii="Book Antiqua" w:hAnsi="Book Antiqua" w:cs="Arial"/>
        </w:rPr>
        <w:t xml:space="preserve">separate reason to cheat, which was that </w:t>
      </w:r>
      <w:r>
        <w:rPr>
          <w:rFonts w:ascii="Book Antiqua" w:hAnsi="Book Antiqua" w:cs="Arial"/>
        </w:rPr>
        <w:t xml:space="preserve">he was looking for work and </w:t>
      </w:r>
      <w:r w:rsidR="00FF0E29">
        <w:rPr>
          <w:rFonts w:ascii="Book Antiqua" w:hAnsi="Book Antiqua" w:cs="Arial"/>
        </w:rPr>
        <w:t xml:space="preserve">he </w:t>
      </w:r>
      <w:r>
        <w:rPr>
          <w:rFonts w:ascii="Book Antiqua" w:hAnsi="Book Antiqua" w:cs="Arial"/>
        </w:rPr>
        <w:t xml:space="preserve">wished to submit evidence of his competence </w:t>
      </w:r>
      <w:r w:rsidR="002C29C6">
        <w:rPr>
          <w:rFonts w:ascii="Book Antiqua" w:hAnsi="Book Antiqua" w:cs="Arial"/>
        </w:rPr>
        <w:t>in English to potential employers.</w:t>
      </w:r>
    </w:p>
    <w:p w:rsidR="00F31F24" w:rsidRDefault="00F31F24">
      <w:pPr>
        <w:numPr>
          <w:ilvl w:val="0"/>
          <w:numId w:val="1"/>
        </w:numPr>
        <w:spacing w:before="240"/>
        <w:jc w:val="both"/>
        <w:rPr>
          <w:rFonts w:ascii="Book Antiqua" w:hAnsi="Book Antiqua" w:cs="Arial"/>
        </w:rPr>
      </w:pPr>
      <w:r>
        <w:rPr>
          <w:rFonts w:ascii="Book Antiqua" w:hAnsi="Book Antiqua" w:cs="Arial"/>
        </w:rPr>
        <w:t xml:space="preserve">At paragraph </w:t>
      </w:r>
      <w:r w:rsidR="002C29C6">
        <w:rPr>
          <w:rFonts w:ascii="Book Antiqua" w:hAnsi="Book Antiqua" w:cs="Arial"/>
        </w:rPr>
        <w:t>[</w:t>
      </w:r>
      <w:r>
        <w:rPr>
          <w:rFonts w:ascii="Book Antiqua" w:hAnsi="Book Antiqua" w:cs="Arial"/>
        </w:rPr>
        <w:t>20</w:t>
      </w:r>
      <w:r w:rsidR="002C29C6">
        <w:rPr>
          <w:rFonts w:ascii="Book Antiqua" w:hAnsi="Book Antiqua" w:cs="Arial"/>
        </w:rPr>
        <w:t>]</w:t>
      </w:r>
      <w:r>
        <w:rPr>
          <w:rFonts w:ascii="Book Antiqua" w:hAnsi="Book Antiqua" w:cs="Arial"/>
        </w:rPr>
        <w:t xml:space="preserve">, the Judge held that there was no evidence that the claimant had ever used deception </w:t>
      </w:r>
      <w:proofErr w:type="gramStart"/>
      <w:r>
        <w:rPr>
          <w:rFonts w:ascii="Book Antiqua" w:hAnsi="Book Antiqua" w:cs="Arial"/>
        </w:rPr>
        <w:t>in connection with</w:t>
      </w:r>
      <w:proofErr w:type="gramEnd"/>
      <w:r>
        <w:rPr>
          <w:rFonts w:ascii="Book Antiqua" w:hAnsi="Book Antiqua" w:cs="Arial"/>
        </w:rPr>
        <w:t xml:space="preserve"> the application for leave to enter or remain in the UK.  While this was true, it was not the point in issue.  The point in issue was</w:t>
      </w:r>
      <w:r w:rsidR="00827516">
        <w:rPr>
          <w:rFonts w:ascii="Book Antiqua" w:hAnsi="Book Antiqua" w:cs="Arial"/>
        </w:rPr>
        <w:t xml:space="preserve"> simply </w:t>
      </w:r>
      <w:r>
        <w:rPr>
          <w:rFonts w:ascii="Book Antiqua" w:hAnsi="Book Antiqua" w:cs="Arial"/>
        </w:rPr>
        <w:t>whether the claimant had used deception to obtain the ETS certificates</w:t>
      </w:r>
      <w:r w:rsidR="00827516">
        <w:rPr>
          <w:rFonts w:ascii="Book Antiqua" w:hAnsi="Book Antiqua" w:cs="Arial"/>
        </w:rPr>
        <w:t>.</w:t>
      </w:r>
      <w:r>
        <w:rPr>
          <w:rFonts w:ascii="Book Antiqua" w:hAnsi="Book Antiqua" w:cs="Arial"/>
        </w:rPr>
        <w:t xml:space="preserve"> </w:t>
      </w:r>
    </w:p>
    <w:p w:rsidR="00F31F24" w:rsidRDefault="002C29C6">
      <w:pPr>
        <w:numPr>
          <w:ilvl w:val="0"/>
          <w:numId w:val="1"/>
        </w:numPr>
        <w:spacing w:before="240"/>
        <w:jc w:val="both"/>
        <w:rPr>
          <w:rFonts w:ascii="Book Antiqua" w:hAnsi="Book Antiqua" w:cs="Arial"/>
        </w:rPr>
      </w:pPr>
      <w:r>
        <w:rPr>
          <w:rFonts w:ascii="Book Antiqua" w:hAnsi="Book Antiqua" w:cs="Arial"/>
        </w:rPr>
        <w:t xml:space="preserve">Although the Judge listed </w:t>
      </w:r>
      <w:r w:rsidR="00F31F24">
        <w:rPr>
          <w:rFonts w:ascii="Book Antiqua" w:hAnsi="Book Antiqua" w:cs="Arial"/>
        </w:rPr>
        <w:t xml:space="preserve">in paragraph </w:t>
      </w:r>
      <w:r>
        <w:rPr>
          <w:rFonts w:ascii="Book Antiqua" w:hAnsi="Book Antiqua" w:cs="Arial"/>
        </w:rPr>
        <w:t>[</w:t>
      </w:r>
      <w:r w:rsidR="00F31F24">
        <w:rPr>
          <w:rFonts w:ascii="Book Antiqua" w:hAnsi="Book Antiqua" w:cs="Arial"/>
        </w:rPr>
        <w:t>13</w:t>
      </w:r>
      <w:r>
        <w:rPr>
          <w:rFonts w:ascii="Book Antiqua" w:hAnsi="Book Antiqua" w:cs="Arial"/>
        </w:rPr>
        <w:t>]</w:t>
      </w:r>
      <w:r w:rsidR="00F31F24">
        <w:rPr>
          <w:rFonts w:ascii="Book Antiqua" w:hAnsi="Book Antiqua" w:cs="Arial"/>
        </w:rPr>
        <w:t xml:space="preserve"> the documentary evidence emanati</w:t>
      </w:r>
      <w:r>
        <w:rPr>
          <w:rFonts w:ascii="Book Antiqua" w:hAnsi="Book Antiqua" w:cs="Arial"/>
        </w:rPr>
        <w:t xml:space="preserve">ng from the Secretary of State </w:t>
      </w:r>
      <w:r w:rsidR="00F31F24">
        <w:rPr>
          <w:rFonts w:ascii="Book Antiqua" w:hAnsi="Book Antiqua" w:cs="Arial"/>
        </w:rPr>
        <w:t xml:space="preserve">which he said he had considered, and although he included in this list the expert report of Professor Peter French </w:t>
      </w:r>
      <w:proofErr w:type="gramStart"/>
      <w:r w:rsidR="00F31F24">
        <w:rPr>
          <w:rFonts w:ascii="Book Antiqua" w:hAnsi="Book Antiqua" w:cs="Arial"/>
        </w:rPr>
        <w:t xml:space="preserve">and </w:t>
      </w:r>
      <w:r w:rsidR="000A5593">
        <w:rPr>
          <w:rFonts w:ascii="Book Antiqua" w:hAnsi="Book Antiqua" w:cs="Arial"/>
        </w:rPr>
        <w:t>also</w:t>
      </w:r>
      <w:proofErr w:type="gramEnd"/>
      <w:r w:rsidR="000A5593">
        <w:rPr>
          <w:rFonts w:ascii="Book Antiqua" w:hAnsi="Book Antiqua" w:cs="Arial"/>
        </w:rPr>
        <w:t xml:space="preserve"> </w:t>
      </w:r>
      <w:r w:rsidR="00F31F24">
        <w:rPr>
          <w:rFonts w:ascii="Book Antiqua" w:hAnsi="Book Antiqua" w:cs="Arial"/>
        </w:rPr>
        <w:t xml:space="preserve">the Project Facade </w:t>
      </w:r>
      <w:r w:rsidR="00F31F24">
        <w:rPr>
          <w:rFonts w:ascii="Book Antiqua" w:hAnsi="Book Antiqua" w:cs="Arial"/>
        </w:rPr>
        <w:lastRenderedPageBreak/>
        <w:t>evidence in relation to both Synergy Business College and South Quay College, he did not engage with this evidence for the purposes of evaluating the strength of the Secretary of State’s case on deception.</w:t>
      </w:r>
    </w:p>
    <w:p w:rsidR="00F31F24" w:rsidRDefault="00F31F24">
      <w:pPr>
        <w:numPr>
          <w:ilvl w:val="0"/>
          <w:numId w:val="1"/>
        </w:numPr>
        <w:spacing w:before="240"/>
        <w:jc w:val="both"/>
        <w:rPr>
          <w:rFonts w:ascii="Book Antiqua" w:hAnsi="Book Antiqua" w:cs="Arial"/>
        </w:rPr>
      </w:pPr>
      <w:r>
        <w:rPr>
          <w:rFonts w:ascii="Book Antiqua" w:hAnsi="Book Antiqua" w:cs="Arial"/>
        </w:rPr>
        <w:t xml:space="preserve">In broad terms, the weaker the Secretary of State’s </w:t>
      </w:r>
      <w:r>
        <w:rPr>
          <w:rFonts w:ascii="Book Antiqua" w:hAnsi="Book Antiqua" w:cs="Arial"/>
          <w:i/>
          <w:iCs/>
        </w:rPr>
        <w:t>prima facie</w:t>
      </w:r>
      <w:r>
        <w:rPr>
          <w:rFonts w:ascii="Book Antiqua" w:hAnsi="Book Antiqua" w:cs="Arial"/>
        </w:rPr>
        <w:t xml:space="preserve"> case of deception, the weaker the inno</w:t>
      </w:r>
      <w:r w:rsidR="002C29C6">
        <w:rPr>
          <w:rFonts w:ascii="Book Antiqua" w:hAnsi="Book Antiqua" w:cs="Arial"/>
        </w:rPr>
        <w:t>cent explanation needs</w:t>
      </w:r>
      <w:r>
        <w:rPr>
          <w:rFonts w:ascii="Book Antiqua" w:hAnsi="Book Antiqua" w:cs="Arial"/>
        </w:rPr>
        <w:t xml:space="preserve"> to be </w:t>
      </w:r>
      <w:proofErr w:type="gramStart"/>
      <w:r>
        <w:rPr>
          <w:rFonts w:ascii="Book Antiqua" w:hAnsi="Book Antiqua" w:cs="Arial"/>
        </w:rPr>
        <w:t>in order to</w:t>
      </w:r>
      <w:proofErr w:type="gramEnd"/>
      <w:r>
        <w:rPr>
          <w:rFonts w:ascii="Book Antiqua" w:hAnsi="Book Antiqua" w:cs="Arial"/>
        </w:rPr>
        <w:t xml:space="preserve"> </w:t>
      </w:r>
      <w:r w:rsidR="002C29C6">
        <w:rPr>
          <w:rFonts w:ascii="Book Antiqua" w:hAnsi="Book Antiqua" w:cs="Arial"/>
        </w:rPr>
        <w:t xml:space="preserve">rebut </w:t>
      </w:r>
      <w:r>
        <w:rPr>
          <w:rFonts w:ascii="Book Antiqua" w:hAnsi="Book Antiqua" w:cs="Arial"/>
        </w:rPr>
        <w:t xml:space="preserve">successfully </w:t>
      </w:r>
      <w:r w:rsidR="002C29C6">
        <w:rPr>
          <w:rFonts w:ascii="Book Antiqua" w:hAnsi="Book Antiqua" w:cs="Arial"/>
        </w:rPr>
        <w:t xml:space="preserve">the Secretary of State’s case. </w:t>
      </w:r>
      <w:r>
        <w:rPr>
          <w:rFonts w:ascii="Book Antiqua" w:hAnsi="Book Antiqua" w:cs="Arial"/>
        </w:rPr>
        <w:t>Conversely, the stronger the Secretary of State’s case on deception, the more cogent</w:t>
      </w:r>
      <w:r w:rsidR="002C29C6">
        <w:rPr>
          <w:rFonts w:ascii="Book Antiqua" w:hAnsi="Book Antiqua" w:cs="Arial"/>
        </w:rPr>
        <w:t xml:space="preserve"> the innocent explanation needs</w:t>
      </w:r>
      <w:r>
        <w:rPr>
          <w:rFonts w:ascii="Book Antiqua" w:hAnsi="Book Antiqua" w:cs="Arial"/>
        </w:rPr>
        <w:t xml:space="preserve"> to be.</w:t>
      </w:r>
    </w:p>
    <w:p w:rsidR="001F44CF" w:rsidRPr="001F44CF" w:rsidRDefault="00F31F24" w:rsidP="001F44CF">
      <w:pPr>
        <w:numPr>
          <w:ilvl w:val="0"/>
          <w:numId w:val="1"/>
        </w:numPr>
        <w:spacing w:before="240"/>
        <w:jc w:val="both"/>
        <w:rPr>
          <w:rFonts w:ascii="Book Antiqua" w:hAnsi="Book Antiqua" w:cs="Arial"/>
        </w:rPr>
      </w:pPr>
      <w:r w:rsidRPr="001F44CF">
        <w:rPr>
          <w:rFonts w:ascii="Book Antiqua" w:hAnsi="Book Antiqua" w:cs="Arial"/>
        </w:rPr>
        <w:t xml:space="preserve">As </w:t>
      </w:r>
      <w:r w:rsidR="002C29C6" w:rsidRPr="001F44CF">
        <w:rPr>
          <w:rFonts w:ascii="Book Antiqua" w:hAnsi="Book Antiqua" w:cs="Arial"/>
        </w:rPr>
        <w:t xml:space="preserve">I </w:t>
      </w:r>
      <w:r w:rsidRPr="001F44CF">
        <w:rPr>
          <w:rFonts w:ascii="Book Antiqua" w:hAnsi="Book Antiqua" w:cs="Arial"/>
        </w:rPr>
        <w:t>explored with Mr Malik in oral argument, the significance of Professor French’s expert evide</w:t>
      </w:r>
      <w:r w:rsidR="002C29C6" w:rsidRPr="001F44CF">
        <w:rPr>
          <w:rFonts w:ascii="Book Antiqua" w:hAnsi="Book Antiqua" w:cs="Arial"/>
        </w:rPr>
        <w:t xml:space="preserve">nce is that it was commissioned </w:t>
      </w:r>
      <w:r w:rsidRPr="001F44CF">
        <w:rPr>
          <w:rFonts w:ascii="Book Antiqua" w:hAnsi="Book Antiqua" w:cs="Arial"/>
        </w:rPr>
        <w:t xml:space="preserve">by the Home Office to counter the expert evidence of Dr Harrison </w:t>
      </w:r>
      <w:r w:rsidR="001F44CF">
        <w:rPr>
          <w:rFonts w:ascii="Book Antiqua" w:hAnsi="Book Antiqua" w:cs="Arial"/>
        </w:rPr>
        <w:t>which</w:t>
      </w:r>
      <w:r w:rsidR="001F44CF" w:rsidRPr="001F44CF">
        <w:rPr>
          <w:rFonts w:ascii="Book Antiqua" w:hAnsi="Book Antiqua" w:cs="Arial"/>
        </w:rPr>
        <w:t xml:space="preserve"> was adduced in the case of </w:t>
      </w:r>
      <w:r w:rsidR="001F44CF" w:rsidRPr="001F44CF">
        <w:rPr>
          <w:rFonts w:ascii="Book Antiqua" w:hAnsi="Book Antiqua" w:cs="Arial"/>
          <w:b/>
          <w:bCs/>
          <w:u w:val="single"/>
        </w:rPr>
        <w:t xml:space="preserve">SM &amp; </w:t>
      </w:r>
      <w:proofErr w:type="spellStart"/>
      <w:r w:rsidR="001F44CF" w:rsidRPr="001F44CF">
        <w:rPr>
          <w:rFonts w:ascii="Book Antiqua" w:hAnsi="Book Antiqua" w:cs="Arial"/>
          <w:b/>
          <w:bCs/>
          <w:u w:val="single"/>
        </w:rPr>
        <w:t>Qadir</w:t>
      </w:r>
      <w:proofErr w:type="spellEnd"/>
      <w:r w:rsidR="001F44CF" w:rsidRPr="001F44CF">
        <w:rPr>
          <w:rFonts w:ascii="Book Antiqua" w:hAnsi="Book Antiqua" w:cs="Arial"/>
        </w:rPr>
        <w:t>, and which was the foundation for the Tribunal’s finding at paragraph [68] as follows: “</w:t>
      </w:r>
      <w:r w:rsidR="001F44CF" w:rsidRPr="001F44CF">
        <w:rPr>
          <w:rFonts w:ascii="Book Antiqua" w:hAnsi="Book Antiqua" w:cs="Arial"/>
          <w:i/>
          <w:iCs/>
        </w:rPr>
        <w:t>As our analysis and conclusions in the immediately preceding section made clear, we have substantial reservations about the strength and quality of the Secretary of State’s evidence.  Its shortcomings are manifest.  On the other hand, while bearing in mind that the context is one of alleged deception, we must be mindful of the comparatively modest threshold which an evidential burden entails.  This calls for an evaluative assessment on the part of the Tribunal.  By an admittedly narrow margin, we are satisfied that the Secretary of State has discharged this burden.”</w:t>
      </w:r>
    </w:p>
    <w:p w:rsidR="001F44CF" w:rsidRDefault="001F44CF" w:rsidP="001F44CF">
      <w:pPr>
        <w:numPr>
          <w:ilvl w:val="0"/>
          <w:numId w:val="1"/>
        </w:numPr>
        <w:spacing w:before="240"/>
        <w:jc w:val="both"/>
        <w:rPr>
          <w:rFonts w:ascii="Book Antiqua" w:hAnsi="Book Antiqua" w:cs="Arial"/>
        </w:rPr>
      </w:pPr>
      <w:r>
        <w:rPr>
          <w:rFonts w:ascii="Book Antiqua" w:hAnsi="Book Antiqua" w:cs="Arial"/>
        </w:rPr>
        <w:t xml:space="preserve">In reaching the conclusion that the standard generic evidence only discharged the evidential burden by a narrow margin, the Tribunal attached great weight to the expert evidence of Dr Harrison, who </w:t>
      </w:r>
      <w:proofErr w:type="gramStart"/>
      <w:r>
        <w:rPr>
          <w:rFonts w:ascii="Book Antiqua" w:hAnsi="Book Antiqua" w:cs="Arial"/>
        </w:rPr>
        <w:t>was of the opinion that</w:t>
      </w:r>
      <w:proofErr w:type="gramEnd"/>
      <w:r>
        <w:rPr>
          <w:rFonts w:ascii="Book Antiqua" w:hAnsi="Book Antiqua" w:cs="Arial"/>
        </w:rPr>
        <w:t xml:space="preserve"> ETS’ method of analysing the TOEIC test data was deeply flawed and was capable of generating a very high number of false positives.  Professor French’s report is a direct riposte to the expert evidence of Dr Harrison.  The lawyers for the Secretary of State made a late application for Professor French’s report to be admitted into evidence at the hearing of the </w:t>
      </w:r>
      <w:r>
        <w:rPr>
          <w:rFonts w:ascii="Book Antiqua" w:hAnsi="Book Antiqua" w:cs="Arial"/>
          <w:b/>
          <w:bCs/>
          <w:u w:val="single"/>
        </w:rPr>
        <w:t xml:space="preserve">SM &amp; </w:t>
      </w:r>
      <w:proofErr w:type="spellStart"/>
      <w:r>
        <w:rPr>
          <w:rFonts w:ascii="Book Antiqua" w:hAnsi="Book Antiqua" w:cs="Arial"/>
          <w:b/>
          <w:bCs/>
          <w:u w:val="single"/>
        </w:rPr>
        <w:t>Qadir</w:t>
      </w:r>
      <w:proofErr w:type="spellEnd"/>
      <w:r>
        <w:rPr>
          <w:rFonts w:ascii="Book Antiqua" w:hAnsi="Book Antiqua" w:cs="Arial"/>
        </w:rPr>
        <w:t xml:space="preserve">, but the application was refused on the grounds of lateness. </w:t>
      </w:r>
    </w:p>
    <w:p w:rsidR="001F44CF" w:rsidRDefault="001F44CF" w:rsidP="001F44CF">
      <w:pPr>
        <w:numPr>
          <w:ilvl w:val="0"/>
          <w:numId w:val="1"/>
        </w:numPr>
        <w:spacing w:before="240"/>
        <w:jc w:val="both"/>
        <w:rPr>
          <w:rFonts w:ascii="Book Antiqua" w:hAnsi="Book Antiqua" w:cs="Arial"/>
        </w:rPr>
      </w:pPr>
      <w:r>
        <w:rPr>
          <w:rFonts w:ascii="Book Antiqua" w:hAnsi="Book Antiqua" w:cs="Arial"/>
        </w:rPr>
        <w:t>In his report, Professor French was asked to give his opinion of whether, on the balance of probabilities, ETS’s methodology was likely to result in any false positives (i.e. speaking comparison test results wrongly indicating that different speakers were the same person).  If he considered f</w:t>
      </w:r>
      <w:r w:rsidR="00827516">
        <w:rPr>
          <w:rFonts w:ascii="Book Antiqua" w:hAnsi="Book Antiqua" w:cs="Arial"/>
        </w:rPr>
        <w:t xml:space="preserve">alse positives were likely, </w:t>
      </w:r>
      <w:r>
        <w:rPr>
          <w:rFonts w:ascii="Book Antiqua" w:hAnsi="Book Antiqua" w:cs="Arial"/>
        </w:rPr>
        <w:t xml:space="preserve">he was asked to estimate how many.  </w:t>
      </w:r>
    </w:p>
    <w:p w:rsidR="001F44CF" w:rsidRPr="001F44CF" w:rsidRDefault="001F44CF" w:rsidP="001F44CF">
      <w:pPr>
        <w:spacing w:before="240"/>
        <w:jc w:val="both"/>
        <w:rPr>
          <w:rFonts w:ascii="Book Antiqua" w:hAnsi="Book Antiqua" w:cs="Arial"/>
        </w:rPr>
      </w:pPr>
    </w:p>
    <w:p w:rsidR="001F44CF" w:rsidRDefault="001F44CF" w:rsidP="001F44CF">
      <w:pPr>
        <w:pStyle w:val="BodyText"/>
        <w:numPr>
          <w:ilvl w:val="0"/>
          <w:numId w:val="1"/>
        </w:numPr>
        <w:tabs>
          <w:tab w:val="clear" w:pos="1134"/>
          <w:tab w:val="clear" w:pos="4111"/>
          <w:tab w:val="clear" w:pos="8364"/>
        </w:tabs>
        <w:spacing w:line="240" w:lineRule="auto"/>
        <w:rPr>
          <w:rFonts w:ascii="Book Antiqua" w:hAnsi="Book Antiqua" w:cs="Arial"/>
        </w:rPr>
      </w:pPr>
      <w:r>
        <w:rPr>
          <w:rFonts w:ascii="Book Antiqua" w:hAnsi="Book Antiqua" w:cs="Arial"/>
        </w:rPr>
        <w:t>His</w:t>
      </w:r>
      <w:r w:rsidRPr="00E74549">
        <w:rPr>
          <w:rFonts w:ascii="Book Antiqua" w:hAnsi="Book Antiqua" w:cs="Arial"/>
        </w:rPr>
        <w:t xml:space="preserve"> conclusion at </w:t>
      </w:r>
      <w:r>
        <w:rPr>
          <w:rFonts w:ascii="Book Antiqua" w:hAnsi="Book Antiqua" w:cs="Arial"/>
        </w:rPr>
        <w:t xml:space="preserve">Section </w:t>
      </w:r>
      <w:r w:rsidRPr="00E74549">
        <w:rPr>
          <w:rFonts w:ascii="Book Antiqua" w:hAnsi="Book Antiqua" w:cs="Arial"/>
        </w:rPr>
        <w:t xml:space="preserve">3.2 is that the ASR used by ETS is extremely likely to produce some false positives among the 58,464 matches identified by the software in respect of TOEIC test recordings.  This is despite the threshold </w:t>
      </w:r>
      <w:r>
        <w:rPr>
          <w:rFonts w:ascii="Book Antiqua" w:hAnsi="Book Antiqua" w:cs="Arial"/>
        </w:rPr>
        <w:t>for</w:t>
      </w:r>
      <w:r w:rsidRPr="00E74549">
        <w:rPr>
          <w:rFonts w:ascii="Book Antiqua" w:hAnsi="Book Antiqua" w:cs="Arial"/>
        </w:rPr>
        <w:t xml:space="preserve"> producing matches having been set conservatively.  The number of false positives produced by the ASR cannot however be</w:t>
      </w:r>
      <w:r>
        <w:rPr>
          <w:rFonts w:ascii="Book Antiqua" w:hAnsi="Book Antiqua" w:cs="Arial"/>
        </w:rPr>
        <w:t xml:space="preserve"> estimated with any great degree of precision.</w:t>
      </w:r>
    </w:p>
    <w:p w:rsidR="001F44CF" w:rsidRDefault="001F44CF" w:rsidP="001F44CF">
      <w:pPr>
        <w:pStyle w:val="ListParagraph"/>
        <w:rPr>
          <w:rFonts w:ascii="Book Antiqua" w:hAnsi="Book Antiqua" w:cs="Arial"/>
        </w:rPr>
      </w:pPr>
    </w:p>
    <w:p w:rsidR="001F44CF" w:rsidRDefault="001F44CF" w:rsidP="001F44CF">
      <w:pPr>
        <w:pStyle w:val="BodyText"/>
        <w:numPr>
          <w:ilvl w:val="0"/>
          <w:numId w:val="1"/>
        </w:numPr>
        <w:tabs>
          <w:tab w:val="clear" w:pos="1134"/>
          <w:tab w:val="clear" w:pos="4111"/>
          <w:tab w:val="clear" w:pos="8364"/>
        </w:tabs>
        <w:spacing w:line="240" w:lineRule="auto"/>
        <w:rPr>
          <w:rFonts w:ascii="Book Antiqua" w:hAnsi="Book Antiqua" w:cs="Arial"/>
        </w:rPr>
      </w:pPr>
      <w:r>
        <w:rPr>
          <w:rFonts w:ascii="Book Antiqua" w:hAnsi="Book Antiqua" w:cs="Arial"/>
        </w:rPr>
        <w:t xml:space="preserve">The error rate of 2% quoted for the pilot test was not broken down into false positives versus false negatives.  But even if one assumes the </w:t>
      </w:r>
      <w:proofErr w:type="gramStart"/>
      <w:r>
        <w:rPr>
          <w:rFonts w:ascii="Book Antiqua" w:hAnsi="Book Antiqua" w:cs="Arial"/>
        </w:rPr>
        <w:t>worst case</w:t>
      </w:r>
      <w:proofErr w:type="gramEnd"/>
      <w:r>
        <w:rPr>
          <w:rFonts w:ascii="Book Antiqua" w:hAnsi="Book Antiqua" w:cs="Arial"/>
        </w:rPr>
        <w:t xml:space="preserve"> scenario, that all the errors were false positives, the safety net system of having trained listeners assess all the matches shown up by the ASR would, in his opinion, have made a very large reduction to the overall number of false positives.</w:t>
      </w:r>
    </w:p>
    <w:p w:rsidR="001F44CF" w:rsidRDefault="001F44CF" w:rsidP="001F44CF">
      <w:pPr>
        <w:pStyle w:val="ListParagraph"/>
        <w:rPr>
          <w:rFonts w:ascii="Book Antiqua" w:hAnsi="Book Antiqua" w:cs="Arial"/>
        </w:rPr>
      </w:pPr>
    </w:p>
    <w:p w:rsidR="001F44CF" w:rsidRDefault="001F44CF" w:rsidP="001F44CF">
      <w:pPr>
        <w:pStyle w:val="BodyText"/>
        <w:numPr>
          <w:ilvl w:val="0"/>
          <w:numId w:val="1"/>
        </w:numPr>
        <w:tabs>
          <w:tab w:val="clear" w:pos="1134"/>
          <w:tab w:val="clear" w:pos="4111"/>
          <w:tab w:val="clear" w:pos="8364"/>
        </w:tabs>
        <w:spacing w:line="240" w:lineRule="auto"/>
        <w:rPr>
          <w:rFonts w:ascii="Book Antiqua" w:hAnsi="Book Antiqua" w:cs="Arial"/>
        </w:rPr>
      </w:pPr>
      <w:r>
        <w:rPr>
          <w:rFonts w:ascii="Book Antiqua" w:hAnsi="Book Antiqua" w:cs="Arial"/>
        </w:rPr>
        <w:lastRenderedPageBreak/>
        <w:t>At paragraph 3.3.7, Professor French refers to the fact that of the 58,464 matches produced by the ASR, only 33,735 were confirmed by the listener pairs.  In other words, only 57.7% of matches were accepted.</w:t>
      </w:r>
    </w:p>
    <w:p w:rsidR="001F44CF" w:rsidRDefault="001F44CF" w:rsidP="001F44CF">
      <w:pPr>
        <w:pStyle w:val="ListParagraph"/>
        <w:rPr>
          <w:rFonts w:ascii="Book Antiqua" w:hAnsi="Book Antiqua" w:cs="Arial"/>
        </w:rPr>
      </w:pPr>
    </w:p>
    <w:p w:rsidR="001F44CF" w:rsidRDefault="001F44CF" w:rsidP="001F44CF">
      <w:pPr>
        <w:pStyle w:val="BodyText"/>
        <w:numPr>
          <w:ilvl w:val="0"/>
          <w:numId w:val="1"/>
        </w:numPr>
        <w:tabs>
          <w:tab w:val="clear" w:pos="1134"/>
          <w:tab w:val="clear" w:pos="4111"/>
          <w:tab w:val="clear" w:pos="8364"/>
        </w:tabs>
        <w:spacing w:line="240" w:lineRule="auto"/>
        <w:rPr>
          <w:rFonts w:ascii="Book Antiqua" w:hAnsi="Book Antiqua" w:cs="Arial"/>
        </w:rPr>
      </w:pPr>
      <w:r>
        <w:rPr>
          <w:rFonts w:ascii="Book Antiqua" w:hAnsi="Book Antiqua" w:cs="Arial"/>
        </w:rPr>
        <w:t xml:space="preserve">Professor French opines that the very high rejection rate of 42.3% is in part attributable to the stringent conditions laid down for match confirmation i.e. for acceptance of a match both listeners working independently had to confirm it, and the test for individual acceptance was that, </w:t>
      </w:r>
      <w:r w:rsidRPr="00CF564B">
        <w:rPr>
          <w:rFonts w:ascii="Book Antiqua" w:hAnsi="Book Antiqua" w:cs="Arial"/>
          <w:i/>
        </w:rPr>
        <w:t>“any doubt about the validity of the match will result in it being rejected”</w:t>
      </w:r>
      <w:r>
        <w:rPr>
          <w:rFonts w:ascii="Book Antiqua" w:hAnsi="Book Antiqua" w:cs="Arial"/>
        </w:rPr>
        <w:t xml:space="preserve">, citing the witness statement of Peter Millington at paragraph 45.  </w:t>
      </w:r>
    </w:p>
    <w:p w:rsidR="001F44CF" w:rsidRDefault="001F44CF" w:rsidP="001F44CF">
      <w:pPr>
        <w:pStyle w:val="ListParagraph"/>
        <w:rPr>
          <w:rFonts w:ascii="Book Antiqua" w:hAnsi="Book Antiqua" w:cs="Arial"/>
        </w:rPr>
      </w:pPr>
    </w:p>
    <w:p w:rsidR="001F44CF" w:rsidRDefault="001F44CF" w:rsidP="001F44CF">
      <w:pPr>
        <w:pStyle w:val="BodyText"/>
        <w:numPr>
          <w:ilvl w:val="0"/>
          <w:numId w:val="1"/>
        </w:numPr>
        <w:tabs>
          <w:tab w:val="clear" w:pos="1134"/>
          <w:tab w:val="clear" w:pos="4111"/>
          <w:tab w:val="clear" w:pos="8364"/>
        </w:tabs>
        <w:spacing w:line="240" w:lineRule="auto"/>
        <w:rPr>
          <w:rFonts w:ascii="Book Antiqua" w:hAnsi="Book Antiqua" w:cs="Arial"/>
        </w:rPr>
      </w:pPr>
      <w:r>
        <w:rPr>
          <w:rFonts w:ascii="Book Antiqua" w:hAnsi="Book Antiqua" w:cs="Arial"/>
        </w:rPr>
        <w:t xml:space="preserve">His conclusions at paragraph 4 are that the conditions used for trained listener pair confirmation, in conjunction with the conservative threshold set for ASR match identification, would, in his view, have resulted in substantially more false rejections than false positives.  </w:t>
      </w:r>
    </w:p>
    <w:p w:rsidR="001F44CF" w:rsidRDefault="001F44CF" w:rsidP="001F44CF">
      <w:pPr>
        <w:pStyle w:val="ListParagraph"/>
        <w:rPr>
          <w:rFonts w:ascii="Book Antiqua" w:hAnsi="Book Antiqua" w:cs="Arial"/>
        </w:rPr>
      </w:pPr>
    </w:p>
    <w:p w:rsidR="001F44CF" w:rsidRDefault="001F44CF" w:rsidP="001F44CF">
      <w:pPr>
        <w:pStyle w:val="BodyText"/>
        <w:numPr>
          <w:ilvl w:val="0"/>
          <w:numId w:val="1"/>
        </w:numPr>
        <w:tabs>
          <w:tab w:val="clear" w:pos="1134"/>
          <w:tab w:val="clear" w:pos="4111"/>
          <w:tab w:val="clear" w:pos="8364"/>
        </w:tabs>
        <w:spacing w:line="240" w:lineRule="auto"/>
        <w:rPr>
          <w:rFonts w:ascii="Book Antiqua" w:hAnsi="Book Antiqua" w:cs="Arial"/>
        </w:rPr>
      </w:pPr>
      <w:r>
        <w:rPr>
          <w:rFonts w:ascii="Book Antiqua" w:hAnsi="Book Antiqua" w:cs="Arial"/>
        </w:rPr>
        <w:t xml:space="preserve">Even though there is material missing from the body of information called for by Dr Harrison, he is not convinced that the provision of such information could be used to establish a closely specified percentage of false positives.  </w:t>
      </w:r>
    </w:p>
    <w:p w:rsidR="001F44CF" w:rsidRDefault="001F44CF" w:rsidP="001F44CF">
      <w:pPr>
        <w:pStyle w:val="ListParagraph"/>
        <w:rPr>
          <w:rFonts w:ascii="Book Antiqua" w:hAnsi="Book Antiqua" w:cs="Arial"/>
        </w:rPr>
      </w:pPr>
    </w:p>
    <w:p w:rsidR="001F44CF" w:rsidRPr="00740CA8" w:rsidRDefault="001F44CF" w:rsidP="001F44CF">
      <w:pPr>
        <w:pStyle w:val="BodyText"/>
        <w:numPr>
          <w:ilvl w:val="0"/>
          <w:numId w:val="1"/>
        </w:numPr>
        <w:tabs>
          <w:tab w:val="clear" w:pos="1134"/>
          <w:tab w:val="clear" w:pos="4111"/>
          <w:tab w:val="clear" w:pos="8364"/>
        </w:tabs>
        <w:spacing w:line="240" w:lineRule="auto"/>
        <w:rPr>
          <w:rFonts w:ascii="Book Antiqua" w:hAnsi="Book Antiqua" w:cs="Arial"/>
        </w:rPr>
      </w:pPr>
      <w:r>
        <w:rPr>
          <w:rFonts w:ascii="Book Antiqua" w:hAnsi="Book Antiqua" w:cs="Arial"/>
        </w:rPr>
        <w:t>If the 2% error rate established for the pilot recordings were to apply to the TOEIC recordings, he estimates that the number of false positives is likely to be substantially less than 1% after the process of assessment by trained listeners has been applied.</w:t>
      </w:r>
    </w:p>
    <w:p w:rsidR="00F31F24" w:rsidRDefault="001F44CF">
      <w:pPr>
        <w:numPr>
          <w:ilvl w:val="0"/>
          <w:numId w:val="1"/>
        </w:numPr>
        <w:spacing w:before="240"/>
        <w:jc w:val="both"/>
        <w:rPr>
          <w:rFonts w:ascii="Book Antiqua" w:hAnsi="Book Antiqua" w:cs="Arial"/>
        </w:rPr>
      </w:pPr>
      <w:r>
        <w:rPr>
          <w:rFonts w:ascii="Book Antiqua" w:hAnsi="Book Antiqua" w:cs="Arial"/>
        </w:rPr>
        <w:t>In short, w</w:t>
      </w:r>
      <w:r w:rsidR="00827516">
        <w:rPr>
          <w:rFonts w:ascii="Book Antiqua" w:hAnsi="Book Antiqua" w:cs="Arial"/>
        </w:rPr>
        <w:t>hereas Dr Harrison is</w:t>
      </w:r>
      <w:r w:rsidR="00F31F24">
        <w:rPr>
          <w:rFonts w:ascii="Book Antiqua" w:hAnsi="Book Antiqua" w:cs="Arial"/>
        </w:rPr>
        <w:t xml:space="preserve"> of the view that the shortcomings in the process used </w:t>
      </w:r>
      <w:r w:rsidR="002C29C6">
        <w:rPr>
          <w:rFonts w:ascii="Book Antiqua" w:hAnsi="Book Antiqua" w:cs="Arial"/>
        </w:rPr>
        <w:t xml:space="preserve">by ETS </w:t>
      </w:r>
      <w:r w:rsidR="00F31F24">
        <w:rPr>
          <w:rFonts w:ascii="Book Antiqua" w:hAnsi="Book Antiqua" w:cs="Arial"/>
        </w:rPr>
        <w:t>t</w:t>
      </w:r>
      <w:r w:rsidR="00827516">
        <w:rPr>
          <w:rFonts w:ascii="Book Antiqua" w:hAnsi="Book Antiqua" w:cs="Arial"/>
        </w:rPr>
        <w:t>o identify proxy test-takers is</w:t>
      </w:r>
      <w:r w:rsidR="00F31F24">
        <w:rPr>
          <w:rFonts w:ascii="Book Antiqua" w:hAnsi="Book Antiqua" w:cs="Arial"/>
        </w:rPr>
        <w:t xml:space="preserve"> so great that the rate of false positives migh</w:t>
      </w:r>
      <w:r w:rsidR="002C29C6">
        <w:rPr>
          <w:rFonts w:ascii="Book Antiqua" w:hAnsi="Book Antiqua" w:cs="Arial"/>
        </w:rPr>
        <w:t xml:space="preserve">t be as high as 30% or 40%, </w:t>
      </w:r>
      <w:r w:rsidR="00F31F24">
        <w:rPr>
          <w:rFonts w:ascii="Book Antiqua" w:hAnsi="Book Antiqua" w:cs="Arial"/>
        </w:rPr>
        <w:t>in Professor French’s view the number of false positiv</w:t>
      </w:r>
      <w:r w:rsidR="00827516">
        <w:rPr>
          <w:rFonts w:ascii="Book Antiqua" w:hAnsi="Book Antiqua" w:cs="Arial"/>
        </w:rPr>
        <w:t>es is likely to be of a much lower order of magnitude.</w:t>
      </w:r>
    </w:p>
    <w:p w:rsidR="001F44CF" w:rsidRPr="001F44CF" w:rsidRDefault="001F44CF" w:rsidP="001F44CF">
      <w:pPr>
        <w:numPr>
          <w:ilvl w:val="0"/>
          <w:numId w:val="1"/>
        </w:numPr>
        <w:spacing w:before="240"/>
        <w:jc w:val="both"/>
        <w:rPr>
          <w:rFonts w:ascii="Book Antiqua" w:hAnsi="Book Antiqua" w:cs="Arial"/>
        </w:rPr>
      </w:pPr>
      <w:r>
        <w:rPr>
          <w:rFonts w:ascii="Book Antiqua" w:hAnsi="Book Antiqua" w:cs="Arial"/>
        </w:rPr>
        <w:t xml:space="preserve">Accordingly, </w:t>
      </w:r>
      <w:r w:rsidR="002618BA">
        <w:rPr>
          <w:rFonts w:ascii="Book Antiqua" w:hAnsi="Book Antiqua" w:cs="Arial"/>
        </w:rPr>
        <w:t xml:space="preserve">absent an expert report from Dr Harrison or another expert in rebuttal, </w:t>
      </w:r>
      <w:r>
        <w:rPr>
          <w:rFonts w:ascii="Book Antiqua" w:hAnsi="Book Antiqua" w:cs="Arial"/>
        </w:rPr>
        <w:t xml:space="preserve">a much stronger prima facie case of deception was raised against this claimant than was raised against the claimants in </w:t>
      </w:r>
      <w:r>
        <w:rPr>
          <w:rFonts w:ascii="Book Antiqua" w:hAnsi="Book Antiqua" w:cs="Arial"/>
          <w:b/>
          <w:bCs/>
          <w:u w:val="single"/>
        </w:rPr>
        <w:t xml:space="preserve">SM &amp; </w:t>
      </w:r>
      <w:proofErr w:type="spellStart"/>
      <w:r>
        <w:rPr>
          <w:rFonts w:ascii="Book Antiqua" w:hAnsi="Book Antiqua" w:cs="Arial"/>
          <w:b/>
          <w:bCs/>
          <w:u w:val="single"/>
        </w:rPr>
        <w:t>Qadir</w:t>
      </w:r>
      <w:proofErr w:type="spellEnd"/>
      <w:r>
        <w:rPr>
          <w:rFonts w:ascii="Book Antiqua" w:hAnsi="Book Antiqua" w:cs="Arial"/>
        </w:rPr>
        <w:t>, and the evidential burden on this claimant to produce an innocent explanation for</w:t>
      </w:r>
      <w:r w:rsidR="00827516">
        <w:rPr>
          <w:rFonts w:ascii="Book Antiqua" w:hAnsi="Book Antiqua" w:cs="Arial"/>
        </w:rPr>
        <w:t xml:space="preserve"> his</w:t>
      </w:r>
      <w:r>
        <w:rPr>
          <w:rFonts w:ascii="Book Antiqua" w:hAnsi="Book Antiqua" w:cs="Arial"/>
        </w:rPr>
        <w:t xml:space="preserve"> invalid</w:t>
      </w:r>
      <w:r w:rsidR="00827516">
        <w:rPr>
          <w:rFonts w:ascii="Book Antiqua" w:hAnsi="Book Antiqua" w:cs="Arial"/>
        </w:rPr>
        <w:t>ated</w:t>
      </w:r>
      <w:r>
        <w:rPr>
          <w:rFonts w:ascii="Book Antiqua" w:hAnsi="Book Antiqua" w:cs="Arial"/>
        </w:rPr>
        <w:t xml:space="preserve"> test results was correspondingly more onerous, at least in theory.</w:t>
      </w:r>
    </w:p>
    <w:p w:rsidR="002F00EE" w:rsidRDefault="00F31F24" w:rsidP="002F00EE">
      <w:pPr>
        <w:numPr>
          <w:ilvl w:val="0"/>
          <w:numId w:val="1"/>
        </w:numPr>
        <w:spacing w:before="240"/>
        <w:jc w:val="both"/>
        <w:rPr>
          <w:rFonts w:ascii="Book Antiqua" w:hAnsi="Book Antiqua" w:cs="Arial"/>
        </w:rPr>
      </w:pPr>
      <w:r w:rsidRPr="002F00EE">
        <w:rPr>
          <w:rFonts w:ascii="Book Antiqua" w:hAnsi="Book Antiqua" w:cs="Arial"/>
        </w:rPr>
        <w:t xml:space="preserve">For the above reason, the Judge was wrong to approach the issue of cheating on the basis that it did not really matter what evidence was deployed by the Secretary of State; </w:t>
      </w:r>
      <w:r w:rsidR="002C29C6" w:rsidRPr="002F00EE">
        <w:rPr>
          <w:rFonts w:ascii="Book Antiqua" w:hAnsi="Book Antiqua" w:cs="Arial"/>
        </w:rPr>
        <w:t xml:space="preserve">and that </w:t>
      </w:r>
      <w:r w:rsidRPr="002F00EE">
        <w:rPr>
          <w:rFonts w:ascii="Book Antiqua" w:hAnsi="Book Antiqua" w:cs="Arial"/>
        </w:rPr>
        <w:t>the only thing that mattered was whether he believed that the claimant was credible in his denial of cheating.</w:t>
      </w:r>
      <w:r w:rsidR="001F44CF" w:rsidRPr="002F00EE">
        <w:rPr>
          <w:rFonts w:ascii="Book Antiqua" w:hAnsi="Book Antiqua" w:cs="Arial"/>
        </w:rPr>
        <w:t xml:space="preserve"> It was incumb</w:t>
      </w:r>
      <w:r w:rsidR="002F00EE" w:rsidRPr="002F00EE">
        <w:rPr>
          <w:rFonts w:ascii="Book Antiqua" w:hAnsi="Book Antiqua" w:cs="Arial"/>
        </w:rPr>
        <w:t xml:space="preserve">ent on the Judge to evaluate the additional evidence relied upon by the Secretary of State, and to make findings as to whether and to what extent it bolstered the case on deception, before addressing the question whether the claimant had, </w:t>
      </w:r>
      <w:r w:rsidR="002F00EE" w:rsidRPr="002F00EE">
        <w:rPr>
          <w:rFonts w:ascii="Book Antiqua" w:hAnsi="Book Antiqua" w:cs="Arial"/>
          <w:i/>
        </w:rPr>
        <w:t xml:space="preserve">in the </w:t>
      </w:r>
      <w:proofErr w:type="gramStart"/>
      <w:r w:rsidR="002F00EE" w:rsidRPr="002F00EE">
        <w:rPr>
          <w:rFonts w:ascii="Book Antiqua" w:hAnsi="Book Antiqua" w:cs="Arial"/>
          <w:i/>
        </w:rPr>
        <w:t>particular circumstances</w:t>
      </w:r>
      <w:proofErr w:type="gramEnd"/>
      <w:r w:rsidR="002F00EE" w:rsidRPr="002F00EE">
        <w:rPr>
          <w:rFonts w:ascii="Book Antiqua" w:hAnsi="Book Antiqua" w:cs="Arial"/>
          <w:i/>
        </w:rPr>
        <w:t xml:space="preserve"> of his case (including the </w:t>
      </w:r>
      <w:r w:rsidR="00827516">
        <w:rPr>
          <w:rFonts w:ascii="Book Antiqua" w:hAnsi="Book Antiqua" w:cs="Arial"/>
          <w:i/>
        </w:rPr>
        <w:t xml:space="preserve">additional </w:t>
      </w:r>
      <w:r w:rsidR="002F00EE" w:rsidRPr="002F00EE">
        <w:rPr>
          <w:rFonts w:ascii="Book Antiqua" w:hAnsi="Book Antiqua" w:cs="Arial"/>
          <w:i/>
        </w:rPr>
        <w:t xml:space="preserve">evidence deployed against him by the Secretary of State), </w:t>
      </w:r>
      <w:r w:rsidR="002F00EE" w:rsidRPr="002F00EE">
        <w:rPr>
          <w:rFonts w:ascii="Book Antiqua" w:hAnsi="Book Antiqua" w:cs="Arial"/>
        </w:rPr>
        <w:t xml:space="preserve">provided an innocent explanation. </w:t>
      </w:r>
    </w:p>
    <w:p w:rsidR="00F31F24" w:rsidRPr="002F00EE" w:rsidRDefault="002F00EE" w:rsidP="002F00EE">
      <w:pPr>
        <w:numPr>
          <w:ilvl w:val="0"/>
          <w:numId w:val="1"/>
        </w:numPr>
        <w:spacing w:before="240"/>
        <w:jc w:val="both"/>
        <w:rPr>
          <w:rFonts w:ascii="Book Antiqua" w:hAnsi="Book Antiqua" w:cs="Arial"/>
        </w:rPr>
      </w:pPr>
      <w:r>
        <w:rPr>
          <w:rFonts w:ascii="Book Antiqua" w:hAnsi="Book Antiqua" w:cs="Arial"/>
        </w:rPr>
        <w:t>Acc</w:t>
      </w:r>
      <w:r w:rsidR="00F31F24" w:rsidRPr="002F00EE">
        <w:rPr>
          <w:rFonts w:ascii="Book Antiqua" w:hAnsi="Book Antiqua" w:cs="Arial"/>
        </w:rPr>
        <w:t xml:space="preserve">ordingly, the decision of the First-tier Tribunal was vitiated by a material error of law, such that the decision must be set aside and remade.  As the Secretary of State has been deprived of a fair hearing in the First-tier Tribunal, the appeal must be remitted </w:t>
      </w:r>
      <w:r w:rsidR="00F31F24" w:rsidRPr="002F00EE">
        <w:rPr>
          <w:rFonts w:ascii="Book Antiqua" w:hAnsi="Book Antiqua" w:cs="Arial"/>
        </w:rPr>
        <w:lastRenderedPageBreak/>
        <w:t>to the First-tier Tribunal for a fresh hearing, with none of the findings of fact made by the previous Tribunal being preserved.</w:t>
      </w:r>
    </w:p>
    <w:p w:rsidR="00F31F24" w:rsidRDefault="00F31F24">
      <w:pPr>
        <w:jc w:val="both"/>
        <w:outlineLvl w:val="0"/>
        <w:rPr>
          <w:rFonts w:ascii="Book Antiqua" w:hAnsi="Book Antiqua" w:cs="Arial"/>
          <w:b/>
          <w:u w:val="single"/>
        </w:rPr>
      </w:pPr>
    </w:p>
    <w:p w:rsidR="00F31F24" w:rsidRDefault="00F31F24">
      <w:pPr>
        <w:jc w:val="both"/>
        <w:outlineLvl w:val="0"/>
        <w:rPr>
          <w:rFonts w:ascii="Book Antiqua" w:hAnsi="Book Antiqua" w:cs="Arial"/>
          <w:b/>
          <w:u w:val="single"/>
        </w:rPr>
      </w:pPr>
      <w:r>
        <w:rPr>
          <w:rFonts w:ascii="Book Antiqua" w:hAnsi="Book Antiqua" w:cs="Arial"/>
          <w:b/>
          <w:u w:val="single"/>
        </w:rPr>
        <w:t>Notice of Decision</w:t>
      </w:r>
    </w:p>
    <w:p w:rsidR="00F31F24" w:rsidRDefault="00F31F24">
      <w:pPr>
        <w:tabs>
          <w:tab w:val="left" w:pos="567"/>
        </w:tabs>
        <w:jc w:val="both"/>
        <w:rPr>
          <w:rFonts w:ascii="Book Antiqua" w:hAnsi="Book Antiqua" w:cs="Arial"/>
        </w:rPr>
      </w:pPr>
    </w:p>
    <w:p w:rsidR="00F31F24" w:rsidRDefault="00F31F24">
      <w:pPr>
        <w:tabs>
          <w:tab w:val="left" w:pos="567"/>
        </w:tabs>
        <w:jc w:val="both"/>
        <w:rPr>
          <w:rFonts w:ascii="Book Antiqua" w:hAnsi="Book Antiqua" w:cs="Arial"/>
        </w:rPr>
      </w:pPr>
      <w:r>
        <w:rPr>
          <w:rFonts w:ascii="Book Antiqua" w:hAnsi="Book Antiqua" w:cs="Arial"/>
        </w:rPr>
        <w:t xml:space="preserve">The decision of the First-tier Tribunal contained an error of law, such that the decision must be set aside </w:t>
      </w:r>
      <w:r w:rsidR="000A5593">
        <w:rPr>
          <w:rFonts w:ascii="Book Antiqua" w:hAnsi="Book Antiqua" w:cs="Arial"/>
        </w:rPr>
        <w:t xml:space="preserve">in its entirety </w:t>
      </w:r>
      <w:r>
        <w:rPr>
          <w:rFonts w:ascii="Book Antiqua" w:hAnsi="Book Antiqua" w:cs="Arial"/>
        </w:rPr>
        <w:t>and remade.</w:t>
      </w:r>
    </w:p>
    <w:p w:rsidR="00F31F24" w:rsidRDefault="00F31F24">
      <w:pPr>
        <w:tabs>
          <w:tab w:val="left" w:pos="567"/>
        </w:tabs>
        <w:jc w:val="both"/>
        <w:rPr>
          <w:rFonts w:ascii="Book Antiqua" w:hAnsi="Book Antiqua" w:cs="Arial"/>
        </w:rPr>
      </w:pPr>
    </w:p>
    <w:p w:rsidR="00F31F24" w:rsidRPr="000A5593" w:rsidRDefault="00F31F24">
      <w:pPr>
        <w:tabs>
          <w:tab w:val="left" w:pos="567"/>
        </w:tabs>
        <w:jc w:val="both"/>
        <w:rPr>
          <w:rFonts w:ascii="Book Antiqua" w:hAnsi="Book Antiqua" w:cs="Arial"/>
          <w:b/>
          <w:u w:val="single"/>
        </w:rPr>
      </w:pPr>
      <w:r w:rsidRPr="000A5593">
        <w:rPr>
          <w:rFonts w:ascii="Book Antiqua" w:hAnsi="Book Antiqua" w:cs="Arial"/>
          <w:b/>
          <w:u w:val="single"/>
        </w:rPr>
        <w:t>Directions</w:t>
      </w:r>
    </w:p>
    <w:p w:rsidR="000D5D68" w:rsidRDefault="000D5D68">
      <w:pPr>
        <w:tabs>
          <w:tab w:val="left" w:pos="567"/>
        </w:tabs>
        <w:jc w:val="both"/>
        <w:rPr>
          <w:rFonts w:ascii="Book Antiqua" w:hAnsi="Book Antiqua" w:cs="Arial"/>
          <w:b/>
        </w:rPr>
      </w:pPr>
    </w:p>
    <w:p w:rsidR="000A5593" w:rsidRDefault="00F31F24">
      <w:pPr>
        <w:tabs>
          <w:tab w:val="left" w:pos="567"/>
        </w:tabs>
        <w:jc w:val="both"/>
        <w:rPr>
          <w:rFonts w:ascii="Book Antiqua" w:hAnsi="Book Antiqua" w:cs="Arial"/>
          <w:b/>
        </w:rPr>
      </w:pPr>
      <w:r w:rsidRPr="000A5593">
        <w:rPr>
          <w:rFonts w:ascii="Book Antiqua" w:hAnsi="Book Antiqua" w:cs="Arial"/>
          <w:b/>
        </w:rPr>
        <w:t>This appeal is remitted to the First-tier Tribunal at Hatton Cross for a fresh hearing</w:t>
      </w:r>
      <w:r w:rsidR="000A5593">
        <w:rPr>
          <w:rFonts w:ascii="Book Antiqua" w:hAnsi="Book Antiqua" w:cs="Arial"/>
          <w:b/>
        </w:rPr>
        <w:t xml:space="preserve"> (Judge </w:t>
      </w:r>
      <w:proofErr w:type="spellStart"/>
      <w:r w:rsidR="000A5593">
        <w:rPr>
          <w:rFonts w:ascii="Book Antiqua" w:hAnsi="Book Antiqua" w:cs="Arial"/>
          <w:b/>
        </w:rPr>
        <w:t>Hembrough</w:t>
      </w:r>
      <w:proofErr w:type="spellEnd"/>
      <w:r w:rsidR="000A5593">
        <w:rPr>
          <w:rFonts w:ascii="Book Antiqua" w:hAnsi="Book Antiqua" w:cs="Arial"/>
          <w:b/>
        </w:rPr>
        <w:t xml:space="preserve"> not compatible)</w:t>
      </w:r>
      <w:r w:rsidRPr="000A5593">
        <w:rPr>
          <w:rFonts w:ascii="Book Antiqua" w:hAnsi="Book Antiqua" w:cs="Arial"/>
          <w:b/>
        </w:rPr>
        <w:t xml:space="preserve">, with none of the findings of fact made by the previous Tribunal being preserved.  </w:t>
      </w:r>
    </w:p>
    <w:p w:rsidR="000A5593" w:rsidRDefault="000A5593">
      <w:pPr>
        <w:tabs>
          <w:tab w:val="left" w:pos="567"/>
        </w:tabs>
        <w:jc w:val="both"/>
        <w:rPr>
          <w:rFonts w:ascii="Book Antiqua" w:hAnsi="Book Antiqua" w:cs="Arial"/>
          <w:b/>
        </w:rPr>
      </w:pPr>
    </w:p>
    <w:p w:rsidR="00F31F24" w:rsidRPr="000A5593" w:rsidRDefault="00F31F24">
      <w:pPr>
        <w:tabs>
          <w:tab w:val="left" w:pos="567"/>
        </w:tabs>
        <w:jc w:val="both"/>
        <w:rPr>
          <w:rFonts w:ascii="Book Antiqua" w:hAnsi="Book Antiqua" w:cs="Arial"/>
          <w:b/>
        </w:rPr>
      </w:pPr>
      <w:r w:rsidRPr="000A5593">
        <w:rPr>
          <w:rFonts w:ascii="Book Antiqua" w:hAnsi="Book Antiqua" w:cs="Arial"/>
          <w:b/>
        </w:rPr>
        <w:t>My time estimate for the hearing is 2 hours.</w:t>
      </w:r>
    </w:p>
    <w:p w:rsidR="00F31F24" w:rsidRDefault="00F31F24">
      <w:pPr>
        <w:tabs>
          <w:tab w:val="left" w:pos="567"/>
        </w:tabs>
        <w:jc w:val="both"/>
        <w:rPr>
          <w:rFonts w:ascii="Book Antiqua" w:hAnsi="Book Antiqua" w:cs="Arial"/>
        </w:rPr>
      </w:pPr>
    </w:p>
    <w:p w:rsidR="00F31F24" w:rsidRPr="000A5593" w:rsidRDefault="00F31F24">
      <w:pPr>
        <w:tabs>
          <w:tab w:val="left" w:pos="567"/>
        </w:tabs>
        <w:jc w:val="both"/>
        <w:rPr>
          <w:rFonts w:ascii="Book Antiqua" w:hAnsi="Book Antiqua" w:cs="Arial"/>
          <w:b/>
        </w:rPr>
      </w:pPr>
      <w:r w:rsidRPr="000A5593">
        <w:rPr>
          <w:rFonts w:ascii="Book Antiqua" w:hAnsi="Book Antiqua" w:cs="Arial"/>
          <w:b/>
        </w:rPr>
        <w:t>I make no anonymity direction.</w:t>
      </w:r>
    </w:p>
    <w:p w:rsidR="00F31F24" w:rsidRDefault="00F31F24">
      <w:pPr>
        <w:tabs>
          <w:tab w:val="left" w:pos="567"/>
        </w:tabs>
        <w:jc w:val="both"/>
        <w:rPr>
          <w:rFonts w:ascii="Book Antiqua" w:hAnsi="Book Antiqua" w:cs="Arial"/>
        </w:rPr>
      </w:pPr>
    </w:p>
    <w:p w:rsidR="00F31F24" w:rsidRDefault="00F31F24">
      <w:pPr>
        <w:jc w:val="both"/>
        <w:rPr>
          <w:rFonts w:ascii="Book Antiqua" w:hAnsi="Book Antiqua"/>
        </w:rPr>
      </w:pPr>
    </w:p>
    <w:p w:rsidR="00F31F24" w:rsidRDefault="00F31F24">
      <w:pPr>
        <w:jc w:val="both"/>
        <w:rPr>
          <w:rFonts w:ascii="Book Antiqua" w:hAnsi="Book Antiqua" w:cs="Arial"/>
        </w:rPr>
      </w:pPr>
    </w:p>
    <w:p w:rsidR="00F31F24" w:rsidRDefault="002618BA">
      <w:pPr>
        <w:jc w:val="both"/>
        <w:rPr>
          <w:rFonts w:ascii="Book Antiqua" w:hAnsi="Book Antiqua" w:cs="Arial"/>
        </w:rPr>
      </w:pPr>
      <w:r>
        <w:rPr>
          <w:rFonts w:ascii="Book Antiqua" w:hAnsi="Book Antiqua" w:cs="Arial"/>
        </w:rPr>
        <w:t>Signed</w:t>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r>
      <w:r>
        <w:rPr>
          <w:rFonts w:ascii="Book Antiqua" w:hAnsi="Book Antiqua" w:cs="Arial"/>
        </w:rPr>
        <w:tab/>
        <w:t>Date 26</w:t>
      </w:r>
      <w:r w:rsidR="00F31F24">
        <w:rPr>
          <w:rFonts w:ascii="Book Antiqua" w:hAnsi="Book Antiqua" w:cs="Arial"/>
        </w:rPr>
        <w:t xml:space="preserve"> June 2018</w:t>
      </w:r>
    </w:p>
    <w:p w:rsidR="00F31F24" w:rsidRDefault="00F31F24">
      <w:pPr>
        <w:jc w:val="both"/>
        <w:rPr>
          <w:rFonts w:ascii="Book Antiqua" w:hAnsi="Book Antiqua" w:cs="Arial"/>
        </w:rPr>
      </w:pPr>
    </w:p>
    <w:p w:rsidR="00F31F24" w:rsidRDefault="00F31F24">
      <w:pPr>
        <w:jc w:val="both"/>
        <w:rPr>
          <w:rFonts w:ascii="Book Antiqua" w:hAnsi="Book Antiqua" w:cs="Arial"/>
        </w:rPr>
      </w:pPr>
    </w:p>
    <w:p w:rsidR="00F31F24" w:rsidRDefault="00F31F24">
      <w:pPr>
        <w:jc w:val="both"/>
        <w:rPr>
          <w:rFonts w:ascii="Book Antiqua" w:hAnsi="Book Antiqua" w:cs="Arial"/>
        </w:rPr>
      </w:pPr>
      <w:r>
        <w:rPr>
          <w:rFonts w:ascii="Book Antiqua" w:hAnsi="Book Antiqua" w:cs="Arial"/>
        </w:rPr>
        <w:t>Judge Monson</w:t>
      </w:r>
    </w:p>
    <w:p w:rsidR="00F31F24" w:rsidRDefault="00F31F24">
      <w:pPr>
        <w:jc w:val="both"/>
        <w:rPr>
          <w:rFonts w:ascii="Book Antiqua" w:hAnsi="Book Antiqua" w:cs="Arial"/>
        </w:rPr>
      </w:pPr>
    </w:p>
    <w:p w:rsidR="002618BA" w:rsidRDefault="00F31F24" w:rsidP="009A3BCC">
      <w:pPr>
        <w:jc w:val="both"/>
        <w:rPr>
          <w:rFonts w:ascii="Book Antiqua" w:hAnsi="Book Antiqua" w:cs="Arial"/>
        </w:rPr>
      </w:pPr>
      <w:r>
        <w:rPr>
          <w:rFonts w:ascii="Book Antiqua" w:hAnsi="Book Antiqua" w:cs="Arial"/>
        </w:rPr>
        <w:t>Deputy Upper Tribunal Judge</w:t>
      </w:r>
    </w:p>
    <w:sectPr w:rsidR="002618BA" w:rsidSect="000D5D68">
      <w:headerReference w:type="default" r:id="rId8"/>
      <w:footerReference w:type="default" r:id="rId9"/>
      <w:headerReference w:type="first" r:id="rId10"/>
      <w:footerReference w:type="first" r:id="rId11"/>
      <w:pgSz w:w="11906" w:h="16838"/>
      <w:pgMar w:top="426" w:right="1134" w:bottom="1440" w:left="1134"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56E3" w:rsidRDefault="002956E3">
      <w:r>
        <w:separator/>
      </w:r>
    </w:p>
  </w:endnote>
  <w:endnote w:type="continuationSeparator" w:id="0">
    <w:p w:rsidR="002956E3" w:rsidRDefault="00295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F24" w:rsidRPr="000D5D68" w:rsidRDefault="00F31F24">
    <w:pPr>
      <w:pStyle w:val="Footer"/>
      <w:jc w:val="center"/>
      <w:rPr>
        <w:rFonts w:ascii="Book Antiqua" w:hAnsi="Book Antiqua" w:cs="Arial"/>
      </w:rPr>
    </w:pPr>
    <w:r w:rsidRPr="000D5D68">
      <w:rPr>
        <w:rFonts w:ascii="Book Antiqua" w:hAnsi="Book Antiqua" w:cs="Arial"/>
      </w:rPr>
      <w:fldChar w:fldCharType="begin"/>
    </w:r>
    <w:r w:rsidRPr="000D5D68">
      <w:rPr>
        <w:rStyle w:val="PageNumber"/>
        <w:rFonts w:ascii="Book Antiqua" w:hAnsi="Book Antiqua" w:cs="Arial"/>
      </w:rPr>
      <w:instrText xml:space="preserve"> PAGE </w:instrText>
    </w:r>
    <w:r w:rsidRPr="000D5D68">
      <w:rPr>
        <w:rFonts w:ascii="Book Antiqua" w:hAnsi="Book Antiqua" w:cs="Arial"/>
      </w:rPr>
      <w:fldChar w:fldCharType="separate"/>
    </w:r>
    <w:r w:rsidR="0091566F">
      <w:rPr>
        <w:rStyle w:val="PageNumber"/>
        <w:rFonts w:ascii="Book Antiqua" w:hAnsi="Book Antiqua" w:cs="Arial"/>
        <w:noProof/>
      </w:rPr>
      <w:t>6</w:t>
    </w:r>
    <w:r w:rsidRPr="000D5D68">
      <w:rP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F24" w:rsidRDefault="00F31F24">
    <w:pPr>
      <w:jc w:val="center"/>
      <w:rPr>
        <w:rFonts w:ascii="Book Antiqua" w:hAnsi="Book Antiqua" w:cs="Arial"/>
        <w:b/>
      </w:rPr>
    </w:pPr>
    <w:r>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56E3" w:rsidRDefault="002956E3">
      <w:r>
        <w:separator/>
      </w:r>
    </w:p>
  </w:footnote>
  <w:footnote w:type="continuationSeparator" w:id="0">
    <w:p w:rsidR="002956E3" w:rsidRDefault="00295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F24" w:rsidRDefault="00F31F24">
    <w:pPr>
      <w:pStyle w:val="Header"/>
      <w:tabs>
        <w:tab w:val="clear" w:pos="4153"/>
        <w:tab w:val="clear" w:pos="8306"/>
        <w:tab w:val="right" w:pos="9639"/>
      </w:tabs>
      <w:jc w:val="right"/>
      <w:rPr>
        <w:rFonts w:ascii="Book Antiqua" w:hAnsi="Book Antiqua" w:cs="Arial"/>
        <w:sz w:val="16"/>
        <w:szCs w:val="16"/>
      </w:rPr>
    </w:pPr>
    <w:r>
      <w:rPr>
        <w:rFonts w:ascii="Book Antiqua" w:hAnsi="Book Antiqua" w:cs="Arial"/>
        <w:sz w:val="16"/>
        <w:szCs w:val="16"/>
      </w:rPr>
      <w:t>Appeal Number: HU/11492/2016</w:t>
    </w:r>
  </w:p>
  <w:p w:rsidR="000D5D68" w:rsidRDefault="000D5D68">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F24" w:rsidRDefault="00F31F24">
    <w:pPr>
      <w:pStyle w:val="Header"/>
      <w:rPr>
        <w:rFonts w:ascii="Book Antiqua" w:hAnsi="Book Antiqua"/>
      </w:rPr>
    </w:pPr>
    <w:r>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D60EB8"/>
    <w:multiLevelType w:val="multilevel"/>
    <w:tmpl w:val="14D60EB8"/>
    <w:lvl w:ilvl="0">
      <w:start w:val="1"/>
      <w:numFmt w:val="decimal"/>
      <w:lvlText w:val="%1."/>
      <w:lvlJc w:val="left"/>
      <w:pPr>
        <w:tabs>
          <w:tab w:val="num" w:pos="567"/>
        </w:tabs>
        <w:ind w:left="567" w:hanging="567"/>
      </w:pPr>
      <w:rPr>
        <w:rFonts w:hint="default"/>
        <w:b w:val="0"/>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doNotValidateAgainstSchema/>
  <w:doNotDemarcateInvalidXml/>
  <w:hdrShapeDefaults>
    <o:shapedefaults v:ext="edit" spidmax="3073" strokecolor="#739cc3">
      <v:fill angle="9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A5593"/>
    <w:rsid w:val="000D5D68"/>
    <w:rsid w:val="00172A27"/>
    <w:rsid w:val="001F169F"/>
    <w:rsid w:val="001F44CF"/>
    <w:rsid w:val="002618BA"/>
    <w:rsid w:val="002956E3"/>
    <w:rsid w:val="002C29C6"/>
    <w:rsid w:val="002F00EE"/>
    <w:rsid w:val="00827516"/>
    <w:rsid w:val="0091566F"/>
    <w:rsid w:val="009A3BCC"/>
    <w:rsid w:val="00B2395A"/>
    <w:rsid w:val="00B41CCE"/>
    <w:rsid w:val="00E902FF"/>
    <w:rsid w:val="00EB091C"/>
    <w:rsid w:val="00F31F24"/>
    <w:rsid w:val="00FF0E29"/>
    <w:rsid w:val="01025BDF"/>
    <w:rsid w:val="017770E9"/>
    <w:rsid w:val="02A5443A"/>
    <w:rsid w:val="03E1783D"/>
    <w:rsid w:val="057D74F1"/>
    <w:rsid w:val="059A5658"/>
    <w:rsid w:val="0C365DB2"/>
    <w:rsid w:val="0CE06A9D"/>
    <w:rsid w:val="0D9D376D"/>
    <w:rsid w:val="0E0202C3"/>
    <w:rsid w:val="0E1C2B52"/>
    <w:rsid w:val="0F19354B"/>
    <w:rsid w:val="126E172F"/>
    <w:rsid w:val="13F5090E"/>
    <w:rsid w:val="14132D1C"/>
    <w:rsid w:val="14B71948"/>
    <w:rsid w:val="172C630B"/>
    <w:rsid w:val="174635BB"/>
    <w:rsid w:val="17914C39"/>
    <w:rsid w:val="1A25057E"/>
    <w:rsid w:val="1A853CF6"/>
    <w:rsid w:val="1F036D4B"/>
    <w:rsid w:val="2029338F"/>
    <w:rsid w:val="20E00039"/>
    <w:rsid w:val="214841D7"/>
    <w:rsid w:val="21F903AD"/>
    <w:rsid w:val="23895759"/>
    <w:rsid w:val="23B57380"/>
    <w:rsid w:val="23C710EF"/>
    <w:rsid w:val="26D91087"/>
    <w:rsid w:val="2A74080D"/>
    <w:rsid w:val="2C7D6E9D"/>
    <w:rsid w:val="2CDF0A78"/>
    <w:rsid w:val="30593EC5"/>
    <w:rsid w:val="3360420D"/>
    <w:rsid w:val="3A1958AE"/>
    <w:rsid w:val="3FE14789"/>
    <w:rsid w:val="4599530C"/>
    <w:rsid w:val="46F72B3E"/>
    <w:rsid w:val="47334429"/>
    <w:rsid w:val="47D5272C"/>
    <w:rsid w:val="48ED08B0"/>
    <w:rsid w:val="48F2781B"/>
    <w:rsid w:val="4A4C588A"/>
    <w:rsid w:val="4CC32A5F"/>
    <w:rsid w:val="4D8F66A6"/>
    <w:rsid w:val="4FF8249B"/>
    <w:rsid w:val="529A0E8C"/>
    <w:rsid w:val="5B6B5594"/>
    <w:rsid w:val="5C396EE6"/>
    <w:rsid w:val="5D6436BD"/>
    <w:rsid w:val="5E55107B"/>
    <w:rsid w:val="5E585404"/>
    <w:rsid w:val="5EF51AD7"/>
    <w:rsid w:val="638F284C"/>
    <w:rsid w:val="64E651BE"/>
    <w:rsid w:val="650132BD"/>
    <w:rsid w:val="655B0196"/>
    <w:rsid w:val="655C01FB"/>
    <w:rsid w:val="66923A64"/>
    <w:rsid w:val="676D5DDC"/>
    <w:rsid w:val="68F82D2A"/>
    <w:rsid w:val="690865AE"/>
    <w:rsid w:val="695C13C0"/>
    <w:rsid w:val="6AE506BA"/>
    <w:rsid w:val="6BDC3232"/>
    <w:rsid w:val="6C073C6A"/>
    <w:rsid w:val="6D6C07F2"/>
    <w:rsid w:val="6E693E10"/>
    <w:rsid w:val="6EBF1317"/>
    <w:rsid w:val="71215A94"/>
    <w:rsid w:val="73CA55D0"/>
    <w:rsid w:val="743B3A34"/>
    <w:rsid w:val="75270A11"/>
    <w:rsid w:val="763E42A9"/>
    <w:rsid w:val="7AB33450"/>
    <w:rsid w:val="7BA17301"/>
    <w:rsid w:val="7CF47D8A"/>
    <w:rsid w:val="7FEA66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strokecolor="#739cc3">
      <v:fill angle="90" type="gradient">
        <o:fill v:ext="view" type="gradientUnscaled"/>
      </v:fill>
      <v:stroke color="#739cc3" weight="1.25pt"/>
    </o:shapedefaults>
    <o:shapelayout v:ext="edit">
      <o:idmap v:ext="edit" data="1"/>
    </o:shapelayout>
  </w:shapeDefaults>
  <w:decimalSymbol w:val="."/>
  <w:listSeparator w:val=","/>
  <w14:docId w14:val="2CDAF84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styleId="BalloonText">
    <w:name w:val="Balloon Text"/>
    <w:basedOn w:val="Normal"/>
    <w:semiHidden/>
    <w:rPr>
      <w:rFonts w:ascii="Tahoma" w:hAnsi="Tahoma" w:cs="Tahoma"/>
      <w:sz w:val="16"/>
      <w:szCs w:val="16"/>
    </w:rPr>
  </w:style>
  <w:style w:type="paragraph" w:styleId="BodyText">
    <w:name w:val="Body Text"/>
    <w:basedOn w:val="Normal"/>
    <w:link w:val="BodyTextChar"/>
    <w:rsid w:val="001F44CF"/>
    <w:pPr>
      <w:tabs>
        <w:tab w:val="left" w:pos="567"/>
        <w:tab w:val="left" w:pos="1134"/>
        <w:tab w:val="center" w:pos="4111"/>
        <w:tab w:val="right" w:pos="8364"/>
      </w:tabs>
      <w:spacing w:line="480" w:lineRule="auto"/>
      <w:jc w:val="both"/>
    </w:pPr>
    <w:rPr>
      <w:rFonts w:ascii="Arial" w:hAnsi="Arial"/>
      <w:szCs w:val="20"/>
      <w:lang w:eastAsia="en-US"/>
    </w:rPr>
  </w:style>
  <w:style w:type="character" w:customStyle="1" w:styleId="BodyTextChar">
    <w:name w:val="Body Text Char"/>
    <w:link w:val="BodyText"/>
    <w:rsid w:val="001F44CF"/>
    <w:rPr>
      <w:rFonts w:ascii="Arial" w:hAnsi="Arial"/>
      <w:sz w:val="24"/>
      <w:lang w:eastAsia="en-US"/>
    </w:rPr>
  </w:style>
  <w:style w:type="paragraph" w:styleId="ListParagraph">
    <w:name w:val="List Paragraph"/>
    <w:aliases w:val="Comments,Colorful List - Accent 11"/>
    <w:basedOn w:val="Normal"/>
    <w:qFormat/>
    <w:rsid w:val="001F44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2507</Words>
  <Characters>12409</Characters>
  <Application>Microsoft Office Word</Application>
  <DocSecurity>0</DocSecurity>
  <PresentationFormat/>
  <Lines>103</Lines>
  <Paragraphs>29</Paragraphs>
  <Slides>0</Slides>
  <Notes>0</Notes>
  <HiddenSlides>0</HiddenSlides>
  <MMClips>0</MMClips>
  <ScaleCrop>false</ScaleCrop>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2018-07-16T17:16:00Z</dcterms:created>
  <dcterms:modified xsi:type="dcterms:W3CDTF">2018-07-16T17:16:00Z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