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2" w14:textId="77777777" w:rsidR="00D94AFC" w:rsidRPr="008578D0" w:rsidRDefault="00D94AFC">
      <w:pPr>
        <w:rPr>
          <w:rFonts w:ascii="Arial" w:hAnsi="Arial" w:cs="Arial"/>
          <w:color w:val="000000"/>
        </w:rPr>
      </w:pPr>
    </w:p>
    <w:p w14:paraId="3BB4BA13" w14:textId="77777777" w:rsidR="00F97703" w:rsidRPr="008578D0" w:rsidRDefault="00082D15" w:rsidP="00F97703">
      <w:pPr>
        <w:jc w:val="center"/>
        <w:rPr>
          <w:rFonts w:ascii="Arial" w:hAnsi="Arial" w:cs="Arial"/>
          <w:color w:val="000000"/>
        </w:rPr>
      </w:pPr>
      <w:r w:rsidRPr="008578D0">
        <w:rPr>
          <w:rFonts w:ascii="Arial" w:hAnsi="Arial" w:cs="Arial"/>
          <w:noProof/>
          <w:lang w:val="en-US" w:eastAsia="en-US"/>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14:paraId="3BB4BA14" w14:textId="77777777"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BB4BA16" w14:textId="333226A4" w:rsidR="00C345E1" w:rsidRPr="008578D0" w:rsidRDefault="00F97703" w:rsidP="00641165">
      <w:pPr>
        <w:tabs>
          <w:tab w:val="right" w:pos="9720"/>
        </w:tabs>
        <w:ind w:right="-82"/>
        <w:rPr>
          <w:rFonts w:ascii="Arial" w:hAnsi="Arial" w:cs="Arial"/>
          <w:color w:val="000000"/>
        </w:rPr>
      </w:pPr>
      <w:r w:rsidRPr="576901D2">
        <w:rPr>
          <w:rFonts w:ascii="Arial" w:eastAsia="Arial" w:hAnsi="Arial" w:cs="Arial"/>
          <w:b/>
          <w:bCs/>
          <w:color w:val="000000"/>
        </w:rPr>
        <w:t xml:space="preserve">(Immigration and Asylum </w:t>
      </w:r>
      <w:proofErr w:type="gramStart"/>
      <w:r w:rsidRPr="576901D2">
        <w:rPr>
          <w:rFonts w:ascii="Arial" w:eastAsia="Arial" w:hAnsi="Arial" w:cs="Arial"/>
          <w:b/>
          <w:bCs/>
          <w:color w:val="000000"/>
        </w:rPr>
        <w:t>Chamber)</w:t>
      </w:r>
      <w:r w:rsidR="00E2460B">
        <w:rPr>
          <w:rFonts w:ascii="Arial" w:eastAsia="Arial" w:hAnsi="Arial" w:cs="Arial"/>
          <w:b/>
          <w:bCs/>
          <w:color w:val="000000"/>
        </w:rPr>
        <w:t xml:space="preserve">   </w:t>
      </w:r>
      <w:proofErr w:type="gramEnd"/>
      <w:r w:rsidR="00E2460B">
        <w:rPr>
          <w:rFonts w:ascii="Arial" w:eastAsia="Arial" w:hAnsi="Arial" w:cs="Arial"/>
          <w:b/>
          <w:bCs/>
          <w:color w:val="000000"/>
        </w:rPr>
        <w:t xml:space="preserve">                    </w:t>
      </w:r>
      <w:r w:rsidR="00B3524D" w:rsidRPr="00E2460B">
        <w:rPr>
          <w:rFonts w:ascii="Arial" w:eastAsia="Arial" w:hAnsi="Arial" w:cs="Arial"/>
          <w:b/>
          <w:color w:val="000000"/>
        </w:rPr>
        <w:t>Appeal Number</w:t>
      </w:r>
      <w:r w:rsidR="00D53769" w:rsidRPr="00E2460B">
        <w:rPr>
          <w:rFonts w:ascii="Arial" w:eastAsia="Arial" w:hAnsi="Arial" w:cs="Arial"/>
          <w:b/>
          <w:color w:val="000000"/>
        </w:rPr>
        <w:t>:</w:t>
      </w:r>
      <w:r w:rsidR="00B3524D" w:rsidRPr="00E2460B">
        <w:rPr>
          <w:rFonts w:ascii="Arial" w:eastAsia="Arial" w:hAnsi="Arial" w:cs="Arial"/>
          <w:b/>
          <w:color w:val="000000"/>
        </w:rPr>
        <w:t xml:space="preserve"> </w:t>
      </w:r>
      <w:r w:rsidR="0011348F" w:rsidRPr="00E2460B">
        <w:rPr>
          <w:rFonts w:ascii="Arial" w:eastAsia="Arial" w:hAnsi="Arial" w:cs="Arial"/>
          <w:b/>
          <w:color w:val="000000"/>
        </w:rPr>
        <w:t>HU/11612/2019</w:t>
      </w:r>
      <w:r w:rsidR="008568CF" w:rsidRPr="00E2460B">
        <w:rPr>
          <w:rFonts w:ascii="Arial" w:eastAsia="Arial" w:hAnsi="Arial" w:cs="Arial"/>
          <w:b/>
          <w:color w:val="000000"/>
        </w:rPr>
        <w:t>(P)</w:t>
      </w:r>
    </w:p>
    <w:p w14:paraId="3BB4BA17" w14:textId="77777777" w:rsidR="00C345E1" w:rsidRPr="008578D0" w:rsidRDefault="00C345E1" w:rsidP="00C345E1">
      <w:pPr>
        <w:jc w:val="center"/>
        <w:rPr>
          <w:rFonts w:ascii="Arial" w:hAnsi="Arial" w:cs="Arial"/>
          <w:color w:val="000000"/>
        </w:rPr>
      </w:pPr>
    </w:p>
    <w:p w14:paraId="3BB4BA18" w14:textId="77777777"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C345E1">
      <w:pPr>
        <w:jc w:val="center"/>
        <w:rPr>
          <w:rFonts w:ascii="Arial" w:hAnsi="Arial" w:cs="Arial"/>
          <w:b/>
          <w:u w:val="single"/>
        </w:rPr>
      </w:pPr>
    </w:p>
    <w:p w14:paraId="3BB4BA1A" w14:textId="77777777"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29"/>
        <w:gridCol w:w="4109"/>
      </w:tblGrid>
      <w:tr w:rsidR="00D22636" w:rsidRPr="00FD50E5" w14:paraId="3BB4BA1D" w14:textId="77777777" w:rsidTr="00FE7726">
        <w:tc>
          <w:tcPr>
            <w:tcW w:w="5529" w:type="dxa"/>
            <w:shd w:val="clear" w:color="auto" w:fill="auto"/>
          </w:tcPr>
          <w:p w14:paraId="020535B9" w14:textId="77777777" w:rsidR="00D22636" w:rsidRDefault="003C0ED5" w:rsidP="576901D2">
            <w:pPr>
              <w:jc w:val="both"/>
              <w:rPr>
                <w:rFonts w:ascii="Arial" w:eastAsia="Arial" w:hAnsi="Arial" w:cs="Arial"/>
                <w:b/>
                <w:bCs/>
              </w:rPr>
            </w:pPr>
            <w:r>
              <w:rPr>
                <w:rFonts w:ascii="Arial" w:eastAsia="Arial" w:hAnsi="Arial" w:cs="Arial"/>
                <w:b/>
                <w:bCs/>
              </w:rPr>
              <w:t>Decision under Rule 34</w:t>
            </w:r>
          </w:p>
          <w:p w14:paraId="3BB4BA1B" w14:textId="0E65C0AC" w:rsidR="00B5773A" w:rsidRPr="00FD50E5" w:rsidRDefault="00B5773A" w:rsidP="576901D2">
            <w:pPr>
              <w:jc w:val="both"/>
              <w:rPr>
                <w:rFonts w:ascii="Arial" w:eastAsia="Arial" w:hAnsi="Arial" w:cs="Arial"/>
                <w:b/>
                <w:bCs/>
              </w:rPr>
            </w:pPr>
            <w:r>
              <w:rPr>
                <w:rFonts w:ascii="Arial" w:eastAsia="Arial" w:hAnsi="Arial" w:cs="Arial"/>
                <w:b/>
                <w:bCs/>
              </w:rPr>
              <w:t>Without a hearing</w:t>
            </w:r>
          </w:p>
        </w:tc>
        <w:tc>
          <w:tcPr>
            <w:tcW w:w="4109" w:type="dxa"/>
            <w:shd w:val="clear" w:color="auto" w:fill="auto"/>
          </w:tcPr>
          <w:p w14:paraId="3BB4BA1C" w14:textId="33CEB491" w:rsidR="00D22636" w:rsidRPr="00FD50E5" w:rsidRDefault="576901D2" w:rsidP="576901D2">
            <w:pPr>
              <w:jc w:val="both"/>
              <w:rPr>
                <w:rFonts w:ascii="Arial" w:eastAsia="Arial" w:hAnsi="Arial" w:cs="Arial"/>
                <w:b/>
                <w:bCs/>
                <w:color w:val="000000" w:themeColor="text1"/>
              </w:rPr>
            </w:pPr>
            <w:r w:rsidRPr="576901D2">
              <w:rPr>
                <w:rFonts w:ascii="Arial" w:eastAsia="Arial" w:hAnsi="Arial" w:cs="Arial"/>
                <w:b/>
                <w:bCs/>
                <w:color w:val="000000" w:themeColor="text1"/>
              </w:rPr>
              <w:t>De</w:t>
            </w:r>
            <w:r w:rsidR="00FE7726">
              <w:rPr>
                <w:rFonts w:ascii="Arial" w:eastAsia="Arial" w:hAnsi="Arial" w:cs="Arial"/>
                <w:b/>
                <w:bCs/>
                <w:color w:val="000000" w:themeColor="text1"/>
              </w:rPr>
              <w:t xml:space="preserve">cision &amp; Reasons </w:t>
            </w:r>
            <w:r w:rsidRPr="576901D2">
              <w:rPr>
                <w:rFonts w:ascii="Arial" w:eastAsia="Arial" w:hAnsi="Arial" w:cs="Arial"/>
                <w:b/>
                <w:bCs/>
                <w:color w:val="000000" w:themeColor="text1"/>
              </w:rPr>
              <w:t>Promulgated</w:t>
            </w:r>
          </w:p>
        </w:tc>
      </w:tr>
      <w:tr w:rsidR="00D22636" w:rsidRPr="00FD50E5" w14:paraId="3BB4BA20" w14:textId="77777777" w:rsidTr="00FE7726">
        <w:tc>
          <w:tcPr>
            <w:tcW w:w="5529" w:type="dxa"/>
            <w:shd w:val="clear" w:color="auto" w:fill="auto"/>
          </w:tcPr>
          <w:p w14:paraId="3BB4BA1E" w14:textId="77700344" w:rsidR="00D22636" w:rsidRPr="00FD50E5" w:rsidRDefault="0011348F" w:rsidP="576901D2">
            <w:pPr>
              <w:jc w:val="both"/>
              <w:rPr>
                <w:rFonts w:ascii="Arial" w:eastAsia="Arial" w:hAnsi="Arial" w:cs="Arial"/>
                <w:b/>
                <w:bCs/>
              </w:rPr>
            </w:pPr>
            <w:r>
              <w:rPr>
                <w:rFonts w:ascii="Arial" w:eastAsia="Arial" w:hAnsi="Arial" w:cs="Arial"/>
                <w:b/>
                <w:bCs/>
              </w:rPr>
              <w:t>25</w:t>
            </w:r>
            <w:r w:rsidRPr="0011348F">
              <w:rPr>
                <w:rFonts w:ascii="Arial" w:eastAsia="Arial" w:hAnsi="Arial" w:cs="Arial"/>
                <w:b/>
                <w:bCs/>
                <w:vertAlign w:val="superscript"/>
              </w:rPr>
              <w:t>th</w:t>
            </w:r>
            <w:r>
              <w:rPr>
                <w:rFonts w:ascii="Arial" w:eastAsia="Arial" w:hAnsi="Arial" w:cs="Arial"/>
                <w:b/>
                <w:bCs/>
              </w:rPr>
              <w:t xml:space="preserve"> </w:t>
            </w:r>
            <w:r w:rsidR="004B6785">
              <w:rPr>
                <w:rFonts w:ascii="Arial" w:eastAsia="Arial" w:hAnsi="Arial" w:cs="Arial"/>
                <w:b/>
                <w:bCs/>
              </w:rPr>
              <w:t>August</w:t>
            </w:r>
            <w:r w:rsidR="003C0ED5">
              <w:rPr>
                <w:rFonts w:ascii="Arial" w:eastAsia="Arial" w:hAnsi="Arial" w:cs="Arial"/>
                <w:b/>
                <w:bCs/>
              </w:rPr>
              <w:t xml:space="preserve"> 2020</w:t>
            </w:r>
          </w:p>
        </w:tc>
        <w:tc>
          <w:tcPr>
            <w:tcW w:w="4109" w:type="dxa"/>
            <w:shd w:val="clear" w:color="auto" w:fill="auto"/>
          </w:tcPr>
          <w:p w14:paraId="3BB4BA1F" w14:textId="4E603066" w:rsidR="00D22636" w:rsidRPr="00FD50E5" w:rsidRDefault="004B27A8" w:rsidP="00FD50E5">
            <w:pPr>
              <w:jc w:val="both"/>
              <w:rPr>
                <w:rFonts w:ascii="Arial" w:hAnsi="Arial" w:cs="Arial"/>
                <w:b/>
              </w:rPr>
            </w:pPr>
            <w:r>
              <w:rPr>
                <w:rFonts w:ascii="Arial" w:hAnsi="Arial" w:cs="Arial"/>
                <w:b/>
              </w:rPr>
              <w:t>On 27</w:t>
            </w:r>
            <w:r w:rsidRPr="004B27A8">
              <w:rPr>
                <w:rFonts w:ascii="Arial" w:hAnsi="Arial" w:cs="Arial"/>
                <w:b/>
                <w:vertAlign w:val="superscript"/>
              </w:rPr>
              <w:t>th</w:t>
            </w:r>
            <w:r>
              <w:rPr>
                <w:rFonts w:ascii="Arial" w:hAnsi="Arial" w:cs="Arial"/>
                <w:b/>
              </w:rPr>
              <w:t xml:space="preserve"> August 2020</w:t>
            </w:r>
          </w:p>
        </w:tc>
      </w:tr>
      <w:tr w:rsidR="00D22636" w:rsidRPr="00FD50E5" w14:paraId="3BB4BA23" w14:textId="77777777" w:rsidTr="00FE7726">
        <w:tc>
          <w:tcPr>
            <w:tcW w:w="5529" w:type="dxa"/>
            <w:shd w:val="clear" w:color="auto" w:fill="auto"/>
          </w:tcPr>
          <w:p w14:paraId="3BB4BA21" w14:textId="77777777" w:rsidR="00D22636" w:rsidRPr="00FD50E5" w:rsidRDefault="00D22636" w:rsidP="00FD50E5">
            <w:pPr>
              <w:jc w:val="both"/>
              <w:rPr>
                <w:rFonts w:ascii="Arial" w:hAnsi="Arial" w:cs="Arial"/>
                <w:b/>
              </w:rPr>
            </w:pPr>
          </w:p>
        </w:tc>
        <w:tc>
          <w:tcPr>
            <w:tcW w:w="4109" w:type="dxa"/>
            <w:shd w:val="clear" w:color="auto" w:fill="auto"/>
          </w:tcPr>
          <w:p w14:paraId="3BB4BA22" w14:textId="3E9BFBBF" w:rsidR="00D22636" w:rsidRPr="00FD50E5" w:rsidRDefault="00D22636" w:rsidP="576901D2">
            <w:pPr>
              <w:jc w:val="both"/>
              <w:rPr>
                <w:rFonts w:ascii="Arial" w:eastAsia="Arial" w:hAnsi="Arial" w:cs="Arial"/>
                <w:b/>
                <w:bCs/>
              </w:rPr>
            </w:pPr>
          </w:p>
        </w:tc>
      </w:tr>
    </w:tbl>
    <w:p w14:paraId="3BB4BA24" w14:textId="77777777" w:rsidR="00A15234" w:rsidRPr="008578D0" w:rsidRDefault="00A15234" w:rsidP="00A15234">
      <w:pPr>
        <w:jc w:val="center"/>
        <w:rPr>
          <w:rFonts w:ascii="Arial" w:hAnsi="Arial" w:cs="Arial"/>
        </w:rPr>
      </w:pPr>
    </w:p>
    <w:p w14:paraId="3BB4BA25" w14:textId="77777777" w:rsidR="00A15234" w:rsidRPr="008578D0" w:rsidRDefault="00A15234" w:rsidP="00A15234">
      <w:pPr>
        <w:jc w:val="center"/>
        <w:rPr>
          <w:rFonts w:ascii="Arial" w:hAnsi="Arial" w:cs="Arial"/>
        </w:rPr>
      </w:pPr>
    </w:p>
    <w:p w14:paraId="3BB4BA26" w14:textId="77777777"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A15234">
      <w:pPr>
        <w:jc w:val="center"/>
        <w:rPr>
          <w:rFonts w:ascii="Arial" w:hAnsi="Arial" w:cs="Arial"/>
          <w:b/>
        </w:rPr>
      </w:pPr>
    </w:p>
    <w:p w14:paraId="3BB4BA28" w14:textId="77777777"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14:paraId="3BB4BA29" w14:textId="77777777" w:rsidR="00D8561E" w:rsidRPr="008578D0" w:rsidRDefault="00D8561E" w:rsidP="00DA4D91">
      <w:pPr>
        <w:jc w:val="center"/>
        <w:outlineLvl w:val="0"/>
        <w:rPr>
          <w:rFonts w:ascii="Arial" w:hAnsi="Arial" w:cs="Arial"/>
          <w:b/>
        </w:rPr>
      </w:pPr>
    </w:p>
    <w:p w14:paraId="3BB4BA2A" w14:textId="77777777"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14:paraId="3BB4BA2B" w14:textId="77777777" w:rsidR="00A845DC" w:rsidRPr="008578D0" w:rsidRDefault="00A845DC" w:rsidP="00A15234">
      <w:pPr>
        <w:jc w:val="center"/>
        <w:rPr>
          <w:rFonts w:ascii="Arial" w:hAnsi="Arial" w:cs="Arial"/>
          <w:b/>
        </w:rPr>
      </w:pPr>
    </w:p>
    <w:p w14:paraId="000B8451" w14:textId="1D52889E" w:rsidR="00DE22CC" w:rsidRPr="008578D0" w:rsidRDefault="0011348F" w:rsidP="0011348F">
      <w:pPr>
        <w:jc w:val="center"/>
        <w:outlineLvl w:val="0"/>
        <w:rPr>
          <w:rFonts w:ascii="Arial" w:eastAsia="Arial" w:hAnsi="Arial" w:cs="Arial"/>
          <w:b/>
          <w:bCs/>
        </w:rPr>
      </w:pPr>
      <w:r>
        <w:rPr>
          <w:rFonts w:ascii="Arial" w:eastAsia="Arial" w:hAnsi="Arial" w:cs="Arial"/>
          <w:b/>
          <w:bCs/>
        </w:rPr>
        <w:t>CATHERINE NZONGIA WODONGO</w:t>
      </w:r>
    </w:p>
    <w:p w14:paraId="3BB4BA30" w14:textId="77777777"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14:paraId="3BB4BA31" w14:textId="77777777"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704B61">
      <w:pPr>
        <w:jc w:val="center"/>
        <w:rPr>
          <w:rFonts w:ascii="Arial" w:hAnsi="Arial" w:cs="Arial"/>
          <w:b/>
        </w:rPr>
      </w:pPr>
    </w:p>
    <w:p w14:paraId="3BB4BA33" w14:textId="77777777"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14:paraId="3BB4BA35" w14:textId="77777777" w:rsidR="00DD5071" w:rsidRPr="008578D0" w:rsidRDefault="00DD5071" w:rsidP="00DD5071">
      <w:pPr>
        <w:rPr>
          <w:rFonts w:ascii="Arial" w:hAnsi="Arial" w:cs="Arial"/>
          <w:u w:val="single"/>
        </w:rPr>
      </w:pPr>
    </w:p>
    <w:p w14:paraId="3BB4BA3B" w14:textId="77777777" w:rsidR="00D463AA" w:rsidRPr="008578D0" w:rsidRDefault="00D463AA" w:rsidP="00402B9E">
      <w:pPr>
        <w:tabs>
          <w:tab w:val="left" w:pos="2520"/>
        </w:tabs>
        <w:jc w:val="center"/>
        <w:rPr>
          <w:rFonts w:ascii="Arial" w:hAnsi="Arial" w:cs="Arial"/>
        </w:rPr>
      </w:pPr>
    </w:p>
    <w:p w14:paraId="3BB4BA3C" w14:textId="1787FB00"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r w:rsidR="0011348F">
        <w:rPr>
          <w:rFonts w:ascii="Arial" w:eastAsia="Arial" w:hAnsi="Arial" w:cs="Arial"/>
          <w:b/>
          <w:bCs/>
          <w:u w:val="single"/>
        </w:rPr>
        <w:t xml:space="preserve"> (P)</w:t>
      </w:r>
    </w:p>
    <w:p w14:paraId="3BB4BA3D" w14:textId="77777777" w:rsidR="00673E8F" w:rsidRPr="008578D0" w:rsidRDefault="00673E8F" w:rsidP="00DA4D91">
      <w:pPr>
        <w:tabs>
          <w:tab w:val="left" w:pos="2520"/>
        </w:tabs>
        <w:jc w:val="center"/>
        <w:outlineLvl w:val="0"/>
        <w:rPr>
          <w:rFonts w:ascii="Arial" w:hAnsi="Arial" w:cs="Arial"/>
        </w:rPr>
      </w:pPr>
    </w:p>
    <w:p w14:paraId="3BB4BA41" w14:textId="77777777" w:rsidR="00AB6C32" w:rsidRPr="008578D0" w:rsidRDefault="00AB6C32" w:rsidP="00AB6C32">
      <w:pPr>
        <w:pStyle w:val="ListParagraph"/>
        <w:contextualSpacing/>
        <w:jc w:val="both"/>
        <w:rPr>
          <w:rFonts w:ascii="Arial" w:hAnsi="Arial" w:cs="Arial"/>
        </w:rPr>
      </w:pPr>
    </w:p>
    <w:p w14:paraId="42D54DB8" w14:textId="0A6DDCB0" w:rsidR="0011348F" w:rsidRDefault="003C0ED5" w:rsidP="576901D2">
      <w:pPr>
        <w:pStyle w:val="ListParagraph"/>
        <w:numPr>
          <w:ilvl w:val="0"/>
          <w:numId w:val="28"/>
        </w:numPr>
        <w:contextualSpacing/>
        <w:jc w:val="both"/>
        <w:rPr>
          <w:rFonts w:ascii="Arial" w:eastAsia="Arial" w:hAnsi="Arial" w:cs="Arial"/>
        </w:rPr>
      </w:pPr>
      <w:proofErr w:type="spellStart"/>
      <w:r>
        <w:rPr>
          <w:rFonts w:ascii="Arial" w:eastAsia="Arial" w:hAnsi="Arial" w:cs="Arial"/>
        </w:rPr>
        <w:t>FtT</w:t>
      </w:r>
      <w:proofErr w:type="spellEnd"/>
      <w:r>
        <w:rPr>
          <w:rFonts w:ascii="Arial" w:eastAsia="Arial" w:hAnsi="Arial" w:cs="Arial"/>
        </w:rPr>
        <w:t xml:space="preserve"> Judge </w:t>
      </w:r>
      <w:r w:rsidR="0011348F">
        <w:rPr>
          <w:rFonts w:ascii="Arial" w:eastAsia="Arial" w:hAnsi="Arial" w:cs="Arial"/>
        </w:rPr>
        <w:t>Carroll</w:t>
      </w:r>
      <w:r>
        <w:rPr>
          <w:rFonts w:ascii="Arial" w:eastAsia="Arial" w:hAnsi="Arial" w:cs="Arial"/>
        </w:rPr>
        <w:t xml:space="preserve"> dismissed </w:t>
      </w:r>
      <w:r w:rsidR="0011348F">
        <w:rPr>
          <w:rFonts w:ascii="Arial" w:eastAsia="Arial" w:hAnsi="Arial" w:cs="Arial"/>
        </w:rPr>
        <w:t>the appellant’s appeal</w:t>
      </w:r>
      <w:r>
        <w:rPr>
          <w:rFonts w:ascii="Arial" w:eastAsia="Arial" w:hAnsi="Arial" w:cs="Arial"/>
        </w:rPr>
        <w:t xml:space="preserve"> against the refusal of h</w:t>
      </w:r>
      <w:r w:rsidR="0011348F">
        <w:rPr>
          <w:rFonts w:ascii="Arial" w:eastAsia="Arial" w:hAnsi="Arial" w:cs="Arial"/>
        </w:rPr>
        <w:t xml:space="preserve">er human rights claim </w:t>
      </w:r>
      <w:r>
        <w:rPr>
          <w:rFonts w:ascii="Arial" w:eastAsia="Arial" w:hAnsi="Arial" w:cs="Arial"/>
        </w:rPr>
        <w:t xml:space="preserve">for reasons set out in a decision promulgated on </w:t>
      </w:r>
      <w:r w:rsidR="0011348F">
        <w:rPr>
          <w:rFonts w:ascii="Arial" w:eastAsia="Arial" w:hAnsi="Arial" w:cs="Arial"/>
        </w:rPr>
        <w:t>1</w:t>
      </w:r>
      <w:r w:rsidR="0011348F" w:rsidRPr="0011348F">
        <w:rPr>
          <w:rFonts w:ascii="Arial" w:eastAsia="Arial" w:hAnsi="Arial" w:cs="Arial"/>
          <w:vertAlign w:val="superscript"/>
        </w:rPr>
        <w:t>st</w:t>
      </w:r>
      <w:r w:rsidR="0011348F">
        <w:rPr>
          <w:rFonts w:ascii="Arial" w:eastAsia="Arial" w:hAnsi="Arial" w:cs="Arial"/>
        </w:rPr>
        <w:t xml:space="preserve"> November 2019</w:t>
      </w:r>
      <w:r>
        <w:rPr>
          <w:rFonts w:ascii="Arial" w:eastAsia="Arial" w:hAnsi="Arial" w:cs="Arial"/>
        </w:rPr>
        <w:t xml:space="preserve">. Permission to appeal was granted by </w:t>
      </w:r>
      <w:proofErr w:type="spellStart"/>
      <w:r>
        <w:rPr>
          <w:rFonts w:ascii="Arial" w:eastAsia="Arial" w:hAnsi="Arial" w:cs="Arial"/>
        </w:rPr>
        <w:t>FtT</w:t>
      </w:r>
      <w:proofErr w:type="spellEnd"/>
      <w:r>
        <w:rPr>
          <w:rFonts w:ascii="Arial" w:eastAsia="Arial" w:hAnsi="Arial" w:cs="Arial"/>
        </w:rPr>
        <w:t xml:space="preserve"> judge </w:t>
      </w:r>
      <w:r w:rsidR="0011348F">
        <w:rPr>
          <w:rFonts w:ascii="Arial" w:eastAsia="Arial" w:hAnsi="Arial" w:cs="Arial"/>
        </w:rPr>
        <w:t>Ford on 30</w:t>
      </w:r>
      <w:r w:rsidR="0011348F" w:rsidRPr="0011348F">
        <w:rPr>
          <w:rFonts w:ascii="Arial" w:eastAsia="Arial" w:hAnsi="Arial" w:cs="Arial"/>
          <w:vertAlign w:val="superscript"/>
        </w:rPr>
        <w:t>th</w:t>
      </w:r>
      <w:r w:rsidR="0011348F">
        <w:rPr>
          <w:rFonts w:ascii="Arial" w:eastAsia="Arial" w:hAnsi="Arial" w:cs="Arial"/>
        </w:rPr>
        <w:t xml:space="preserve"> March 2019 on limited grounds only, namely that it was arguable the </w:t>
      </w:r>
      <w:proofErr w:type="spellStart"/>
      <w:r w:rsidR="003D10E1">
        <w:rPr>
          <w:rFonts w:ascii="Arial" w:eastAsia="Arial" w:hAnsi="Arial" w:cs="Arial"/>
        </w:rPr>
        <w:t>FtT</w:t>
      </w:r>
      <w:proofErr w:type="spellEnd"/>
      <w:r w:rsidR="0011348F">
        <w:rPr>
          <w:rFonts w:ascii="Arial" w:eastAsia="Arial" w:hAnsi="Arial" w:cs="Arial"/>
        </w:rPr>
        <w:t xml:space="preserve"> judge had failed to engage with page 15 of the appeal notice </w:t>
      </w:r>
      <w:r w:rsidR="009C6BF4">
        <w:rPr>
          <w:rFonts w:ascii="Arial" w:eastAsia="Arial" w:hAnsi="Arial" w:cs="Arial"/>
        </w:rPr>
        <w:t>when</w:t>
      </w:r>
      <w:r w:rsidR="0011348F">
        <w:rPr>
          <w:rFonts w:ascii="Arial" w:eastAsia="Arial" w:hAnsi="Arial" w:cs="Arial"/>
        </w:rPr>
        <w:t xml:space="preserve"> considering </w:t>
      </w:r>
      <w:r w:rsidR="00BA6475">
        <w:rPr>
          <w:rFonts w:ascii="Arial" w:eastAsia="Arial" w:hAnsi="Arial" w:cs="Arial"/>
        </w:rPr>
        <w:t>whether</w:t>
      </w:r>
      <w:r w:rsidR="0011348F">
        <w:rPr>
          <w:rFonts w:ascii="Arial" w:eastAsia="Arial" w:hAnsi="Arial" w:cs="Arial"/>
        </w:rPr>
        <w:t xml:space="preserve"> there were very significant obstacles to her reintegration in DRC. An application for permission to appeal the grounds upon which the </w:t>
      </w:r>
      <w:proofErr w:type="spellStart"/>
      <w:r w:rsidR="0011348F">
        <w:rPr>
          <w:rFonts w:ascii="Arial" w:eastAsia="Arial" w:hAnsi="Arial" w:cs="Arial"/>
        </w:rPr>
        <w:t>FtT</w:t>
      </w:r>
      <w:proofErr w:type="spellEnd"/>
      <w:r w:rsidR="0011348F">
        <w:rPr>
          <w:rFonts w:ascii="Arial" w:eastAsia="Arial" w:hAnsi="Arial" w:cs="Arial"/>
        </w:rPr>
        <w:t xml:space="preserve"> had refused permission, was not made to the Upper Tribunal.</w:t>
      </w:r>
    </w:p>
    <w:p w14:paraId="5F2AFC81" w14:textId="77777777" w:rsidR="0011348F" w:rsidRDefault="0011348F" w:rsidP="0011348F">
      <w:pPr>
        <w:pStyle w:val="ListParagraph"/>
        <w:ind w:left="1563"/>
        <w:contextualSpacing/>
        <w:jc w:val="both"/>
        <w:rPr>
          <w:rFonts w:ascii="Arial" w:eastAsia="Arial" w:hAnsi="Arial" w:cs="Arial"/>
        </w:rPr>
      </w:pPr>
    </w:p>
    <w:p w14:paraId="3BF84CAF" w14:textId="24A63834" w:rsidR="003C0ED5" w:rsidRDefault="003C0ED5" w:rsidP="576901D2">
      <w:pPr>
        <w:pStyle w:val="ListParagraph"/>
        <w:numPr>
          <w:ilvl w:val="0"/>
          <w:numId w:val="28"/>
        </w:numPr>
        <w:contextualSpacing/>
        <w:jc w:val="both"/>
        <w:rPr>
          <w:rFonts w:ascii="Arial" w:eastAsia="Arial" w:hAnsi="Arial" w:cs="Arial"/>
        </w:rPr>
      </w:pPr>
      <w:r>
        <w:rPr>
          <w:rFonts w:ascii="Arial" w:eastAsia="Arial" w:hAnsi="Arial" w:cs="Arial"/>
        </w:rPr>
        <w:t xml:space="preserve">Directions for the further conduct of the appeal were sent on </w:t>
      </w:r>
      <w:r w:rsidR="0011348F">
        <w:rPr>
          <w:rFonts w:ascii="Arial" w:eastAsia="Arial" w:hAnsi="Arial" w:cs="Arial"/>
        </w:rPr>
        <w:t>30</w:t>
      </w:r>
      <w:r w:rsidR="0011348F" w:rsidRPr="0011348F">
        <w:rPr>
          <w:rFonts w:ascii="Arial" w:eastAsia="Arial" w:hAnsi="Arial" w:cs="Arial"/>
          <w:vertAlign w:val="superscript"/>
        </w:rPr>
        <w:t>th</w:t>
      </w:r>
      <w:r w:rsidR="0011348F">
        <w:rPr>
          <w:rFonts w:ascii="Arial" w:eastAsia="Arial" w:hAnsi="Arial" w:cs="Arial"/>
        </w:rPr>
        <w:t xml:space="preserve"> June 2020</w:t>
      </w:r>
      <w:r>
        <w:rPr>
          <w:rFonts w:ascii="Arial" w:eastAsia="Arial" w:hAnsi="Arial" w:cs="Arial"/>
        </w:rPr>
        <w:t xml:space="preserve"> and, in the circumstances surrounding COVID 19, provision was made for the question of whether there was an error of law and if so whether the decision of the </w:t>
      </w:r>
      <w:proofErr w:type="spellStart"/>
      <w:r>
        <w:rPr>
          <w:rFonts w:ascii="Arial" w:eastAsia="Arial" w:hAnsi="Arial" w:cs="Arial"/>
        </w:rPr>
        <w:t>FtT</w:t>
      </w:r>
      <w:proofErr w:type="spellEnd"/>
      <w:r>
        <w:rPr>
          <w:rFonts w:ascii="Arial" w:eastAsia="Arial" w:hAnsi="Arial" w:cs="Arial"/>
        </w:rPr>
        <w:t xml:space="preserve"> Judge should be set aside</w:t>
      </w:r>
      <w:r w:rsidR="0011348F">
        <w:rPr>
          <w:rFonts w:ascii="Arial" w:eastAsia="Arial" w:hAnsi="Arial" w:cs="Arial"/>
        </w:rPr>
        <w:t>,</w:t>
      </w:r>
      <w:r>
        <w:rPr>
          <w:rFonts w:ascii="Arial" w:eastAsia="Arial" w:hAnsi="Arial" w:cs="Arial"/>
        </w:rPr>
        <w:t xml:space="preserve"> to be determined on the papers.</w:t>
      </w:r>
    </w:p>
    <w:p w14:paraId="5F726434" w14:textId="77777777" w:rsidR="003C0ED5" w:rsidRDefault="003C0ED5" w:rsidP="003C0ED5">
      <w:pPr>
        <w:pStyle w:val="ListParagraph"/>
        <w:ind w:left="1560"/>
        <w:contextualSpacing/>
        <w:jc w:val="both"/>
        <w:rPr>
          <w:rFonts w:ascii="Arial" w:eastAsia="Arial" w:hAnsi="Arial" w:cs="Arial"/>
        </w:rPr>
      </w:pPr>
    </w:p>
    <w:p w14:paraId="17FE5B81" w14:textId="7998A65F" w:rsidR="00EC1BA4" w:rsidRDefault="003C0ED5" w:rsidP="576901D2">
      <w:pPr>
        <w:pStyle w:val="ListParagraph"/>
        <w:numPr>
          <w:ilvl w:val="0"/>
          <w:numId w:val="28"/>
        </w:numPr>
        <w:contextualSpacing/>
        <w:jc w:val="both"/>
        <w:rPr>
          <w:rFonts w:ascii="Arial" w:eastAsia="Arial" w:hAnsi="Arial" w:cs="Arial"/>
        </w:rPr>
      </w:pPr>
      <w:r>
        <w:rPr>
          <w:rFonts w:ascii="Arial" w:eastAsia="Arial" w:hAnsi="Arial" w:cs="Arial"/>
        </w:rPr>
        <w:lastRenderedPageBreak/>
        <w:t xml:space="preserve">Both parties complied with the directions; </w:t>
      </w:r>
      <w:r w:rsidR="0011348F">
        <w:rPr>
          <w:rFonts w:ascii="Arial" w:eastAsia="Arial" w:hAnsi="Arial" w:cs="Arial"/>
        </w:rPr>
        <w:t>neither party sought an oral hearing of the error of law issue.</w:t>
      </w:r>
    </w:p>
    <w:p w14:paraId="14091458" w14:textId="77777777" w:rsidR="00EC1BA4" w:rsidRPr="00EC1BA4" w:rsidRDefault="00EC1BA4" w:rsidP="00EC1BA4">
      <w:pPr>
        <w:pStyle w:val="ListParagraph"/>
        <w:rPr>
          <w:rFonts w:ascii="Arial" w:eastAsia="Arial" w:hAnsi="Arial" w:cs="Arial"/>
        </w:rPr>
      </w:pPr>
    </w:p>
    <w:p w14:paraId="0AA186E4" w14:textId="5D475C3A" w:rsidR="00EC1BA4" w:rsidRDefault="00EC1BA4" w:rsidP="576901D2">
      <w:pPr>
        <w:pStyle w:val="ListParagraph"/>
        <w:numPr>
          <w:ilvl w:val="0"/>
          <w:numId w:val="28"/>
        </w:numPr>
        <w:contextualSpacing/>
        <w:jc w:val="both"/>
        <w:rPr>
          <w:rFonts w:ascii="Arial" w:eastAsia="Arial" w:hAnsi="Arial" w:cs="Arial"/>
        </w:rPr>
      </w:pPr>
      <w:r>
        <w:rPr>
          <w:rFonts w:ascii="Arial" w:eastAsia="Arial" w:hAnsi="Arial" w:cs="Arial"/>
        </w:rPr>
        <w:t>I am satisfied that the submiss</w:t>
      </w:r>
      <w:r w:rsidR="00741899">
        <w:rPr>
          <w:rFonts w:ascii="Arial" w:eastAsia="Arial" w:hAnsi="Arial" w:cs="Arial"/>
        </w:rPr>
        <w:t>ions</w:t>
      </w:r>
      <w:r>
        <w:rPr>
          <w:rFonts w:ascii="Arial" w:eastAsia="Arial" w:hAnsi="Arial" w:cs="Arial"/>
        </w:rPr>
        <w:t xml:space="preserve"> made on behalf of the appellant and the respondent together with the papers before me</w:t>
      </w:r>
      <w:r w:rsidR="00DE21AB">
        <w:rPr>
          <w:rStyle w:val="FootnoteReference"/>
          <w:rFonts w:ascii="Arial" w:eastAsia="Arial" w:hAnsi="Arial" w:cs="Arial"/>
        </w:rPr>
        <w:footnoteReference w:id="1"/>
      </w:r>
      <w:r>
        <w:rPr>
          <w:rFonts w:ascii="Arial" w:eastAsia="Arial" w:hAnsi="Arial" w:cs="Arial"/>
        </w:rPr>
        <w:t xml:space="preserve"> are sufficient to enable me to be able to take a decision on whether there is an error of law in the decision of the </w:t>
      </w:r>
      <w:proofErr w:type="spellStart"/>
      <w:r>
        <w:rPr>
          <w:rFonts w:ascii="Arial" w:eastAsia="Arial" w:hAnsi="Arial" w:cs="Arial"/>
        </w:rPr>
        <w:t>FtT</w:t>
      </w:r>
      <w:proofErr w:type="spellEnd"/>
      <w:r>
        <w:rPr>
          <w:rFonts w:ascii="Arial" w:eastAsia="Arial" w:hAnsi="Arial" w:cs="Arial"/>
        </w:rPr>
        <w:t xml:space="preserve"> and if so whether the decision should be set aside, on the papers and without hearing oral submissions. </w:t>
      </w:r>
    </w:p>
    <w:p w14:paraId="1D7F4302" w14:textId="77777777" w:rsidR="00705122" w:rsidRPr="00705122" w:rsidRDefault="00705122" w:rsidP="00705122">
      <w:pPr>
        <w:pStyle w:val="ListParagraph"/>
        <w:rPr>
          <w:rFonts w:ascii="Arial" w:eastAsia="Arial" w:hAnsi="Arial" w:cs="Arial"/>
        </w:rPr>
      </w:pPr>
    </w:p>
    <w:p w14:paraId="70AD294F" w14:textId="33A79A77" w:rsidR="00E44702" w:rsidRDefault="00705122"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submissions </w:t>
      </w:r>
      <w:r w:rsidR="00F97D7A">
        <w:rPr>
          <w:rFonts w:ascii="Arial" w:eastAsia="Arial" w:hAnsi="Arial" w:cs="Arial"/>
        </w:rPr>
        <w:t xml:space="preserve">sent by email </w:t>
      </w:r>
      <w:r w:rsidR="000450E6">
        <w:rPr>
          <w:rFonts w:ascii="Arial" w:eastAsia="Arial" w:hAnsi="Arial" w:cs="Arial"/>
        </w:rPr>
        <w:t xml:space="preserve">by the appellant’s sponsor, </w:t>
      </w:r>
      <w:r>
        <w:rPr>
          <w:rFonts w:ascii="Arial" w:eastAsia="Arial" w:hAnsi="Arial" w:cs="Arial"/>
        </w:rPr>
        <w:t xml:space="preserve">made in response </w:t>
      </w:r>
      <w:r w:rsidR="000450E6">
        <w:rPr>
          <w:rFonts w:ascii="Arial" w:eastAsia="Arial" w:hAnsi="Arial" w:cs="Arial"/>
        </w:rPr>
        <w:t xml:space="preserve">to directions, </w:t>
      </w:r>
      <w:r w:rsidR="00F97D7A">
        <w:rPr>
          <w:rFonts w:ascii="Arial" w:eastAsia="Arial" w:hAnsi="Arial" w:cs="Arial"/>
        </w:rPr>
        <w:t xml:space="preserve">are said to </w:t>
      </w:r>
      <w:r w:rsidR="000450E6">
        <w:rPr>
          <w:rFonts w:ascii="Arial" w:eastAsia="Arial" w:hAnsi="Arial" w:cs="Arial"/>
        </w:rPr>
        <w:t>also include</w:t>
      </w:r>
      <w:r w:rsidR="00E44702">
        <w:rPr>
          <w:rFonts w:ascii="Arial" w:eastAsia="Arial" w:hAnsi="Arial" w:cs="Arial"/>
        </w:rPr>
        <w:t>:</w:t>
      </w:r>
    </w:p>
    <w:p w14:paraId="3E16AB6B" w14:textId="77777777" w:rsidR="00E44702" w:rsidRPr="00E44702" w:rsidRDefault="00E44702" w:rsidP="00E44702">
      <w:pPr>
        <w:pStyle w:val="ListParagraph"/>
        <w:rPr>
          <w:rFonts w:ascii="Arial" w:eastAsia="Arial" w:hAnsi="Arial" w:cs="Arial"/>
        </w:rPr>
      </w:pPr>
    </w:p>
    <w:p w14:paraId="34E07C8E" w14:textId="77777777" w:rsidR="00F97D7A" w:rsidRDefault="000450E6" w:rsidP="00E44702">
      <w:pPr>
        <w:pStyle w:val="ListParagraph"/>
        <w:numPr>
          <w:ilvl w:val="0"/>
          <w:numId w:val="37"/>
        </w:numPr>
        <w:contextualSpacing/>
        <w:jc w:val="both"/>
        <w:rPr>
          <w:rFonts w:ascii="Arial" w:eastAsia="Arial" w:hAnsi="Arial" w:cs="Arial"/>
        </w:rPr>
      </w:pPr>
      <w:r>
        <w:rPr>
          <w:rFonts w:ascii="Arial" w:eastAsia="Arial" w:hAnsi="Arial" w:cs="Arial"/>
        </w:rPr>
        <w:t xml:space="preserve"> </w:t>
      </w:r>
      <w:r w:rsidR="00E44702">
        <w:rPr>
          <w:rFonts w:ascii="Arial" w:eastAsia="Arial" w:hAnsi="Arial" w:cs="Arial"/>
        </w:rPr>
        <w:t xml:space="preserve">a video which was not before me and had not been before the </w:t>
      </w:r>
      <w:proofErr w:type="spellStart"/>
      <w:r w:rsidR="00E44702">
        <w:rPr>
          <w:rFonts w:ascii="Arial" w:eastAsia="Arial" w:hAnsi="Arial" w:cs="Arial"/>
        </w:rPr>
        <w:t>FtT</w:t>
      </w:r>
      <w:proofErr w:type="spellEnd"/>
      <w:r w:rsidR="00E44702">
        <w:rPr>
          <w:rFonts w:ascii="Arial" w:eastAsia="Arial" w:hAnsi="Arial" w:cs="Arial"/>
        </w:rPr>
        <w:t xml:space="preserve"> when she made her decision;</w:t>
      </w:r>
    </w:p>
    <w:p w14:paraId="73BBD16E" w14:textId="77777777" w:rsidR="00E164B1" w:rsidRDefault="00BD2A79" w:rsidP="00E44702">
      <w:pPr>
        <w:pStyle w:val="ListParagraph"/>
        <w:numPr>
          <w:ilvl w:val="0"/>
          <w:numId w:val="37"/>
        </w:numPr>
        <w:contextualSpacing/>
        <w:jc w:val="both"/>
        <w:rPr>
          <w:rFonts w:ascii="Arial" w:eastAsia="Arial" w:hAnsi="Arial" w:cs="Arial"/>
        </w:rPr>
      </w:pPr>
      <w:r>
        <w:rPr>
          <w:rFonts w:ascii="Arial" w:eastAsia="Arial" w:hAnsi="Arial" w:cs="Arial"/>
        </w:rPr>
        <w:t xml:space="preserve">A file from Holly Private Hospital. This was not before me and was not before the </w:t>
      </w:r>
      <w:proofErr w:type="spellStart"/>
      <w:r>
        <w:rPr>
          <w:rFonts w:ascii="Arial" w:eastAsia="Arial" w:hAnsi="Arial" w:cs="Arial"/>
        </w:rPr>
        <w:t>FtT</w:t>
      </w:r>
      <w:proofErr w:type="spellEnd"/>
      <w:r>
        <w:rPr>
          <w:rFonts w:ascii="Arial" w:eastAsia="Arial" w:hAnsi="Arial" w:cs="Arial"/>
        </w:rPr>
        <w:t xml:space="preserve"> judge</w:t>
      </w:r>
      <w:r w:rsidR="00E164B1">
        <w:rPr>
          <w:rFonts w:ascii="Arial" w:eastAsia="Arial" w:hAnsi="Arial" w:cs="Arial"/>
        </w:rPr>
        <w:t>;</w:t>
      </w:r>
    </w:p>
    <w:p w14:paraId="1BA07F55" w14:textId="77777777" w:rsidR="004129AF" w:rsidRDefault="00E164B1" w:rsidP="00E44702">
      <w:pPr>
        <w:pStyle w:val="ListParagraph"/>
        <w:numPr>
          <w:ilvl w:val="0"/>
          <w:numId w:val="37"/>
        </w:numPr>
        <w:contextualSpacing/>
        <w:jc w:val="both"/>
        <w:rPr>
          <w:rFonts w:ascii="Arial" w:eastAsia="Arial" w:hAnsi="Arial" w:cs="Arial"/>
        </w:rPr>
      </w:pPr>
      <w:r>
        <w:rPr>
          <w:rFonts w:ascii="Arial" w:eastAsia="Arial" w:hAnsi="Arial" w:cs="Arial"/>
        </w:rPr>
        <w:t xml:space="preserve">What seems to be a list of hospitals in the DRC although this was also not before me and was not before the </w:t>
      </w:r>
      <w:proofErr w:type="spellStart"/>
      <w:r>
        <w:rPr>
          <w:rFonts w:ascii="Arial" w:eastAsia="Arial" w:hAnsi="Arial" w:cs="Arial"/>
        </w:rPr>
        <w:t>FtT</w:t>
      </w:r>
      <w:proofErr w:type="spellEnd"/>
      <w:r>
        <w:rPr>
          <w:rFonts w:ascii="Arial" w:eastAsia="Arial" w:hAnsi="Arial" w:cs="Arial"/>
        </w:rPr>
        <w:t xml:space="preserve"> judge;</w:t>
      </w:r>
    </w:p>
    <w:p w14:paraId="66113BC3" w14:textId="2B3EFC93" w:rsidR="00EB362B" w:rsidRDefault="004129AF" w:rsidP="00E44702">
      <w:pPr>
        <w:pStyle w:val="ListParagraph"/>
        <w:numPr>
          <w:ilvl w:val="0"/>
          <w:numId w:val="37"/>
        </w:numPr>
        <w:contextualSpacing/>
        <w:jc w:val="both"/>
        <w:rPr>
          <w:rFonts w:ascii="Arial" w:eastAsia="Arial" w:hAnsi="Arial" w:cs="Arial"/>
        </w:rPr>
      </w:pPr>
      <w:r>
        <w:rPr>
          <w:rFonts w:ascii="Arial" w:eastAsia="Arial" w:hAnsi="Arial" w:cs="Arial"/>
        </w:rPr>
        <w:t xml:space="preserve">A death certificate </w:t>
      </w:r>
      <w:r w:rsidR="00EB362B">
        <w:rPr>
          <w:rFonts w:ascii="Arial" w:eastAsia="Arial" w:hAnsi="Arial" w:cs="Arial"/>
        </w:rPr>
        <w:t xml:space="preserve">(in </w:t>
      </w:r>
      <w:r w:rsidR="00A13E37">
        <w:rPr>
          <w:rFonts w:ascii="Arial" w:eastAsia="Arial" w:hAnsi="Arial" w:cs="Arial"/>
        </w:rPr>
        <w:t>F</w:t>
      </w:r>
      <w:r w:rsidR="00EB362B">
        <w:rPr>
          <w:rFonts w:ascii="Arial" w:eastAsia="Arial" w:hAnsi="Arial" w:cs="Arial"/>
        </w:rPr>
        <w:t xml:space="preserve">rench) which was </w:t>
      </w:r>
      <w:r w:rsidR="0023348F">
        <w:rPr>
          <w:rFonts w:ascii="Arial" w:eastAsia="Arial" w:hAnsi="Arial" w:cs="Arial"/>
        </w:rPr>
        <w:t xml:space="preserve">before me but </w:t>
      </w:r>
      <w:r w:rsidR="00EB362B">
        <w:rPr>
          <w:rFonts w:ascii="Arial" w:eastAsia="Arial" w:hAnsi="Arial" w:cs="Arial"/>
        </w:rPr>
        <w:t xml:space="preserve">not before the </w:t>
      </w:r>
      <w:proofErr w:type="spellStart"/>
      <w:r w:rsidR="00EB362B">
        <w:rPr>
          <w:rFonts w:ascii="Arial" w:eastAsia="Arial" w:hAnsi="Arial" w:cs="Arial"/>
        </w:rPr>
        <w:t>FtT</w:t>
      </w:r>
      <w:proofErr w:type="spellEnd"/>
      <w:r w:rsidR="00EB362B">
        <w:rPr>
          <w:rFonts w:ascii="Arial" w:eastAsia="Arial" w:hAnsi="Arial" w:cs="Arial"/>
        </w:rPr>
        <w:t xml:space="preserve"> judge;</w:t>
      </w:r>
    </w:p>
    <w:p w14:paraId="134FC3D3" w14:textId="7372D256" w:rsidR="001F6E78" w:rsidRDefault="001743E9" w:rsidP="00E44702">
      <w:pPr>
        <w:pStyle w:val="ListParagraph"/>
        <w:numPr>
          <w:ilvl w:val="0"/>
          <w:numId w:val="37"/>
        </w:numPr>
        <w:contextualSpacing/>
        <w:jc w:val="both"/>
        <w:rPr>
          <w:rFonts w:ascii="Arial" w:eastAsia="Arial" w:hAnsi="Arial" w:cs="Arial"/>
        </w:rPr>
      </w:pPr>
      <w:r>
        <w:rPr>
          <w:rFonts w:ascii="Arial" w:eastAsia="Arial" w:hAnsi="Arial" w:cs="Arial"/>
        </w:rPr>
        <w:t xml:space="preserve">A maternity DNA report said to confirm </w:t>
      </w:r>
      <w:r w:rsidR="008051AE">
        <w:rPr>
          <w:rFonts w:ascii="Arial" w:eastAsia="Arial" w:hAnsi="Arial" w:cs="Arial"/>
        </w:rPr>
        <w:t>the</w:t>
      </w:r>
      <w:r>
        <w:rPr>
          <w:rFonts w:ascii="Arial" w:eastAsia="Arial" w:hAnsi="Arial" w:cs="Arial"/>
        </w:rPr>
        <w:t xml:space="preserve"> mother/daughter</w:t>
      </w:r>
      <w:r w:rsidR="008051AE">
        <w:rPr>
          <w:rFonts w:ascii="Arial" w:eastAsia="Arial" w:hAnsi="Arial" w:cs="Arial"/>
        </w:rPr>
        <w:t>/granddaughter</w:t>
      </w:r>
      <w:r>
        <w:rPr>
          <w:rFonts w:ascii="Arial" w:eastAsia="Arial" w:hAnsi="Arial" w:cs="Arial"/>
        </w:rPr>
        <w:t xml:space="preserve"> relationship between the appellant and the sponsor. This was also not before me or before the </w:t>
      </w:r>
      <w:proofErr w:type="spellStart"/>
      <w:r>
        <w:rPr>
          <w:rFonts w:ascii="Arial" w:eastAsia="Arial" w:hAnsi="Arial" w:cs="Arial"/>
        </w:rPr>
        <w:t>FtT</w:t>
      </w:r>
      <w:proofErr w:type="spellEnd"/>
      <w:r>
        <w:rPr>
          <w:rFonts w:ascii="Arial" w:eastAsia="Arial" w:hAnsi="Arial" w:cs="Arial"/>
        </w:rPr>
        <w:t xml:space="preserve"> Judge.</w:t>
      </w:r>
    </w:p>
    <w:p w14:paraId="3047DDAC" w14:textId="77777777" w:rsidR="001F6E78" w:rsidRDefault="001F6E78" w:rsidP="001F6E78">
      <w:pPr>
        <w:pStyle w:val="ListParagraph"/>
        <w:ind w:left="1563"/>
        <w:contextualSpacing/>
        <w:jc w:val="both"/>
        <w:rPr>
          <w:rFonts w:ascii="Arial" w:eastAsia="Arial" w:hAnsi="Arial" w:cs="Arial"/>
        </w:rPr>
      </w:pPr>
    </w:p>
    <w:p w14:paraId="05B8767B" w14:textId="77777777" w:rsidR="00910528" w:rsidRDefault="001F6E78" w:rsidP="576901D2">
      <w:pPr>
        <w:pStyle w:val="ListParagraph"/>
        <w:numPr>
          <w:ilvl w:val="0"/>
          <w:numId w:val="28"/>
        </w:numPr>
        <w:contextualSpacing/>
        <w:jc w:val="both"/>
        <w:rPr>
          <w:rFonts w:ascii="Arial" w:eastAsia="Arial" w:hAnsi="Arial" w:cs="Arial"/>
        </w:rPr>
      </w:pPr>
      <w:r>
        <w:rPr>
          <w:rFonts w:ascii="Arial" w:eastAsia="Arial" w:hAnsi="Arial" w:cs="Arial"/>
        </w:rPr>
        <w:t xml:space="preserve">I am unable to take account of documents that have been submitted to the Tribunal which were not before the </w:t>
      </w:r>
      <w:proofErr w:type="spellStart"/>
      <w:r>
        <w:rPr>
          <w:rFonts w:ascii="Arial" w:eastAsia="Arial" w:hAnsi="Arial" w:cs="Arial"/>
        </w:rPr>
        <w:t>FtT</w:t>
      </w:r>
      <w:proofErr w:type="spellEnd"/>
      <w:r>
        <w:rPr>
          <w:rFonts w:ascii="Arial" w:eastAsia="Arial" w:hAnsi="Arial" w:cs="Arial"/>
        </w:rPr>
        <w:t xml:space="preserve"> judge. It cannot be an error of law for the </w:t>
      </w:r>
      <w:proofErr w:type="spellStart"/>
      <w:r>
        <w:rPr>
          <w:rFonts w:ascii="Arial" w:eastAsia="Arial" w:hAnsi="Arial" w:cs="Arial"/>
        </w:rPr>
        <w:t>FtT</w:t>
      </w:r>
      <w:proofErr w:type="spellEnd"/>
      <w:r>
        <w:rPr>
          <w:rFonts w:ascii="Arial" w:eastAsia="Arial" w:hAnsi="Arial" w:cs="Arial"/>
        </w:rPr>
        <w:t xml:space="preserve"> judge to fail to </w:t>
      </w:r>
      <w:proofErr w:type="gramStart"/>
      <w:r>
        <w:rPr>
          <w:rFonts w:ascii="Arial" w:eastAsia="Arial" w:hAnsi="Arial" w:cs="Arial"/>
        </w:rPr>
        <w:t>take into account</w:t>
      </w:r>
      <w:proofErr w:type="gramEnd"/>
      <w:r>
        <w:rPr>
          <w:rFonts w:ascii="Arial" w:eastAsia="Arial" w:hAnsi="Arial" w:cs="Arial"/>
        </w:rPr>
        <w:t xml:space="preserve"> evidence which was not before her. </w:t>
      </w:r>
    </w:p>
    <w:p w14:paraId="4CA2E815" w14:textId="77777777" w:rsidR="00910528" w:rsidRDefault="00910528" w:rsidP="00910528">
      <w:pPr>
        <w:pStyle w:val="ListParagraph"/>
        <w:ind w:left="1563"/>
        <w:contextualSpacing/>
        <w:jc w:val="both"/>
        <w:rPr>
          <w:rFonts w:ascii="Arial" w:eastAsia="Arial" w:hAnsi="Arial" w:cs="Arial"/>
        </w:rPr>
      </w:pPr>
    </w:p>
    <w:p w14:paraId="23C979B8" w14:textId="6235887C" w:rsidR="00EE65AB" w:rsidRPr="00E2460B" w:rsidRDefault="00EE65AB" w:rsidP="00EE65AB">
      <w:pPr>
        <w:pStyle w:val="ListParagraph"/>
        <w:ind w:left="1563"/>
        <w:contextualSpacing/>
        <w:jc w:val="both"/>
        <w:rPr>
          <w:rFonts w:ascii="Arial" w:eastAsia="Arial" w:hAnsi="Arial" w:cs="Arial"/>
          <w:b/>
        </w:rPr>
      </w:pPr>
      <w:r w:rsidRPr="00E2460B">
        <w:rPr>
          <w:rFonts w:ascii="Arial" w:eastAsia="Arial" w:hAnsi="Arial" w:cs="Arial"/>
          <w:b/>
        </w:rPr>
        <w:t xml:space="preserve">The </w:t>
      </w:r>
      <w:proofErr w:type="spellStart"/>
      <w:r w:rsidRPr="00E2460B">
        <w:rPr>
          <w:rFonts w:ascii="Arial" w:eastAsia="Arial" w:hAnsi="Arial" w:cs="Arial"/>
          <w:b/>
        </w:rPr>
        <w:t>FtT</w:t>
      </w:r>
      <w:proofErr w:type="spellEnd"/>
      <w:r w:rsidRPr="00E2460B">
        <w:rPr>
          <w:rFonts w:ascii="Arial" w:eastAsia="Arial" w:hAnsi="Arial" w:cs="Arial"/>
          <w:b/>
        </w:rPr>
        <w:t xml:space="preserve"> decision</w:t>
      </w:r>
    </w:p>
    <w:p w14:paraId="3AC1E7F9" w14:textId="77777777" w:rsidR="00EE65AB" w:rsidRPr="00EE65AB" w:rsidRDefault="00EE65AB" w:rsidP="00EE65AB">
      <w:pPr>
        <w:pStyle w:val="ListParagraph"/>
        <w:ind w:left="1563"/>
        <w:contextualSpacing/>
        <w:jc w:val="both"/>
        <w:rPr>
          <w:rFonts w:ascii="Arial" w:eastAsia="Arial" w:hAnsi="Arial" w:cs="Arial"/>
        </w:rPr>
      </w:pPr>
    </w:p>
    <w:p w14:paraId="2872E163" w14:textId="42033516" w:rsidR="005728F5" w:rsidRDefault="00520588"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w:t>
      </w:r>
      <w:r w:rsidR="00EE389B">
        <w:rPr>
          <w:rFonts w:ascii="Arial" w:eastAsia="Arial" w:hAnsi="Arial" w:cs="Arial"/>
        </w:rPr>
        <w:t>first-tier</w:t>
      </w:r>
      <w:r>
        <w:rPr>
          <w:rFonts w:ascii="Arial" w:eastAsia="Arial" w:hAnsi="Arial" w:cs="Arial"/>
        </w:rPr>
        <w:t xml:space="preserve"> judge identified the basis of claim and the evidence before him</w:t>
      </w:r>
      <w:r w:rsidR="00940D2D">
        <w:rPr>
          <w:rFonts w:ascii="Arial" w:eastAsia="Arial" w:hAnsi="Arial" w:cs="Arial"/>
        </w:rPr>
        <w:t xml:space="preserve">. </w:t>
      </w:r>
      <w:proofErr w:type="gramStart"/>
      <w:r w:rsidR="00940D2D">
        <w:rPr>
          <w:rFonts w:ascii="Arial" w:eastAsia="Arial" w:hAnsi="Arial" w:cs="Arial"/>
        </w:rPr>
        <w:t>In particular the</w:t>
      </w:r>
      <w:proofErr w:type="gramEnd"/>
      <w:r w:rsidR="00940D2D">
        <w:rPr>
          <w:rFonts w:ascii="Arial" w:eastAsia="Arial" w:hAnsi="Arial" w:cs="Arial"/>
        </w:rPr>
        <w:t xml:space="preserve"> judge set out that she had made an application for leave to remain in the UK on the basis of her private life and medical condition</w:t>
      </w:r>
      <w:r w:rsidR="00DD5BCC">
        <w:rPr>
          <w:rFonts w:ascii="Arial" w:eastAsia="Arial" w:hAnsi="Arial" w:cs="Arial"/>
        </w:rPr>
        <w:t>. The</w:t>
      </w:r>
      <w:r w:rsidR="00940D2D">
        <w:rPr>
          <w:rFonts w:ascii="Arial" w:eastAsia="Arial" w:hAnsi="Arial" w:cs="Arial"/>
        </w:rPr>
        <w:t xml:space="preserve"> application was refused by the respondent on the basis that she had not provided an expected end date for her medical treatment</w:t>
      </w:r>
      <w:r w:rsidR="002E27BC">
        <w:rPr>
          <w:rFonts w:ascii="Arial" w:eastAsia="Arial" w:hAnsi="Arial" w:cs="Arial"/>
        </w:rPr>
        <w:t xml:space="preserve">, had not made a declaration that she intended to leave the UK when the treatment had finished, she </w:t>
      </w:r>
      <w:r w:rsidR="00DD5BCC">
        <w:rPr>
          <w:rFonts w:ascii="Arial" w:eastAsia="Arial" w:hAnsi="Arial" w:cs="Arial"/>
        </w:rPr>
        <w:t xml:space="preserve">had </w:t>
      </w:r>
      <w:r w:rsidR="002E27BC">
        <w:rPr>
          <w:rFonts w:ascii="Arial" w:eastAsia="Arial" w:hAnsi="Arial" w:cs="Arial"/>
        </w:rPr>
        <w:t xml:space="preserve">spent only a relatively short period of time in the UK, there was no evidence to show there would be significant obstacles to her re-integration into the </w:t>
      </w:r>
      <w:r w:rsidR="00686966">
        <w:rPr>
          <w:rFonts w:ascii="Arial" w:eastAsia="Arial" w:hAnsi="Arial" w:cs="Arial"/>
        </w:rPr>
        <w:t>DRC</w:t>
      </w:r>
      <w:r w:rsidR="002E27BC">
        <w:rPr>
          <w:rFonts w:ascii="Arial" w:eastAsia="Arial" w:hAnsi="Arial" w:cs="Arial"/>
        </w:rPr>
        <w:t>, no evidence to show the</w:t>
      </w:r>
      <w:r w:rsidR="00686966">
        <w:rPr>
          <w:rFonts w:ascii="Arial" w:eastAsia="Arial" w:hAnsi="Arial" w:cs="Arial"/>
        </w:rPr>
        <w:t>re</w:t>
      </w:r>
      <w:r w:rsidR="002E27BC">
        <w:rPr>
          <w:rFonts w:ascii="Arial" w:eastAsia="Arial" w:hAnsi="Arial" w:cs="Arial"/>
        </w:rPr>
        <w:t xml:space="preserve"> were exceptional circumstances, no evidence that the relationships she had with family members</w:t>
      </w:r>
      <w:r w:rsidR="005728F5">
        <w:rPr>
          <w:rFonts w:ascii="Arial" w:eastAsia="Arial" w:hAnsi="Arial" w:cs="Arial"/>
        </w:rPr>
        <w:t xml:space="preserve"> </w:t>
      </w:r>
      <w:r w:rsidR="00686966">
        <w:rPr>
          <w:rFonts w:ascii="Arial" w:eastAsia="Arial" w:hAnsi="Arial" w:cs="Arial"/>
        </w:rPr>
        <w:t xml:space="preserve">in the UK </w:t>
      </w:r>
      <w:r w:rsidR="005728F5">
        <w:rPr>
          <w:rFonts w:ascii="Arial" w:eastAsia="Arial" w:hAnsi="Arial" w:cs="Arial"/>
        </w:rPr>
        <w:t xml:space="preserve">was such as to engage </w:t>
      </w:r>
      <w:r w:rsidR="00686966">
        <w:rPr>
          <w:rFonts w:ascii="Arial" w:eastAsia="Arial" w:hAnsi="Arial" w:cs="Arial"/>
        </w:rPr>
        <w:t>A</w:t>
      </w:r>
      <w:r w:rsidR="005728F5">
        <w:rPr>
          <w:rFonts w:ascii="Arial" w:eastAsia="Arial" w:hAnsi="Arial" w:cs="Arial"/>
        </w:rPr>
        <w:t xml:space="preserve">rticle 8 and that the medical treatment she required did not reach the threshold of </w:t>
      </w:r>
      <w:r w:rsidR="00686966">
        <w:rPr>
          <w:rFonts w:ascii="Arial" w:eastAsia="Arial" w:hAnsi="Arial" w:cs="Arial"/>
        </w:rPr>
        <w:t>A</w:t>
      </w:r>
      <w:r w:rsidR="005728F5">
        <w:rPr>
          <w:rFonts w:ascii="Arial" w:eastAsia="Arial" w:hAnsi="Arial" w:cs="Arial"/>
        </w:rPr>
        <w:t xml:space="preserve">rticle 3 and was available in the DRC. </w:t>
      </w:r>
    </w:p>
    <w:p w14:paraId="7D849A8B" w14:textId="77777777" w:rsidR="005728F5" w:rsidRDefault="005728F5" w:rsidP="005728F5">
      <w:pPr>
        <w:pStyle w:val="ListParagraph"/>
        <w:ind w:left="1563"/>
        <w:contextualSpacing/>
        <w:jc w:val="both"/>
        <w:rPr>
          <w:rFonts w:ascii="Arial" w:eastAsia="Arial" w:hAnsi="Arial" w:cs="Arial"/>
        </w:rPr>
      </w:pPr>
    </w:p>
    <w:p w14:paraId="2D9478D4" w14:textId="178B27F9" w:rsidR="00102EAC" w:rsidRDefault="00D6233C" w:rsidP="576901D2">
      <w:pPr>
        <w:pStyle w:val="ListParagraph"/>
        <w:numPr>
          <w:ilvl w:val="0"/>
          <w:numId w:val="28"/>
        </w:numPr>
        <w:contextualSpacing/>
        <w:jc w:val="both"/>
        <w:rPr>
          <w:rFonts w:ascii="Arial" w:eastAsia="Arial" w:hAnsi="Arial" w:cs="Arial"/>
        </w:rPr>
      </w:pPr>
      <w:r>
        <w:rPr>
          <w:rFonts w:ascii="Arial" w:eastAsia="Arial" w:hAnsi="Arial" w:cs="Arial"/>
        </w:rPr>
        <w:lastRenderedPageBreak/>
        <w:t xml:space="preserve">The appellant, although she and her family are in the UK, did not seek an oral hearing. </w:t>
      </w:r>
      <w:r w:rsidR="00C56DC9">
        <w:rPr>
          <w:rFonts w:ascii="Arial" w:eastAsia="Arial" w:hAnsi="Arial" w:cs="Arial"/>
        </w:rPr>
        <w:t xml:space="preserve">The judge considered the evidence before him and referred to the discharge summary from the Royal </w:t>
      </w:r>
      <w:r w:rsidR="00E91A62">
        <w:rPr>
          <w:rFonts w:ascii="Arial" w:eastAsia="Arial" w:hAnsi="Arial" w:cs="Arial"/>
        </w:rPr>
        <w:t>Fr</w:t>
      </w:r>
      <w:r w:rsidR="00C56DC9">
        <w:rPr>
          <w:rFonts w:ascii="Arial" w:eastAsia="Arial" w:hAnsi="Arial" w:cs="Arial"/>
        </w:rPr>
        <w:t xml:space="preserve">ee </w:t>
      </w:r>
      <w:r w:rsidR="00E91A62">
        <w:rPr>
          <w:rFonts w:ascii="Arial" w:eastAsia="Arial" w:hAnsi="Arial" w:cs="Arial"/>
        </w:rPr>
        <w:t>H</w:t>
      </w:r>
      <w:r w:rsidR="00C56DC9">
        <w:rPr>
          <w:rFonts w:ascii="Arial" w:eastAsia="Arial" w:hAnsi="Arial" w:cs="Arial"/>
        </w:rPr>
        <w:t>ospital in London which he noted gave a different name and a different date of birth to that of the appellant</w:t>
      </w:r>
      <w:r w:rsidR="00102EAC">
        <w:rPr>
          <w:rFonts w:ascii="Arial" w:eastAsia="Arial" w:hAnsi="Arial" w:cs="Arial"/>
        </w:rPr>
        <w:t xml:space="preserve">. </w:t>
      </w:r>
    </w:p>
    <w:p w14:paraId="33EC2FAA" w14:textId="77777777" w:rsidR="00102EAC" w:rsidRPr="00102EAC" w:rsidRDefault="00102EAC" w:rsidP="00102EAC">
      <w:pPr>
        <w:pStyle w:val="ListParagraph"/>
        <w:rPr>
          <w:rFonts w:ascii="Arial" w:eastAsia="Arial" w:hAnsi="Arial" w:cs="Arial"/>
        </w:rPr>
      </w:pPr>
    </w:p>
    <w:p w14:paraId="554A80F0" w14:textId="5F46B7DB" w:rsidR="004C73AD" w:rsidRDefault="00102EAC"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There was no other evidence before the judge. The judge concluded that on the basis of the evidence before him there was no evidence to demonstrate that she enjoyed family life in the UK for the </w:t>
      </w:r>
      <w:r w:rsidR="00865045">
        <w:rPr>
          <w:rFonts w:ascii="Arial" w:eastAsia="Arial" w:hAnsi="Arial" w:cs="Arial"/>
        </w:rPr>
        <w:t xml:space="preserve">purposes of </w:t>
      </w:r>
      <w:r w:rsidR="00E91A62">
        <w:rPr>
          <w:rFonts w:ascii="Arial" w:eastAsia="Arial" w:hAnsi="Arial" w:cs="Arial"/>
        </w:rPr>
        <w:t>A</w:t>
      </w:r>
      <w:r w:rsidR="00865045">
        <w:rPr>
          <w:rFonts w:ascii="Arial" w:eastAsia="Arial" w:hAnsi="Arial" w:cs="Arial"/>
        </w:rPr>
        <w:t xml:space="preserve">rticle 8, that little weight should be given to private life established when a </w:t>
      </w:r>
      <w:r w:rsidR="001D3F64">
        <w:rPr>
          <w:rFonts w:ascii="Arial" w:eastAsia="Arial" w:hAnsi="Arial" w:cs="Arial"/>
        </w:rPr>
        <w:t>person’s</w:t>
      </w:r>
      <w:r w:rsidR="00865045">
        <w:rPr>
          <w:rFonts w:ascii="Arial" w:eastAsia="Arial" w:hAnsi="Arial" w:cs="Arial"/>
        </w:rPr>
        <w:t xml:space="preserve"> immigration status was precarious as </w:t>
      </w:r>
      <w:r w:rsidR="00E91A62">
        <w:rPr>
          <w:rFonts w:ascii="Arial" w:eastAsia="Arial" w:hAnsi="Arial" w:cs="Arial"/>
        </w:rPr>
        <w:t xml:space="preserve">was the case </w:t>
      </w:r>
      <w:r w:rsidR="00865045">
        <w:rPr>
          <w:rFonts w:ascii="Arial" w:eastAsia="Arial" w:hAnsi="Arial" w:cs="Arial"/>
        </w:rPr>
        <w:t>for this appellant and there was no evidence to show that her medical condition</w:t>
      </w:r>
      <w:r w:rsidR="004C73AD">
        <w:rPr>
          <w:rFonts w:ascii="Arial" w:eastAsia="Arial" w:hAnsi="Arial" w:cs="Arial"/>
        </w:rPr>
        <w:t xml:space="preserve"> reached the </w:t>
      </w:r>
      <w:r w:rsidR="0016353C">
        <w:rPr>
          <w:rFonts w:ascii="Arial" w:eastAsia="Arial" w:hAnsi="Arial" w:cs="Arial"/>
        </w:rPr>
        <w:t>A</w:t>
      </w:r>
      <w:r w:rsidR="004C73AD">
        <w:rPr>
          <w:rFonts w:ascii="Arial" w:eastAsia="Arial" w:hAnsi="Arial" w:cs="Arial"/>
        </w:rPr>
        <w:t>rticle 3 threshold or that there were circumstances such as would give rise to harsh consequences for her return to the DRC.</w:t>
      </w:r>
    </w:p>
    <w:p w14:paraId="2641585F" w14:textId="77777777" w:rsidR="004C73AD" w:rsidRPr="004C73AD" w:rsidRDefault="004C73AD" w:rsidP="004C73AD">
      <w:pPr>
        <w:pStyle w:val="ListParagraph"/>
        <w:rPr>
          <w:rFonts w:ascii="Arial" w:eastAsia="Arial" w:hAnsi="Arial" w:cs="Arial"/>
        </w:rPr>
      </w:pPr>
    </w:p>
    <w:p w14:paraId="6389C181" w14:textId="77777777" w:rsidR="00955875" w:rsidRDefault="00955875" w:rsidP="00955875">
      <w:pPr>
        <w:pStyle w:val="ListParagraph"/>
        <w:ind w:left="1563"/>
        <w:contextualSpacing/>
        <w:jc w:val="both"/>
        <w:rPr>
          <w:rFonts w:ascii="Arial" w:eastAsia="Arial" w:hAnsi="Arial" w:cs="Arial"/>
        </w:rPr>
      </w:pPr>
      <w:r>
        <w:rPr>
          <w:rFonts w:ascii="Arial" w:eastAsia="Arial" w:hAnsi="Arial" w:cs="Arial"/>
        </w:rPr>
        <w:t>Error of Law</w:t>
      </w:r>
    </w:p>
    <w:p w14:paraId="36D153CC" w14:textId="77777777" w:rsidR="00955875" w:rsidRPr="00955875" w:rsidRDefault="00955875" w:rsidP="00955875">
      <w:pPr>
        <w:pStyle w:val="ListParagraph"/>
        <w:rPr>
          <w:rFonts w:ascii="Arial" w:eastAsia="Arial" w:hAnsi="Arial" w:cs="Arial"/>
        </w:rPr>
      </w:pPr>
    </w:p>
    <w:p w14:paraId="00F165E6" w14:textId="07BBD592" w:rsidR="007B1D5F" w:rsidRDefault="00F47E11"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grounds upon which </w:t>
      </w:r>
      <w:r w:rsidR="00B463DA">
        <w:rPr>
          <w:rFonts w:ascii="Arial" w:eastAsia="Arial" w:hAnsi="Arial" w:cs="Arial"/>
        </w:rPr>
        <w:t xml:space="preserve">permission to appeal was </w:t>
      </w:r>
      <w:r w:rsidR="00182CC2">
        <w:rPr>
          <w:rFonts w:ascii="Arial" w:eastAsia="Arial" w:hAnsi="Arial" w:cs="Arial"/>
        </w:rPr>
        <w:t>sought</w:t>
      </w:r>
      <w:r w:rsidR="00B463DA">
        <w:rPr>
          <w:rFonts w:ascii="Arial" w:eastAsia="Arial" w:hAnsi="Arial" w:cs="Arial"/>
        </w:rPr>
        <w:t xml:space="preserve"> referred to </w:t>
      </w:r>
      <w:r w:rsidR="00591715">
        <w:rPr>
          <w:rFonts w:ascii="Arial" w:eastAsia="Arial" w:hAnsi="Arial" w:cs="Arial"/>
        </w:rPr>
        <w:t xml:space="preserve">relatives in the DRC but </w:t>
      </w:r>
      <w:r w:rsidR="0016353C">
        <w:rPr>
          <w:rFonts w:ascii="Arial" w:eastAsia="Arial" w:hAnsi="Arial" w:cs="Arial"/>
        </w:rPr>
        <w:t xml:space="preserve">that </w:t>
      </w:r>
      <w:r w:rsidR="00591715">
        <w:rPr>
          <w:rFonts w:ascii="Arial" w:eastAsia="Arial" w:hAnsi="Arial" w:cs="Arial"/>
        </w:rPr>
        <w:t xml:space="preserve">they were neglecting her, that to require her to return to the Congo would be a form of neglect which meets the threshold of </w:t>
      </w:r>
      <w:r w:rsidR="0016353C">
        <w:rPr>
          <w:rFonts w:ascii="Arial" w:eastAsia="Arial" w:hAnsi="Arial" w:cs="Arial"/>
        </w:rPr>
        <w:t>A</w:t>
      </w:r>
      <w:r w:rsidR="00591715">
        <w:rPr>
          <w:rFonts w:ascii="Arial" w:eastAsia="Arial" w:hAnsi="Arial" w:cs="Arial"/>
        </w:rPr>
        <w:t>rticle 3</w:t>
      </w:r>
      <w:r w:rsidR="00C75DE0">
        <w:rPr>
          <w:rFonts w:ascii="Arial" w:eastAsia="Arial" w:hAnsi="Arial" w:cs="Arial"/>
        </w:rPr>
        <w:t xml:space="preserve"> and that the respondent had taken a decision on the basis that there was treatment available for the appellant but had considered treatment for Ar</w:t>
      </w:r>
      <w:r w:rsidR="00D02120">
        <w:rPr>
          <w:rFonts w:ascii="Arial" w:eastAsia="Arial" w:hAnsi="Arial" w:cs="Arial"/>
        </w:rPr>
        <w:t xml:space="preserve">throgryposis rather than Lumbar Spondylosis and Stenosis. </w:t>
      </w:r>
    </w:p>
    <w:p w14:paraId="4A5E7F95" w14:textId="77777777" w:rsidR="007B1D5F" w:rsidRDefault="007B1D5F" w:rsidP="007B1D5F">
      <w:pPr>
        <w:pStyle w:val="ListParagraph"/>
        <w:ind w:left="1563"/>
        <w:contextualSpacing/>
        <w:jc w:val="both"/>
        <w:rPr>
          <w:rFonts w:ascii="Arial" w:eastAsia="Arial" w:hAnsi="Arial" w:cs="Arial"/>
        </w:rPr>
      </w:pPr>
    </w:p>
    <w:p w14:paraId="7A026F9C" w14:textId="75AAD9C8" w:rsidR="00742275" w:rsidRDefault="00C16403" w:rsidP="576901D2">
      <w:pPr>
        <w:pStyle w:val="ListParagraph"/>
        <w:numPr>
          <w:ilvl w:val="0"/>
          <w:numId w:val="28"/>
        </w:numPr>
        <w:contextualSpacing/>
        <w:jc w:val="both"/>
        <w:rPr>
          <w:rFonts w:ascii="Arial" w:eastAsia="Arial" w:hAnsi="Arial" w:cs="Arial"/>
        </w:rPr>
      </w:pPr>
      <w:r>
        <w:rPr>
          <w:rFonts w:ascii="Arial" w:eastAsia="Arial" w:hAnsi="Arial" w:cs="Arial"/>
        </w:rPr>
        <w:t>Permission to appeal was refused on the diagnosis point but granted on the</w:t>
      </w:r>
      <w:r w:rsidR="00742275">
        <w:rPr>
          <w:rFonts w:ascii="Arial" w:eastAsia="Arial" w:hAnsi="Arial" w:cs="Arial"/>
        </w:rPr>
        <w:t xml:space="preserve"> basis that it was arguable that the </w:t>
      </w:r>
      <w:r w:rsidR="00A37876">
        <w:rPr>
          <w:rFonts w:ascii="Arial" w:eastAsia="Arial" w:hAnsi="Arial" w:cs="Arial"/>
        </w:rPr>
        <w:t>first-tier</w:t>
      </w:r>
      <w:r w:rsidR="00742275">
        <w:rPr>
          <w:rFonts w:ascii="Arial" w:eastAsia="Arial" w:hAnsi="Arial" w:cs="Arial"/>
        </w:rPr>
        <w:t xml:space="preserve"> judge may have </w:t>
      </w:r>
      <w:r w:rsidR="000361DB">
        <w:rPr>
          <w:rFonts w:ascii="Arial" w:eastAsia="Arial" w:hAnsi="Arial" w:cs="Arial"/>
        </w:rPr>
        <w:t>erred</w:t>
      </w:r>
      <w:r w:rsidR="00742275">
        <w:rPr>
          <w:rFonts w:ascii="Arial" w:eastAsia="Arial" w:hAnsi="Arial" w:cs="Arial"/>
        </w:rPr>
        <w:t xml:space="preserve"> in failing to engage with the notice of appeal when considering whether the appellant faced very significant obstacles to her integration to the DLC. </w:t>
      </w:r>
    </w:p>
    <w:p w14:paraId="4A80ABC8" w14:textId="77777777" w:rsidR="00742275" w:rsidRPr="00742275" w:rsidRDefault="00742275" w:rsidP="00742275">
      <w:pPr>
        <w:pStyle w:val="ListParagraph"/>
        <w:rPr>
          <w:rFonts w:ascii="Arial" w:eastAsia="Arial" w:hAnsi="Arial" w:cs="Arial"/>
        </w:rPr>
      </w:pPr>
    </w:p>
    <w:p w14:paraId="69381CD3" w14:textId="7ECF795F" w:rsidR="00055759" w:rsidRDefault="00642563"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evidence before the first tier Tribunal judge as to potential obstacles to her return to the DRC consisted of a </w:t>
      </w:r>
      <w:r w:rsidR="00184894">
        <w:rPr>
          <w:rFonts w:ascii="Arial" w:eastAsia="Arial" w:hAnsi="Arial" w:cs="Arial"/>
        </w:rPr>
        <w:t>reference to the appellant being old with medical obstacles and no family members in the Congo who were willing to provide physical or emotional support. Reference was made to her inability to walk</w:t>
      </w:r>
      <w:r w:rsidR="00055759">
        <w:rPr>
          <w:rFonts w:ascii="Arial" w:eastAsia="Arial" w:hAnsi="Arial" w:cs="Arial"/>
        </w:rPr>
        <w:t xml:space="preserve"> </w:t>
      </w:r>
      <w:r w:rsidR="000361DB">
        <w:rPr>
          <w:rFonts w:ascii="Arial" w:eastAsia="Arial" w:hAnsi="Arial" w:cs="Arial"/>
        </w:rPr>
        <w:t>un</w:t>
      </w:r>
      <w:r w:rsidR="00055759">
        <w:rPr>
          <w:rFonts w:ascii="Arial" w:eastAsia="Arial" w:hAnsi="Arial" w:cs="Arial"/>
        </w:rPr>
        <w:t>assisted and that prior to coming to London she had been severely neglected.</w:t>
      </w:r>
    </w:p>
    <w:p w14:paraId="28B6B73A" w14:textId="77777777" w:rsidR="00055759" w:rsidRPr="00055759" w:rsidRDefault="00055759" w:rsidP="00055759">
      <w:pPr>
        <w:pStyle w:val="ListParagraph"/>
        <w:rPr>
          <w:rFonts w:ascii="Arial" w:eastAsia="Arial" w:hAnsi="Arial" w:cs="Arial"/>
        </w:rPr>
      </w:pPr>
    </w:p>
    <w:p w14:paraId="31EA133C" w14:textId="6D81CF66" w:rsidR="00074875" w:rsidRDefault="00055759"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submissions made in response to directions </w:t>
      </w:r>
      <w:r w:rsidR="001C22CB">
        <w:rPr>
          <w:rFonts w:ascii="Arial" w:eastAsia="Arial" w:hAnsi="Arial" w:cs="Arial"/>
        </w:rPr>
        <w:t>are made by the appellant</w:t>
      </w:r>
      <w:r w:rsidR="000361DB">
        <w:rPr>
          <w:rFonts w:ascii="Arial" w:eastAsia="Arial" w:hAnsi="Arial" w:cs="Arial"/>
        </w:rPr>
        <w:t>’</w:t>
      </w:r>
      <w:r w:rsidR="001C22CB">
        <w:rPr>
          <w:rFonts w:ascii="Arial" w:eastAsia="Arial" w:hAnsi="Arial" w:cs="Arial"/>
        </w:rPr>
        <w:t>s granddaughter and state that they would like her to be granted the right to live in the UK with her family for the few remaining years she has left</w:t>
      </w:r>
      <w:r w:rsidR="00074875">
        <w:rPr>
          <w:rFonts w:ascii="Arial" w:eastAsia="Arial" w:hAnsi="Arial" w:cs="Arial"/>
        </w:rPr>
        <w:t xml:space="preserve"> as opposed to living in the DRC where she cannot receive the care she needs and where she was neglected.</w:t>
      </w:r>
    </w:p>
    <w:p w14:paraId="7BF0C1C8" w14:textId="77777777" w:rsidR="00074875" w:rsidRPr="00074875" w:rsidRDefault="00074875" w:rsidP="00074875">
      <w:pPr>
        <w:pStyle w:val="ListParagraph"/>
        <w:rPr>
          <w:rFonts w:ascii="Arial" w:eastAsia="Arial" w:hAnsi="Arial" w:cs="Arial"/>
        </w:rPr>
      </w:pPr>
    </w:p>
    <w:p w14:paraId="6BCFDF15" w14:textId="15580FD9" w:rsidR="009A4AB7" w:rsidRDefault="005F34B8" w:rsidP="576901D2">
      <w:pPr>
        <w:pStyle w:val="ListParagraph"/>
        <w:numPr>
          <w:ilvl w:val="0"/>
          <w:numId w:val="28"/>
        </w:numPr>
        <w:contextualSpacing/>
        <w:jc w:val="both"/>
        <w:rPr>
          <w:rFonts w:ascii="Arial" w:eastAsia="Arial" w:hAnsi="Arial" w:cs="Arial"/>
        </w:rPr>
      </w:pPr>
      <w:r>
        <w:rPr>
          <w:rFonts w:ascii="Arial" w:eastAsia="Arial" w:hAnsi="Arial" w:cs="Arial"/>
        </w:rPr>
        <w:t>A copy of the application that was made to the respondent was not in the papers before the first tier Tribunal judge. From the refusal letter it seems that</w:t>
      </w:r>
      <w:r w:rsidR="00481DED">
        <w:rPr>
          <w:rFonts w:ascii="Arial" w:eastAsia="Arial" w:hAnsi="Arial" w:cs="Arial"/>
        </w:rPr>
        <w:t xml:space="preserve"> there were submissions made by Mr Okafor </w:t>
      </w:r>
      <w:r w:rsidR="003C5434">
        <w:rPr>
          <w:rFonts w:ascii="Arial" w:eastAsia="Arial" w:hAnsi="Arial" w:cs="Arial"/>
        </w:rPr>
        <w:t xml:space="preserve">regarding </w:t>
      </w:r>
      <w:r w:rsidR="00481DED">
        <w:rPr>
          <w:rFonts w:ascii="Arial" w:eastAsia="Arial" w:hAnsi="Arial" w:cs="Arial"/>
        </w:rPr>
        <w:t>the medical treatment that she requires and the medical evidence that was submitted</w:t>
      </w:r>
      <w:r w:rsidR="008D5DAE">
        <w:rPr>
          <w:rFonts w:ascii="Arial" w:eastAsia="Arial" w:hAnsi="Arial" w:cs="Arial"/>
        </w:rPr>
        <w:t xml:space="preserve"> referred to a pre-existing medical condition for which she had travel</w:t>
      </w:r>
      <w:r w:rsidR="003C5434">
        <w:rPr>
          <w:rFonts w:ascii="Arial" w:eastAsia="Arial" w:hAnsi="Arial" w:cs="Arial"/>
        </w:rPr>
        <w:t>led</w:t>
      </w:r>
      <w:r w:rsidR="008D5DAE">
        <w:rPr>
          <w:rFonts w:ascii="Arial" w:eastAsia="Arial" w:hAnsi="Arial" w:cs="Arial"/>
        </w:rPr>
        <w:t xml:space="preserve"> to the UK without any incidents. </w:t>
      </w:r>
      <w:r w:rsidR="00190E7A">
        <w:rPr>
          <w:rFonts w:ascii="Arial" w:eastAsia="Arial" w:hAnsi="Arial" w:cs="Arial"/>
        </w:rPr>
        <w:t>The appellant did not produce evidence to the first tier Tribunal judge that there was insufficient treatment for her pre-existing medical condition. Nor did she produce evidence to the</w:t>
      </w:r>
      <w:r w:rsidR="0087787B">
        <w:rPr>
          <w:rFonts w:ascii="Arial" w:eastAsia="Arial" w:hAnsi="Arial" w:cs="Arial"/>
        </w:rPr>
        <w:t xml:space="preserve"> first tier Tribunal judge of her relationship to family members in the UK. </w:t>
      </w:r>
      <w:proofErr w:type="gramStart"/>
      <w:r w:rsidR="0087787B">
        <w:rPr>
          <w:rFonts w:ascii="Arial" w:eastAsia="Arial" w:hAnsi="Arial" w:cs="Arial"/>
        </w:rPr>
        <w:t>On the basis of</w:t>
      </w:r>
      <w:proofErr w:type="gramEnd"/>
      <w:r w:rsidR="0087787B">
        <w:rPr>
          <w:rFonts w:ascii="Arial" w:eastAsia="Arial" w:hAnsi="Arial" w:cs="Arial"/>
        </w:rPr>
        <w:t xml:space="preserve"> the evidence that was produced to the first tier Tribunal judge it is inconceivable that</w:t>
      </w:r>
      <w:r w:rsidR="00DE733D">
        <w:rPr>
          <w:rFonts w:ascii="Arial" w:eastAsia="Arial" w:hAnsi="Arial" w:cs="Arial"/>
        </w:rPr>
        <w:t xml:space="preserve"> the judge </w:t>
      </w:r>
      <w:r w:rsidR="00DE733D">
        <w:rPr>
          <w:rFonts w:ascii="Arial" w:eastAsia="Arial" w:hAnsi="Arial" w:cs="Arial"/>
        </w:rPr>
        <w:lastRenderedPageBreak/>
        <w:t xml:space="preserve">could have reached findings other than those that were reached. </w:t>
      </w:r>
      <w:r w:rsidR="00AD3A80">
        <w:rPr>
          <w:rFonts w:ascii="Arial" w:eastAsia="Arial" w:hAnsi="Arial" w:cs="Arial"/>
        </w:rPr>
        <w:t xml:space="preserve">A mere statement that she had been neglected with no detail of her living conditions is simply inadequate to </w:t>
      </w:r>
      <w:r w:rsidR="00AC43BC">
        <w:rPr>
          <w:rFonts w:ascii="Arial" w:eastAsia="Arial" w:hAnsi="Arial" w:cs="Arial"/>
        </w:rPr>
        <w:t>enable a finding that she would face significant obstacles to integration</w:t>
      </w:r>
      <w:r w:rsidR="00091294">
        <w:rPr>
          <w:rFonts w:ascii="Arial" w:eastAsia="Arial" w:hAnsi="Arial" w:cs="Arial"/>
        </w:rPr>
        <w:t xml:space="preserve">, absent other evidence. </w:t>
      </w:r>
      <w:r w:rsidR="00DE733D">
        <w:rPr>
          <w:rFonts w:ascii="Arial" w:eastAsia="Arial" w:hAnsi="Arial" w:cs="Arial"/>
        </w:rPr>
        <w:t>There was simply inadequate evidence in connection with her pre-existing medical condition, her current medical condition, her current need for care, the lack of available care</w:t>
      </w:r>
      <w:r w:rsidR="00C53222">
        <w:rPr>
          <w:rFonts w:ascii="Arial" w:eastAsia="Arial" w:hAnsi="Arial" w:cs="Arial"/>
        </w:rPr>
        <w:t xml:space="preserve"> </w:t>
      </w:r>
      <w:r w:rsidR="00091294">
        <w:rPr>
          <w:rFonts w:ascii="Arial" w:eastAsia="Arial" w:hAnsi="Arial" w:cs="Arial"/>
        </w:rPr>
        <w:t>(</w:t>
      </w:r>
      <w:r w:rsidR="00C53222">
        <w:rPr>
          <w:rFonts w:ascii="Arial" w:eastAsia="Arial" w:hAnsi="Arial" w:cs="Arial"/>
        </w:rPr>
        <w:t>whether paid for or not), in the DRC and the nature of the relationships she has in the UK. The submission of further evidence at this stage</w:t>
      </w:r>
      <w:r w:rsidR="009A4AB7">
        <w:rPr>
          <w:rFonts w:ascii="Arial" w:eastAsia="Arial" w:hAnsi="Arial" w:cs="Arial"/>
        </w:rPr>
        <w:t xml:space="preserve"> is not relevant to the decisions made by the first tier Tribunal judge although of course it is open to the appellant to make a further application with full information being provided to the respondent at that time.</w:t>
      </w:r>
    </w:p>
    <w:p w14:paraId="53E88A8E" w14:textId="77777777" w:rsidR="009A4AB7" w:rsidRDefault="009A4AB7" w:rsidP="006C1A08">
      <w:pPr>
        <w:pStyle w:val="ListParagraph"/>
        <w:ind w:left="1563"/>
        <w:contextualSpacing/>
        <w:jc w:val="both"/>
        <w:rPr>
          <w:rFonts w:ascii="Arial" w:eastAsia="Arial" w:hAnsi="Arial" w:cs="Arial"/>
        </w:rPr>
      </w:pPr>
    </w:p>
    <w:p w14:paraId="3BB4BA7E" w14:textId="77777777" w:rsidR="009C6CC6" w:rsidRPr="008578D0" w:rsidRDefault="009C6CC6" w:rsidP="000D572B">
      <w:pPr>
        <w:tabs>
          <w:tab w:val="left" w:pos="567"/>
        </w:tabs>
        <w:ind w:left="360"/>
        <w:jc w:val="both"/>
        <w:rPr>
          <w:rFonts w:ascii="Arial" w:hAnsi="Arial" w:cs="Arial"/>
        </w:rPr>
      </w:pPr>
    </w:p>
    <w:p w14:paraId="3BB4BA7F" w14:textId="6717D3DD" w:rsidR="00F22AA0" w:rsidRPr="008578D0" w:rsidRDefault="006C1A08" w:rsidP="003C5D94">
      <w:pPr>
        <w:pStyle w:val="Heading8"/>
        <w:ind w:left="720"/>
        <w:rPr>
          <w:szCs w:val="24"/>
        </w:rPr>
      </w:pPr>
      <w:r>
        <w:t>F</w:t>
      </w:r>
      <w:r w:rsidR="576901D2">
        <w:t xml:space="preserve">indings </w:t>
      </w:r>
    </w:p>
    <w:p w14:paraId="3BB4BA80" w14:textId="77777777" w:rsidR="00F22AA0" w:rsidRPr="008578D0" w:rsidRDefault="00F22AA0" w:rsidP="00036813">
      <w:pPr>
        <w:jc w:val="both"/>
        <w:rPr>
          <w:rFonts w:ascii="Arial" w:hAnsi="Arial" w:cs="Arial"/>
        </w:rPr>
      </w:pPr>
    </w:p>
    <w:p w14:paraId="3710A44B" w14:textId="56984108" w:rsidR="00C04B13" w:rsidRDefault="00625774" w:rsidP="576901D2">
      <w:pPr>
        <w:numPr>
          <w:ilvl w:val="0"/>
          <w:numId w:val="28"/>
        </w:numPr>
        <w:jc w:val="both"/>
        <w:rPr>
          <w:rFonts w:ascii="Arial" w:eastAsia="Arial" w:hAnsi="Arial" w:cs="Arial"/>
        </w:rPr>
      </w:pPr>
      <w:r>
        <w:rPr>
          <w:rFonts w:ascii="Arial" w:eastAsia="Arial" w:hAnsi="Arial" w:cs="Arial"/>
        </w:rPr>
        <w:t xml:space="preserve">Although the decision by the first tier Tribunal judge is brief, it considered all the available evidence </w:t>
      </w:r>
      <w:r w:rsidR="00091294">
        <w:rPr>
          <w:rFonts w:ascii="Arial" w:eastAsia="Arial" w:hAnsi="Arial" w:cs="Arial"/>
        </w:rPr>
        <w:t xml:space="preserve">and submissions </w:t>
      </w:r>
      <w:r>
        <w:rPr>
          <w:rFonts w:ascii="Arial" w:eastAsia="Arial" w:hAnsi="Arial" w:cs="Arial"/>
        </w:rPr>
        <w:t>that w</w:t>
      </w:r>
      <w:r w:rsidR="00091294">
        <w:rPr>
          <w:rFonts w:ascii="Arial" w:eastAsia="Arial" w:hAnsi="Arial" w:cs="Arial"/>
        </w:rPr>
        <w:t>ere</w:t>
      </w:r>
      <w:r>
        <w:rPr>
          <w:rFonts w:ascii="Arial" w:eastAsia="Arial" w:hAnsi="Arial" w:cs="Arial"/>
        </w:rPr>
        <w:t xml:space="preserve"> before the tribunal and reached conclusions and findings that were inevitable. There is no error on a point of law in the first tier Tribunal judge decision.</w:t>
      </w:r>
    </w:p>
    <w:p w14:paraId="669EA554" w14:textId="77777777" w:rsidR="00C04B13" w:rsidRDefault="00C04B13" w:rsidP="00C04B13">
      <w:pPr>
        <w:ind w:left="1563"/>
        <w:jc w:val="both"/>
        <w:rPr>
          <w:rFonts w:ascii="Arial" w:eastAsia="Arial" w:hAnsi="Arial" w:cs="Arial"/>
        </w:rPr>
      </w:pPr>
    </w:p>
    <w:p w14:paraId="3BB4BADA" w14:textId="035155F4" w:rsidR="005965E5" w:rsidRPr="00C04B13" w:rsidRDefault="00C04B13" w:rsidP="00C04B13">
      <w:pPr>
        <w:numPr>
          <w:ilvl w:val="0"/>
          <w:numId w:val="28"/>
        </w:numPr>
        <w:jc w:val="both"/>
        <w:rPr>
          <w:rFonts w:ascii="Arial" w:hAnsi="Arial" w:cs="Arial"/>
        </w:rPr>
      </w:pPr>
      <w:r>
        <w:rPr>
          <w:rFonts w:ascii="Arial" w:eastAsia="Arial" w:hAnsi="Arial" w:cs="Arial"/>
        </w:rPr>
        <w:t>The appeal is dismissed.</w:t>
      </w:r>
    </w:p>
    <w:p w14:paraId="5B307E27" w14:textId="77777777" w:rsidR="00C04B13" w:rsidRDefault="00C04B13" w:rsidP="00C04B13">
      <w:pPr>
        <w:pStyle w:val="ListParagraph"/>
        <w:rPr>
          <w:rFonts w:ascii="Arial" w:hAnsi="Arial" w:cs="Arial"/>
        </w:rPr>
      </w:pPr>
    </w:p>
    <w:p w14:paraId="625B148E" w14:textId="77777777" w:rsidR="00C04B13" w:rsidRPr="008578D0" w:rsidRDefault="00C04B13" w:rsidP="00C04B13">
      <w:pPr>
        <w:ind w:left="1563"/>
        <w:jc w:val="both"/>
        <w:rPr>
          <w:rFonts w:ascii="Arial" w:hAnsi="Arial" w:cs="Arial"/>
        </w:rPr>
      </w:pPr>
    </w:p>
    <w:p w14:paraId="3BB4BADB" w14:textId="77777777"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rPr>
        <w:t xml:space="preserve">          </w:t>
      </w:r>
      <w:r w:rsidRPr="576901D2">
        <w:rPr>
          <w:rFonts w:ascii="Arial" w:eastAsia="Arial" w:hAnsi="Arial" w:cs="Arial"/>
          <w:u w:val="single"/>
        </w:rPr>
        <w:t>Conclusions:</w:t>
      </w:r>
    </w:p>
    <w:p w14:paraId="3BB4BADC" w14:textId="77777777" w:rsidR="00EB45D2" w:rsidRPr="008578D0" w:rsidRDefault="00EB45D2" w:rsidP="00EB45D2">
      <w:pPr>
        <w:tabs>
          <w:tab w:val="left" w:pos="567"/>
        </w:tabs>
        <w:jc w:val="both"/>
        <w:rPr>
          <w:rFonts w:ascii="Arial" w:hAnsi="Arial" w:cs="Arial"/>
        </w:rPr>
      </w:pPr>
    </w:p>
    <w:p w14:paraId="3BB4BADD" w14:textId="27A58572"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decision of the First-tier Tribunal did not involve the making of an error on a point of law.</w:t>
      </w:r>
    </w:p>
    <w:p w14:paraId="3BB4BADE" w14:textId="77777777" w:rsidR="00EB45D2" w:rsidRPr="008578D0" w:rsidRDefault="00EB45D2" w:rsidP="00EB45D2">
      <w:pPr>
        <w:tabs>
          <w:tab w:val="left" w:pos="567"/>
        </w:tabs>
        <w:jc w:val="both"/>
        <w:rPr>
          <w:rFonts w:ascii="Arial" w:hAnsi="Arial" w:cs="Arial"/>
        </w:rPr>
      </w:pPr>
    </w:p>
    <w:p w14:paraId="3BB4BADF" w14:textId="00D637D1" w:rsidR="00EB45D2" w:rsidRPr="008578D0" w:rsidRDefault="00EB45D2" w:rsidP="00320D88">
      <w:pPr>
        <w:tabs>
          <w:tab w:val="left" w:pos="567"/>
        </w:tabs>
        <w:ind w:left="567"/>
        <w:jc w:val="both"/>
        <w:rPr>
          <w:rFonts w:ascii="Arial" w:eastAsia="Arial" w:hAnsi="Arial" w:cs="Arial"/>
        </w:rPr>
      </w:pPr>
      <w:r w:rsidRPr="576901D2">
        <w:rPr>
          <w:rFonts w:ascii="Arial" w:eastAsia="Arial" w:hAnsi="Arial" w:cs="Arial"/>
        </w:rPr>
        <w:t>I do not set aside the decision</w:t>
      </w:r>
      <w:r w:rsidR="00320D88">
        <w:rPr>
          <w:rFonts w:ascii="Arial" w:eastAsia="Arial" w:hAnsi="Arial" w:cs="Arial"/>
        </w:rPr>
        <w:t xml:space="preserve">. The decision of the </w:t>
      </w:r>
      <w:r w:rsidR="00D26277">
        <w:rPr>
          <w:rFonts w:ascii="Arial" w:eastAsia="Arial" w:hAnsi="Arial" w:cs="Arial"/>
        </w:rPr>
        <w:t>first-tier</w:t>
      </w:r>
      <w:r w:rsidR="00320D88">
        <w:rPr>
          <w:rFonts w:ascii="Arial" w:eastAsia="Arial" w:hAnsi="Arial" w:cs="Arial"/>
        </w:rPr>
        <w:t xml:space="preserve"> tribunal dismissing the appeal stands.</w:t>
      </w:r>
    </w:p>
    <w:p w14:paraId="3BB4BAE0" w14:textId="77777777" w:rsidR="00EB45D2" w:rsidRPr="008578D0" w:rsidRDefault="00EB45D2" w:rsidP="00EB45D2">
      <w:pPr>
        <w:tabs>
          <w:tab w:val="left" w:pos="567"/>
        </w:tabs>
        <w:jc w:val="both"/>
        <w:rPr>
          <w:rFonts w:ascii="Arial" w:hAnsi="Arial" w:cs="Arial"/>
        </w:rPr>
      </w:pPr>
    </w:p>
    <w:p w14:paraId="3BB4BB03" w14:textId="5363F47F" w:rsidR="00423156" w:rsidRPr="00320D88" w:rsidRDefault="00EB45D2" w:rsidP="00320D88">
      <w:pPr>
        <w:tabs>
          <w:tab w:val="left" w:pos="567"/>
        </w:tabs>
        <w:jc w:val="both"/>
        <w:rPr>
          <w:rFonts w:ascii="Arial" w:eastAsia="Arial" w:hAnsi="Arial" w:cs="Arial"/>
        </w:rPr>
      </w:pPr>
      <w:r w:rsidRPr="008578D0">
        <w:rPr>
          <w:rFonts w:ascii="Arial" w:hAnsi="Arial" w:cs="Arial"/>
        </w:rPr>
        <w:tab/>
      </w:r>
    </w:p>
    <w:p w14:paraId="3BB4BB04" w14:textId="77777777" w:rsidR="00423156" w:rsidRDefault="00423156" w:rsidP="00B55768">
      <w:pPr>
        <w:tabs>
          <w:tab w:val="left" w:pos="2520"/>
        </w:tabs>
        <w:rPr>
          <w:rFonts w:ascii="Arial" w:hAnsi="Arial" w:cs="Arial"/>
          <w:color w:val="000000"/>
        </w:rPr>
      </w:pPr>
    </w:p>
    <w:p w14:paraId="3BB4BB05" w14:textId="5A5AF4FD" w:rsidR="00423156" w:rsidRPr="00CB5C79" w:rsidRDefault="00CB5C79" w:rsidP="00B55768">
      <w:pPr>
        <w:tabs>
          <w:tab w:val="left" w:pos="2520"/>
        </w:tabs>
        <w:rPr>
          <w:rFonts w:ascii="Lucida Handwriting" w:hAnsi="Lucida Handwriting" w:cs="Arial"/>
          <w:color w:val="000000"/>
        </w:rPr>
      </w:pPr>
      <w:r>
        <w:rPr>
          <w:rFonts w:ascii="Lucida Handwriting" w:hAnsi="Lucida Handwriting" w:cs="Arial"/>
          <w:color w:val="000000"/>
        </w:rPr>
        <w:t>Jane Coker</w:t>
      </w:r>
    </w:p>
    <w:p w14:paraId="3BB4BB06" w14:textId="62A1A8B3" w:rsidR="00B95326" w:rsidRPr="008578D0" w:rsidRDefault="004B27A8" w:rsidP="576901D2">
      <w:pPr>
        <w:tabs>
          <w:tab w:val="left" w:pos="2520"/>
        </w:tabs>
        <w:rPr>
          <w:rFonts w:ascii="Arial" w:eastAsia="Arial" w:hAnsi="Arial" w:cs="Arial"/>
          <w:color w:val="000000" w:themeColor="text1"/>
        </w:rPr>
      </w:pPr>
      <w:r>
        <w:rPr>
          <w:noProof/>
        </w:rPr>
        <w:drawing>
          <wp:anchor distT="0" distB="0" distL="114300" distR="114300" simplePos="0" relativeHeight="251659264" behindDoc="1" locked="0" layoutInCell="1" allowOverlap="1" wp14:anchorId="546458C9" wp14:editId="52322B7A">
            <wp:simplePos x="0" y="0"/>
            <wp:positionH relativeFrom="column">
              <wp:posOffset>1798320</wp:posOffset>
            </wp:positionH>
            <wp:positionV relativeFrom="paragraph">
              <wp:posOffset>342900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576901D2" w:rsidRPr="576901D2">
        <w:rPr>
          <w:rFonts w:ascii="Arial" w:eastAsia="Arial" w:hAnsi="Arial" w:cs="Arial"/>
          <w:color w:val="000000" w:themeColor="text1"/>
        </w:rPr>
        <w:t>Upper Tribunal Judge Coker</w:t>
      </w:r>
      <w:r>
        <w:rPr>
          <w:rFonts w:ascii="Arial" w:eastAsia="Arial" w:hAnsi="Arial" w:cs="Arial"/>
          <w:color w:val="000000" w:themeColor="text1"/>
        </w:rPr>
        <w:t xml:space="preserve">                                          Date: 25 August 2020</w:t>
      </w:r>
    </w:p>
    <w:sectPr w:rsidR="00B95326" w:rsidRPr="008578D0" w:rsidSect="00E2460B">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E9660" w14:textId="77777777" w:rsidR="003613CE" w:rsidRDefault="003613CE">
      <w:r>
        <w:separator/>
      </w:r>
    </w:p>
  </w:endnote>
  <w:endnote w:type="continuationSeparator" w:id="0">
    <w:p w14:paraId="3207FA93" w14:textId="77777777" w:rsidR="003613CE" w:rsidRDefault="0036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70B3A8D7" w:rsidR="001F6F7E" w:rsidRPr="00E2460B" w:rsidRDefault="001F6F7E" w:rsidP="00593795">
    <w:pPr>
      <w:pStyle w:val="Footer"/>
      <w:jc w:val="center"/>
      <w:rPr>
        <w:rFonts w:ascii="Arial" w:hAnsi="Arial" w:cs="Arial"/>
      </w:rPr>
    </w:pPr>
    <w:r w:rsidRPr="00E2460B">
      <w:rPr>
        <w:rStyle w:val="PageNumber"/>
        <w:rFonts w:ascii="Arial" w:hAnsi="Arial" w:cs="Arial"/>
      </w:rPr>
      <w:fldChar w:fldCharType="begin"/>
    </w:r>
    <w:r w:rsidRPr="00E2460B">
      <w:rPr>
        <w:rStyle w:val="PageNumber"/>
        <w:rFonts w:ascii="Arial" w:hAnsi="Arial" w:cs="Arial"/>
      </w:rPr>
      <w:instrText xml:space="preserve"> PAGE </w:instrText>
    </w:r>
    <w:r w:rsidRPr="00E2460B">
      <w:rPr>
        <w:rStyle w:val="PageNumber"/>
        <w:rFonts w:ascii="Arial" w:hAnsi="Arial" w:cs="Arial"/>
      </w:rPr>
      <w:fldChar w:fldCharType="separate"/>
    </w:r>
    <w:r w:rsidR="002420DD" w:rsidRPr="00E2460B">
      <w:rPr>
        <w:rStyle w:val="PageNumber"/>
        <w:rFonts w:ascii="Arial" w:hAnsi="Arial" w:cs="Arial"/>
        <w:noProof/>
      </w:rPr>
      <w:t>2</w:t>
    </w:r>
    <w:r w:rsidRPr="00E2460B">
      <w:rPr>
        <w:rStyle w:val="PageNumber"/>
        <w:rFonts w:ascii="Arial" w:hAnsi="Arial" w:cs="Arial"/>
      </w:rPr>
      <w:fldChar w:fldCharType="end"/>
    </w:r>
  </w:p>
  <w:p w14:paraId="646C4CDE" w14:textId="77777777" w:rsidR="00E2460B" w:rsidRDefault="00E246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11E8C003"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w:t>
    </w:r>
    <w:r w:rsidR="00675620">
      <w:rPr>
        <w:rFonts w:ascii="Arial" w:eastAsia="Arial" w:hAnsi="Arial" w:cs="Arial"/>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3049F" w14:textId="77777777" w:rsidR="003613CE" w:rsidRDefault="003613CE">
      <w:r>
        <w:separator/>
      </w:r>
    </w:p>
  </w:footnote>
  <w:footnote w:type="continuationSeparator" w:id="0">
    <w:p w14:paraId="28B2C9AD" w14:textId="77777777" w:rsidR="003613CE" w:rsidRDefault="003613CE">
      <w:r>
        <w:continuationSeparator/>
      </w:r>
    </w:p>
  </w:footnote>
  <w:footnote w:id="1">
    <w:p w14:paraId="35BD0125" w14:textId="558B9A46" w:rsidR="00DE21AB" w:rsidRPr="00E2460B" w:rsidRDefault="00DE21AB" w:rsidP="00E35DF4">
      <w:pPr>
        <w:pStyle w:val="paragraph"/>
        <w:ind w:left="360" w:firstLine="720"/>
        <w:textAlignment w:val="baseline"/>
        <w:rPr>
          <w:sz w:val="20"/>
          <w:szCs w:val="20"/>
        </w:rPr>
      </w:pPr>
      <w:r w:rsidRPr="00E2460B">
        <w:rPr>
          <w:rStyle w:val="FootnoteReference"/>
          <w:sz w:val="20"/>
          <w:szCs w:val="20"/>
        </w:rPr>
        <w:footnoteRef/>
      </w:r>
      <w:r w:rsidRPr="00E2460B">
        <w:rPr>
          <w:sz w:val="20"/>
          <w:szCs w:val="20"/>
        </w:rPr>
        <w:t xml:space="preserve"> </w:t>
      </w:r>
      <w:r w:rsidRPr="00E2460B">
        <w:rPr>
          <w:rStyle w:val="normaltextrun"/>
          <w:rFonts w:ascii="Calibri" w:hAnsi="Calibri" w:cs="Calibri"/>
          <w:sz w:val="20"/>
          <w:szCs w:val="20"/>
        </w:rPr>
        <w:t xml:space="preserve">(a)the </w:t>
      </w:r>
      <w:r w:rsidR="00492974" w:rsidRPr="00E2460B">
        <w:rPr>
          <w:rStyle w:val="normaltextrun"/>
          <w:rFonts w:ascii="Calibri" w:hAnsi="Calibri" w:cs="Calibri"/>
          <w:sz w:val="20"/>
          <w:szCs w:val="20"/>
        </w:rPr>
        <w:t xml:space="preserve">reasons for refusal of the appellant’s claim dated </w:t>
      </w:r>
      <w:r w:rsidR="00DB6A14" w:rsidRPr="00E2460B">
        <w:rPr>
          <w:rStyle w:val="normaltextrun"/>
          <w:rFonts w:ascii="Calibri" w:hAnsi="Calibri" w:cs="Calibri"/>
          <w:sz w:val="20"/>
          <w:szCs w:val="20"/>
        </w:rPr>
        <w:t>17</w:t>
      </w:r>
      <w:r w:rsidR="00DB6A14" w:rsidRPr="00E2460B">
        <w:rPr>
          <w:rStyle w:val="normaltextrun"/>
          <w:rFonts w:ascii="Calibri" w:hAnsi="Calibri" w:cs="Calibri"/>
          <w:sz w:val="20"/>
          <w:szCs w:val="20"/>
          <w:vertAlign w:val="superscript"/>
        </w:rPr>
        <w:t>th</w:t>
      </w:r>
      <w:r w:rsidR="00DB6A14" w:rsidRPr="00E2460B">
        <w:rPr>
          <w:rStyle w:val="normaltextrun"/>
          <w:rFonts w:ascii="Calibri" w:hAnsi="Calibri" w:cs="Calibri"/>
          <w:sz w:val="20"/>
          <w:szCs w:val="20"/>
        </w:rPr>
        <w:t xml:space="preserve"> June 2019</w:t>
      </w:r>
      <w:r w:rsidRPr="00E2460B">
        <w:rPr>
          <w:rStyle w:val="contextualspellingandgrammarerror"/>
          <w:rFonts w:ascii="Calibri" w:hAnsi="Calibri" w:cs="Calibri"/>
          <w:sz w:val="20"/>
          <w:szCs w:val="20"/>
        </w:rPr>
        <w:t>;</w:t>
      </w:r>
      <w:r w:rsidRPr="00E2460B">
        <w:rPr>
          <w:rStyle w:val="eop"/>
          <w:rFonts w:ascii="Calibri" w:hAnsi="Calibri" w:cs="Calibri"/>
          <w:sz w:val="20"/>
          <w:szCs w:val="20"/>
        </w:rPr>
        <w:t> </w:t>
      </w:r>
      <w:r w:rsidRPr="00E2460B">
        <w:rPr>
          <w:rStyle w:val="normaltextrun"/>
          <w:rFonts w:ascii="Calibri" w:hAnsi="Calibri" w:cs="Calibri"/>
          <w:sz w:val="20"/>
          <w:szCs w:val="20"/>
        </w:rPr>
        <w:t xml:space="preserve">(b) the </w:t>
      </w:r>
      <w:r w:rsidR="00DB6A14" w:rsidRPr="00E2460B">
        <w:rPr>
          <w:rStyle w:val="normaltextrun"/>
          <w:rFonts w:ascii="Calibri" w:hAnsi="Calibri" w:cs="Calibri"/>
          <w:sz w:val="20"/>
          <w:szCs w:val="20"/>
        </w:rPr>
        <w:t xml:space="preserve">grounds of appeal to the </w:t>
      </w:r>
      <w:proofErr w:type="spellStart"/>
      <w:r w:rsidR="00DB6A14" w:rsidRPr="00E2460B">
        <w:rPr>
          <w:rStyle w:val="normaltextrun"/>
          <w:rFonts w:ascii="Calibri" w:hAnsi="Calibri" w:cs="Calibri"/>
          <w:sz w:val="20"/>
          <w:szCs w:val="20"/>
        </w:rPr>
        <w:t>FtT</w:t>
      </w:r>
      <w:proofErr w:type="spellEnd"/>
      <w:r w:rsidR="00DB6A14" w:rsidRPr="00E2460B">
        <w:rPr>
          <w:rStyle w:val="normaltextrun"/>
          <w:rFonts w:ascii="Calibri" w:hAnsi="Calibri" w:cs="Calibri"/>
          <w:sz w:val="20"/>
          <w:szCs w:val="20"/>
        </w:rPr>
        <w:t xml:space="preserve"> </w:t>
      </w:r>
      <w:r w:rsidR="00BC2E90" w:rsidRPr="00E2460B">
        <w:rPr>
          <w:rStyle w:val="normaltextrun"/>
          <w:rFonts w:ascii="Calibri" w:hAnsi="Calibri" w:cs="Calibri"/>
          <w:sz w:val="20"/>
          <w:szCs w:val="20"/>
        </w:rPr>
        <w:t xml:space="preserve">with a discharge summary from hospital dated </w:t>
      </w:r>
      <w:r w:rsidR="00BD50F4" w:rsidRPr="00E2460B">
        <w:rPr>
          <w:rStyle w:val="normaltextrun"/>
          <w:rFonts w:ascii="Calibri" w:hAnsi="Calibri" w:cs="Calibri"/>
          <w:sz w:val="20"/>
          <w:szCs w:val="20"/>
        </w:rPr>
        <w:t>28</w:t>
      </w:r>
      <w:r w:rsidR="00BD50F4" w:rsidRPr="00E2460B">
        <w:rPr>
          <w:rStyle w:val="normaltextrun"/>
          <w:rFonts w:ascii="Calibri" w:hAnsi="Calibri" w:cs="Calibri"/>
          <w:sz w:val="20"/>
          <w:szCs w:val="20"/>
          <w:vertAlign w:val="superscript"/>
        </w:rPr>
        <w:t>th</w:t>
      </w:r>
      <w:r w:rsidR="00BD50F4" w:rsidRPr="00E2460B">
        <w:rPr>
          <w:rStyle w:val="normaltextrun"/>
          <w:rFonts w:ascii="Calibri" w:hAnsi="Calibri" w:cs="Calibri"/>
          <w:sz w:val="20"/>
          <w:szCs w:val="20"/>
        </w:rPr>
        <w:t xml:space="preserve"> April 2019and a letter dated 23</w:t>
      </w:r>
      <w:r w:rsidR="00BD50F4" w:rsidRPr="00E2460B">
        <w:rPr>
          <w:rStyle w:val="normaltextrun"/>
          <w:rFonts w:ascii="Calibri" w:hAnsi="Calibri" w:cs="Calibri"/>
          <w:sz w:val="20"/>
          <w:szCs w:val="20"/>
          <w:vertAlign w:val="superscript"/>
        </w:rPr>
        <w:t>rd</w:t>
      </w:r>
      <w:r w:rsidR="00BD50F4" w:rsidRPr="00E2460B">
        <w:rPr>
          <w:rStyle w:val="normaltextrun"/>
          <w:rFonts w:ascii="Calibri" w:hAnsi="Calibri" w:cs="Calibri"/>
          <w:sz w:val="20"/>
          <w:szCs w:val="20"/>
        </w:rPr>
        <w:t xml:space="preserve"> July from her sponsor</w:t>
      </w:r>
      <w:r w:rsidR="00E35DF4" w:rsidRPr="00E2460B">
        <w:rPr>
          <w:rStyle w:val="eop"/>
          <w:rFonts w:ascii="Calibri" w:hAnsi="Calibri" w:cs="Calibri"/>
          <w:sz w:val="20"/>
          <w:szCs w:val="20"/>
        </w:rPr>
        <w:t xml:space="preserve">; </w:t>
      </w:r>
      <w:r w:rsidRPr="00E2460B">
        <w:rPr>
          <w:rStyle w:val="normaltextrun"/>
          <w:rFonts w:ascii="Calibri" w:hAnsi="Calibri" w:cs="Calibri"/>
          <w:sz w:val="20"/>
          <w:szCs w:val="20"/>
        </w:rPr>
        <w:t xml:space="preserve">(c) the decision of </w:t>
      </w:r>
      <w:proofErr w:type="spellStart"/>
      <w:r w:rsidRPr="00E2460B">
        <w:rPr>
          <w:rStyle w:val="spellingerror"/>
          <w:rFonts w:ascii="Calibri" w:hAnsi="Calibri" w:cs="Calibri"/>
          <w:sz w:val="20"/>
          <w:szCs w:val="20"/>
        </w:rPr>
        <w:t>FtT</w:t>
      </w:r>
      <w:proofErr w:type="spellEnd"/>
      <w:r w:rsidRPr="00E2460B">
        <w:rPr>
          <w:rStyle w:val="normaltextrun"/>
          <w:rFonts w:ascii="Calibri" w:hAnsi="Calibri" w:cs="Calibri"/>
          <w:sz w:val="20"/>
          <w:szCs w:val="20"/>
        </w:rPr>
        <w:t xml:space="preserve"> judge </w:t>
      </w:r>
      <w:r w:rsidR="00602F0F" w:rsidRPr="00E2460B">
        <w:rPr>
          <w:rStyle w:val="normaltextrun"/>
          <w:rFonts w:ascii="Calibri" w:hAnsi="Calibri" w:cs="Calibri"/>
          <w:sz w:val="20"/>
          <w:szCs w:val="20"/>
        </w:rPr>
        <w:t>Carroll</w:t>
      </w:r>
      <w:r w:rsidRPr="00E2460B">
        <w:rPr>
          <w:rStyle w:val="contextualspellingandgrammarerror"/>
          <w:rFonts w:ascii="Calibri" w:hAnsi="Calibri" w:cs="Calibri"/>
          <w:sz w:val="20"/>
          <w:szCs w:val="20"/>
        </w:rPr>
        <w:t>;</w:t>
      </w:r>
      <w:r w:rsidRPr="00E2460B">
        <w:rPr>
          <w:rStyle w:val="eop"/>
          <w:rFonts w:ascii="Calibri" w:hAnsi="Calibri" w:cs="Calibri"/>
          <w:sz w:val="20"/>
          <w:szCs w:val="20"/>
        </w:rPr>
        <w:t> </w:t>
      </w:r>
      <w:r w:rsidRPr="00E2460B">
        <w:rPr>
          <w:rStyle w:val="normaltextrun"/>
          <w:rFonts w:ascii="Calibri" w:hAnsi="Calibri" w:cs="Calibri"/>
          <w:sz w:val="20"/>
          <w:szCs w:val="20"/>
        </w:rPr>
        <w:t xml:space="preserve">(d) The application for permission to appeal </w:t>
      </w:r>
      <w:r w:rsidR="00D0157F" w:rsidRPr="00E2460B">
        <w:rPr>
          <w:rStyle w:val="normaltextrun"/>
          <w:rFonts w:ascii="Calibri" w:hAnsi="Calibri" w:cs="Calibri"/>
          <w:sz w:val="20"/>
          <w:szCs w:val="20"/>
        </w:rPr>
        <w:t xml:space="preserve">to the </w:t>
      </w:r>
      <w:proofErr w:type="spellStart"/>
      <w:r w:rsidR="00D0157F" w:rsidRPr="00E2460B">
        <w:rPr>
          <w:rStyle w:val="normaltextrun"/>
          <w:rFonts w:ascii="Calibri" w:hAnsi="Calibri" w:cs="Calibri"/>
          <w:sz w:val="20"/>
          <w:szCs w:val="20"/>
        </w:rPr>
        <w:t>FtT</w:t>
      </w:r>
      <w:proofErr w:type="spellEnd"/>
      <w:r w:rsidRPr="00E2460B">
        <w:rPr>
          <w:rStyle w:val="normaltextrun"/>
          <w:rFonts w:ascii="Calibri" w:hAnsi="Calibri" w:cs="Calibri"/>
          <w:sz w:val="20"/>
          <w:szCs w:val="20"/>
        </w:rPr>
        <w:t>; and</w:t>
      </w:r>
      <w:r w:rsidRPr="00E2460B">
        <w:rPr>
          <w:rStyle w:val="eop"/>
          <w:rFonts w:ascii="Calibri" w:hAnsi="Calibri" w:cs="Calibri"/>
          <w:sz w:val="20"/>
          <w:szCs w:val="20"/>
        </w:rPr>
        <w:t> </w:t>
      </w:r>
      <w:r w:rsidRPr="00E2460B">
        <w:rPr>
          <w:rStyle w:val="normaltextrun"/>
          <w:rFonts w:ascii="Calibri" w:hAnsi="Calibri" w:cs="Calibri"/>
          <w:sz w:val="20"/>
          <w:szCs w:val="20"/>
        </w:rPr>
        <w:t>(e) the grant of permission to appeal.</w:t>
      </w:r>
      <w:r w:rsidRPr="00E2460B">
        <w:rPr>
          <w:rStyle w:val="eop"/>
          <w:rFonts w:ascii="Calibri" w:hAnsi="Calibri" w:cs="Calibri"/>
          <w:sz w:val="20"/>
          <w:szCs w:val="20"/>
        </w:rPr>
        <w:t> </w:t>
      </w:r>
    </w:p>
    <w:p w14:paraId="77D3798B" w14:textId="2EE1B7B8" w:rsidR="00DE21AB" w:rsidRDefault="00DE21AB">
      <w:pPr>
        <w:pStyle w:val="FootnoteText"/>
      </w:pP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534CBB31" w:rsidR="001F6F7E"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3C0ED5">
      <w:rPr>
        <w:rFonts w:ascii="Arial" w:eastAsia="Arial" w:hAnsi="Arial" w:cs="Arial"/>
        <w:sz w:val="16"/>
        <w:szCs w:val="16"/>
      </w:rPr>
      <w:t xml:space="preserve"> </w:t>
    </w:r>
    <w:r w:rsidR="001846A8">
      <w:rPr>
        <w:rFonts w:ascii="Arial" w:eastAsia="Arial" w:hAnsi="Arial" w:cs="Arial"/>
        <w:sz w:val="16"/>
        <w:szCs w:val="16"/>
      </w:rPr>
      <w:t>HU/11612/2019</w:t>
    </w:r>
    <w:r w:rsidRPr="576901D2">
      <w:rPr>
        <w:rFonts w:ascii="Arial" w:eastAsia="Arial" w:hAnsi="Arial" w:cs="Arial"/>
        <w:sz w:val="16"/>
        <w:szCs w:val="16"/>
      </w:rPr>
      <w:t xml:space="preserve"> </w:t>
    </w:r>
  </w:p>
  <w:p w14:paraId="41B6236A" w14:textId="77777777" w:rsidR="00E2460B" w:rsidRPr="003C5CE5" w:rsidRDefault="00E2460B" w:rsidP="576901D2">
    <w:pPr>
      <w:pStyle w:val="Header"/>
      <w:jc w:val="right"/>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283583"/>
    <w:multiLevelType w:val="multilevel"/>
    <w:tmpl w:val="4F2CA9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7C7A94"/>
    <w:multiLevelType w:val="multilevel"/>
    <w:tmpl w:val="8E7A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B7D98"/>
    <w:multiLevelType w:val="multilevel"/>
    <w:tmpl w:val="2D821F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0A60890"/>
    <w:multiLevelType w:val="multilevel"/>
    <w:tmpl w:val="437E9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56E0E35"/>
    <w:multiLevelType w:val="hybridMultilevel"/>
    <w:tmpl w:val="E5826B74"/>
    <w:lvl w:ilvl="0" w:tplc="38CAEC88">
      <w:start w:val="1"/>
      <w:numFmt w:val="bullet"/>
      <w:lvlText w:val=""/>
      <w:lvlJc w:val="left"/>
      <w:pPr>
        <w:ind w:left="1923" w:hanging="360"/>
      </w:pPr>
      <w:rPr>
        <w:rFonts w:ascii="Symbol" w:eastAsia="Arial" w:hAnsi="Symbol" w:cs="Arial" w:hint="default"/>
      </w:rPr>
    </w:lvl>
    <w:lvl w:ilvl="1" w:tplc="08090003" w:tentative="1">
      <w:start w:val="1"/>
      <w:numFmt w:val="bullet"/>
      <w:lvlText w:val="o"/>
      <w:lvlJc w:val="left"/>
      <w:pPr>
        <w:ind w:left="2643" w:hanging="360"/>
      </w:pPr>
      <w:rPr>
        <w:rFonts w:ascii="Courier New" w:hAnsi="Courier New" w:cs="Courier New" w:hint="default"/>
      </w:rPr>
    </w:lvl>
    <w:lvl w:ilvl="2" w:tplc="08090005" w:tentative="1">
      <w:start w:val="1"/>
      <w:numFmt w:val="bullet"/>
      <w:lvlText w:val=""/>
      <w:lvlJc w:val="left"/>
      <w:pPr>
        <w:ind w:left="3363" w:hanging="360"/>
      </w:pPr>
      <w:rPr>
        <w:rFonts w:ascii="Wingdings" w:hAnsi="Wingdings" w:hint="default"/>
      </w:rPr>
    </w:lvl>
    <w:lvl w:ilvl="3" w:tplc="08090001" w:tentative="1">
      <w:start w:val="1"/>
      <w:numFmt w:val="bullet"/>
      <w:lvlText w:val=""/>
      <w:lvlJc w:val="left"/>
      <w:pPr>
        <w:ind w:left="4083" w:hanging="360"/>
      </w:pPr>
      <w:rPr>
        <w:rFonts w:ascii="Symbol" w:hAnsi="Symbol" w:hint="default"/>
      </w:rPr>
    </w:lvl>
    <w:lvl w:ilvl="4" w:tplc="08090003" w:tentative="1">
      <w:start w:val="1"/>
      <w:numFmt w:val="bullet"/>
      <w:lvlText w:val="o"/>
      <w:lvlJc w:val="left"/>
      <w:pPr>
        <w:ind w:left="4803" w:hanging="360"/>
      </w:pPr>
      <w:rPr>
        <w:rFonts w:ascii="Courier New" w:hAnsi="Courier New" w:cs="Courier New" w:hint="default"/>
      </w:rPr>
    </w:lvl>
    <w:lvl w:ilvl="5" w:tplc="08090005" w:tentative="1">
      <w:start w:val="1"/>
      <w:numFmt w:val="bullet"/>
      <w:lvlText w:val=""/>
      <w:lvlJc w:val="left"/>
      <w:pPr>
        <w:ind w:left="5523" w:hanging="360"/>
      </w:pPr>
      <w:rPr>
        <w:rFonts w:ascii="Wingdings" w:hAnsi="Wingdings" w:hint="default"/>
      </w:rPr>
    </w:lvl>
    <w:lvl w:ilvl="6" w:tplc="08090001" w:tentative="1">
      <w:start w:val="1"/>
      <w:numFmt w:val="bullet"/>
      <w:lvlText w:val=""/>
      <w:lvlJc w:val="left"/>
      <w:pPr>
        <w:ind w:left="6243" w:hanging="360"/>
      </w:pPr>
      <w:rPr>
        <w:rFonts w:ascii="Symbol" w:hAnsi="Symbol" w:hint="default"/>
      </w:rPr>
    </w:lvl>
    <w:lvl w:ilvl="7" w:tplc="08090003" w:tentative="1">
      <w:start w:val="1"/>
      <w:numFmt w:val="bullet"/>
      <w:lvlText w:val="o"/>
      <w:lvlJc w:val="left"/>
      <w:pPr>
        <w:ind w:left="6963" w:hanging="360"/>
      </w:pPr>
      <w:rPr>
        <w:rFonts w:ascii="Courier New" w:hAnsi="Courier New" w:cs="Courier New" w:hint="default"/>
      </w:rPr>
    </w:lvl>
    <w:lvl w:ilvl="8" w:tplc="08090005" w:tentative="1">
      <w:start w:val="1"/>
      <w:numFmt w:val="bullet"/>
      <w:lvlText w:val=""/>
      <w:lvlJc w:val="left"/>
      <w:pPr>
        <w:ind w:left="7683" w:hanging="360"/>
      </w:pPr>
      <w:rPr>
        <w:rFonts w:ascii="Wingdings" w:hAnsi="Wingdings" w:hint="default"/>
      </w:rPr>
    </w:lvl>
  </w:abstractNum>
  <w:abstractNum w:abstractNumId="15"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7"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8"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4"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15:restartNumberingAfterBreak="0">
    <w:nsid w:val="518949D2"/>
    <w:multiLevelType w:val="multilevel"/>
    <w:tmpl w:val="8B98C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99F6B9B"/>
    <w:multiLevelType w:val="multilevel"/>
    <w:tmpl w:val="D236E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9" w15:restartNumberingAfterBreak="0">
    <w:nsid w:val="60530BE6"/>
    <w:multiLevelType w:val="multilevel"/>
    <w:tmpl w:val="52003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77E2C5B"/>
    <w:multiLevelType w:val="multilevel"/>
    <w:tmpl w:val="94C23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33"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81E593A"/>
    <w:multiLevelType w:val="hybridMultilevel"/>
    <w:tmpl w:val="CCDC9F84"/>
    <w:lvl w:ilvl="0" w:tplc="FFFFFFFF">
      <w:start w:val="1"/>
      <w:numFmt w:val="decimal"/>
      <w:lvlText w:val="%1."/>
      <w:lvlJc w:val="left"/>
      <w:pPr>
        <w:tabs>
          <w:tab w:val="num" w:pos="1563"/>
        </w:tabs>
        <w:ind w:left="1563"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35"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9"/>
  </w:num>
  <w:num w:numId="3">
    <w:abstractNumId w:val="2"/>
  </w:num>
  <w:num w:numId="4">
    <w:abstractNumId w:val="15"/>
  </w:num>
  <w:num w:numId="5">
    <w:abstractNumId w:val="28"/>
  </w:num>
  <w:num w:numId="6">
    <w:abstractNumId w:val="33"/>
  </w:num>
  <w:num w:numId="7">
    <w:abstractNumId w:val="30"/>
  </w:num>
  <w:num w:numId="8">
    <w:abstractNumId w:val="35"/>
  </w:num>
  <w:num w:numId="9">
    <w:abstractNumId w:val="13"/>
  </w:num>
  <w:num w:numId="10">
    <w:abstractNumId w:val="18"/>
  </w:num>
  <w:num w:numId="11">
    <w:abstractNumId w:val="1"/>
  </w:num>
  <w:num w:numId="12">
    <w:abstractNumId w:val="11"/>
  </w:num>
  <w:num w:numId="13">
    <w:abstractNumId w:val="0"/>
  </w:num>
  <w:num w:numId="14">
    <w:abstractNumId w:val="21"/>
  </w:num>
  <w:num w:numId="15">
    <w:abstractNumId w:val="23"/>
  </w:num>
  <w:num w:numId="16">
    <w:abstractNumId w:val="26"/>
  </w:num>
  <w:num w:numId="17">
    <w:abstractNumId w:val="22"/>
  </w:num>
  <w:num w:numId="18">
    <w:abstractNumId w:val="8"/>
  </w:num>
  <w:num w:numId="19">
    <w:abstractNumId w:val="17"/>
  </w:num>
  <w:num w:numId="20">
    <w:abstractNumId w:val="3"/>
  </w:num>
  <w:num w:numId="21">
    <w:abstractNumId w:val="32"/>
  </w:num>
  <w:num w:numId="22">
    <w:abstractNumId w:val="4"/>
  </w:num>
  <w:num w:numId="23">
    <w:abstractNumId w:val="16"/>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4"/>
  </w:num>
  <w:num w:numId="29">
    <w:abstractNumId w:val="9"/>
  </w:num>
  <w:num w:numId="30">
    <w:abstractNumId w:val="25"/>
  </w:num>
  <w:num w:numId="31">
    <w:abstractNumId w:val="12"/>
  </w:num>
  <w:num w:numId="32">
    <w:abstractNumId w:val="27"/>
  </w:num>
  <w:num w:numId="33">
    <w:abstractNumId w:val="31"/>
  </w:num>
  <w:num w:numId="34">
    <w:abstractNumId w:val="29"/>
  </w:num>
  <w:num w:numId="35">
    <w:abstractNumId w:val="10"/>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15FC4"/>
    <w:rsid w:val="00023FF2"/>
    <w:rsid w:val="00026617"/>
    <w:rsid w:val="00033D3D"/>
    <w:rsid w:val="000361DB"/>
    <w:rsid w:val="00036813"/>
    <w:rsid w:val="000450E6"/>
    <w:rsid w:val="00051C2D"/>
    <w:rsid w:val="00055759"/>
    <w:rsid w:val="00056135"/>
    <w:rsid w:val="00062F02"/>
    <w:rsid w:val="000637D5"/>
    <w:rsid w:val="000645AE"/>
    <w:rsid w:val="00071A7E"/>
    <w:rsid w:val="00073585"/>
    <w:rsid w:val="000746C0"/>
    <w:rsid w:val="00074875"/>
    <w:rsid w:val="00074D1D"/>
    <w:rsid w:val="00077501"/>
    <w:rsid w:val="00082D15"/>
    <w:rsid w:val="00087276"/>
    <w:rsid w:val="00090CF9"/>
    <w:rsid w:val="00091294"/>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02EAC"/>
    <w:rsid w:val="0011348F"/>
    <w:rsid w:val="001165A7"/>
    <w:rsid w:val="00126036"/>
    <w:rsid w:val="00152C19"/>
    <w:rsid w:val="0016353C"/>
    <w:rsid w:val="00165516"/>
    <w:rsid w:val="00167D3A"/>
    <w:rsid w:val="00171775"/>
    <w:rsid w:val="00172D1A"/>
    <w:rsid w:val="00173551"/>
    <w:rsid w:val="001743E9"/>
    <w:rsid w:val="001766F6"/>
    <w:rsid w:val="00181749"/>
    <w:rsid w:val="00182CC2"/>
    <w:rsid w:val="001846A8"/>
    <w:rsid w:val="00184894"/>
    <w:rsid w:val="00186868"/>
    <w:rsid w:val="00190848"/>
    <w:rsid w:val="00190E7A"/>
    <w:rsid w:val="001A3082"/>
    <w:rsid w:val="001B186A"/>
    <w:rsid w:val="001B2F75"/>
    <w:rsid w:val="001C22CB"/>
    <w:rsid w:val="001C715E"/>
    <w:rsid w:val="001D14B9"/>
    <w:rsid w:val="001D3CBB"/>
    <w:rsid w:val="001D3F64"/>
    <w:rsid w:val="001E0E74"/>
    <w:rsid w:val="001F2716"/>
    <w:rsid w:val="001F4A9C"/>
    <w:rsid w:val="001F6E78"/>
    <w:rsid w:val="001F6F7E"/>
    <w:rsid w:val="00206D4B"/>
    <w:rsid w:val="00207617"/>
    <w:rsid w:val="0021104D"/>
    <w:rsid w:val="00212C9C"/>
    <w:rsid w:val="0023134B"/>
    <w:rsid w:val="00232618"/>
    <w:rsid w:val="00232E7A"/>
    <w:rsid w:val="0023348F"/>
    <w:rsid w:val="00233CF5"/>
    <w:rsid w:val="002420DD"/>
    <w:rsid w:val="00242BC1"/>
    <w:rsid w:val="00247922"/>
    <w:rsid w:val="00267DEE"/>
    <w:rsid w:val="0027048E"/>
    <w:rsid w:val="00270844"/>
    <w:rsid w:val="00270E13"/>
    <w:rsid w:val="00271186"/>
    <w:rsid w:val="00273160"/>
    <w:rsid w:val="002774EE"/>
    <w:rsid w:val="002814F4"/>
    <w:rsid w:val="00283659"/>
    <w:rsid w:val="00290C6F"/>
    <w:rsid w:val="002969F5"/>
    <w:rsid w:val="00296D48"/>
    <w:rsid w:val="002A224B"/>
    <w:rsid w:val="002A67C1"/>
    <w:rsid w:val="002B6EE0"/>
    <w:rsid w:val="002C6BD4"/>
    <w:rsid w:val="002D3F52"/>
    <w:rsid w:val="002D68BF"/>
    <w:rsid w:val="002D6D9A"/>
    <w:rsid w:val="002E151A"/>
    <w:rsid w:val="002E27BC"/>
    <w:rsid w:val="002E4AFF"/>
    <w:rsid w:val="002E575D"/>
    <w:rsid w:val="002F0793"/>
    <w:rsid w:val="002F12D1"/>
    <w:rsid w:val="002F2F63"/>
    <w:rsid w:val="002F5398"/>
    <w:rsid w:val="002F6B98"/>
    <w:rsid w:val="003161B0"/>
    <w:rsid w:val="00320D88"/>
    <w:rsid w:val="00322A5E"/>
    <w:rsid w:val="00336CBF"/>
    <w:rsid w:val="00337CE6"/>
    <w:rsid w:val="00342F01"/>
    <w:rsid w:val="00343FE3"/>
    <w:rsid w:val="003509D4"/>
    <w:rsid w:val="0035312E"/>
    <w:rsid w:val="003546C8"/>
    <w:rsid w:val="00354DD7"/>
    <w:rsid w:val="00355D64"/>
    <w:rsid w:val="003613CE"/>
    <w:rsid w:val="003645CD"/>
    <w:rsid w:val="00365573"/>
    <w:rsid w:val="00370B95"/>
    <w:rsid w:val="00373539"/>
    <w:rsid w:val="00381CAE"/>
    <w:rsid w:val="00386793"/>
    <w:rsid w:val="00394820"/>
    <w:rsid w:val="003A3EB7"/>
    <w:rsid w:val="003A7CF2"/>
    <w:rsid w:val="003C0E80"/>
    <w:rsid w:val="003C0ED5"/>
    <w:rsid w:val="003C5434"/>
    <w:rsid w:val="003C5CE5"/>
    <w:rsid w:val="003C5D94"/>
    <w:rsid w:val="003D10E1"/>
    <w:rsid w:val="003E1F16"/>
    <w:rsid w:val="003E260A"/>
    <w:rsid w:val="003E267B"/>
    <w:rsid w:val="003E49B7"/>
    <w:rsid w:val="003E7CD1"/>
    <w:rsid w:val="004024BC"/>
    <w:rsid w:val="0040281D"/>
    <w:rsid w:val="00402B9E"/>
    <w:rsid w:val="00406F0F"/>
    <w:rsid w:val="004106DE"/>
    <w:rsid w:val="004129AF"/>
    <w:rsid w:val="00415F05"/>
    <w:rsid w:val="00420DA0"/>
    <w:rsid w:val="00422F82"/>
    <w:rsid w:val="00423156"/>
    <w:rsid w:val="004249CB"/>
    <w:rsid w:val="0043425E"/>
    <w:rsid w:val="0044127D"/>
    <w:rsid w:val="004448DB"/>
    <w:rsid w:val="00446C9A"/>
    <w:rsid w:val="00452EA8"/>
    <w:rsid w:val="00452F2B"/>
    <w:rsid w:val="004751B6"/>
    <w:rsid w:val="00477193"/>
    <w:rsid w:val="00481DED"/>
    <w:rsid w:val="0048742E"/>
    <w:rsid w:val="00492974"/>
    <w:rsid w:val="004A0BEA"/>
    <w:rsid w:val="004A1848"/>
    <w:rsid w:val="004A6F4A"/>
    <w:rsid w:val="004B1D2E"/>
    <w:rsid w:val="004B27A8"/>
    <w:rsid w:val="004B6785"/>
    <w:rsid w:val="004B6C16"/>
    <w:rsid w:val="004C73AD"/>
    <w:rsid w:val="004C773C"/>
    <w:rsid w:val="004D2C44"/>
    <w:rsid w:val="004D32F6"/>
    <w:rsid w:val="004E416B"/>
    <w:rsid w:val="004E4717"/>
    <w:rsid w:val="004F77C5"/>
    <w:rsid w:val="005035E7"/>
    <w:rsid w:val="005044FC"/>
    <w:rsid w:val="00507FEC"/>
    <w:rsid w:val="00510F0E"/>
    <w:rsid w:val="005176C7"/>
    <w:rsid w:val="00520588"/>
    <w:rsid w:val="00530192"/>
    <w:rsid w:val="00541666"/>
    <w:rsid w:val="005479E1"/>
    <w:rsid w:val="00550CF9"/>
    <w:rsid w:val="0055283B"/>
    <w:rsid w:val="00553E0A"/>
    <w:rsid w:val="005570FD"/>
    <w:rsid w:val="005575EA"/>
    <w:rsid w:val="00562348"/>
    <w:rsid w:val="00562FA2"/>
    <w:rsid w:val="005656DF"/>
    <w:rsid w:val="00570EF1"/>
    <w:rsid w:val="005728F5"/>
    <w:rsid w:val="0057323B"/>
    <w:rsid w:val="005750C2"/>
    <w:rsid w:val="0057790C"/>
    <w:rsid w:val="00591715"/>
    <w:rsid w:val="00593795"/>
    <w:rsid w:val="00593821"/>
    <w:rsid w:val="005965E5"/>
    <w:rsid w:val="005966DA"/>
    <w:rsid w:val="005A0343"/>
    <w:rsid w:val="005A16C1"/>
    <w:rsid w:val="005A549B"/>
    <w:rsid w:val="005A75FF"/>
    <w:rsid w:val="005B0A90"/>
    <w:rsid w:val="005C6115"/>
    <w:rsid w:val="005D10AB"/>
    <w:rsid w:val="005E52F3"/>
    <w:rsid w:val="005F0ED1"/>
    <w:rsid w:val="005F34B8"/>
    <w:rsid w:val="005F484F"/>
    <w:rsid w:val="0060112E"/>
    <w:rsid w:val="00601D8F"/>
    <w:rsid w:val="0060237D"/>
    <w:rsid w:val="00602F0F"/>
    <w:rsid w:val="006061F8"/>
    <w:rsid w:val="00611276"/>
    <w:rsid w:val="006231D8"/>
    <w:rsid w:val="00624F1A"/>
    <w:rsid w:val="00625774"/>
    <w:rsid w:val="0062579D"/>
    <w:rsid w:val="00630C34"/>
    <w:rsid w:val="00633D25"/>
    <w:rsid w:val="00641165"/>
    <w:rsid w:val="00642563"/>
    <w:rsid w:val="00645E92"/>
    <w:rsid w:val="00652CDC"/>
    <w:rsid w:val="00653E97"/>
    <w:rsid w:val="006664A5"/>
    <w:rsid w:val="00673E8F"/>
    <w:rsid w:val="00675620"/>
    <w:rsid w:val="00680319"/>
    <w:rsid w:val="00683EEF"/>
    <w:rsid w:val="00684A74"/>
    <w:rsid w:val="00686966"/>
    <w:rsid w:val="00690B8A"/>
    <w:rsid w:val="006A345A"/>
    <w:rsid w:val="006A405B"/>
    <w:rsid w:val="006B0197"/>
    <w:rsid w:val="006B11BD"/>
    <w:rsid w:val="006B1AB5"/>
    <w:rsid w:val="006B57D6"/>
    <w:rsid w:val="006C1A08"/>
    <w:rsid w:val="006C673B"/>
    <w:rsid w:val="006D333C"/>
    <w:rsid w:val="006E08A1"/>
    <w:rsid w:val="006E46D9"/>
    <w:rsid w:val="006F1F65"/>
    <w:rsid w:val="006F2CF1"/>
    <w:rsid w:val="006F43A2"/>
    <w:rsid w:val="006F668F"/>
    <w:rsid w:val="007038ED"/>
    <w:rsid w:val="00703BC3"/>
    <w:rsid w:val="00704B61"/>
    <w:rsid w:val="00705122"/>
    <w:rsid w:val="00714348"/>
    <w:rsid w:val="00717C98"/>
    <w:rsid w:val="0072121B"/>
    <w:rsid w:val="00721E7A"/>
    <w:rsid w:val="00723292"/>
    <w:rsid w:val="007243EE"/>
    <w:rsid w:val="00726C8E"/>
    <w:rsid w:val="007334B3"/>
    <w:rsid w:val="00734672"/>
    <w:rsid w:val="00741899"/>
    <w:rsid w:val="00742275"/>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1D5F"/>
    <w:rsid w:val="007B5D3C"/>
    <w:rsid w:val="007B7552"/>
    <w:rsid w:val="007D6EAB"/>
    <w:rsid w:val="007E37AC"/>
    <w:rsid w:val="007F665C"/>
    <w:rsid w:val="00800360"/>
    <w:rsid w:val="008051AE"/>
    <w:rsid w:val="00813C29"/>
    <w:rsid w:val="00815082"/>
    <w:rsid w:val="00821B72"/>
    <w:rsid w:val="008226DD"/>
    <w:rsid w:val="00823EF2"/>
    <w:rsid w:val="00825109"/>
    <w:rsid w:val="008303B8"/>
    <w:rsid w:val="00833DCE"/>
    <w:rsid w:val="0083580A"/>
    <w:rsid w:val="00844156"/>
    <w:rsid w:val="00846BE3"/>
    <w:rsid w:val="00846D61"/>
    <w:rsid w:val="0085282C"/>
    <w:rsid w:val="00852DCE"/>
    <w:rsid w:val="00852F5A"/>
    <w:rsid w:val="008568CF"/>
    <w:rsid w:val="008578D0"/>
    <w:rsid w:val="00861DFF"/>
    <w:rsid w:val="00865045"/>
    <w:rsid w:val="00870267"/>
    <w:rsid w:val="00871D34"/>
    <w:rsid w:val="00874C7E"/>
    <w:rsid w:val="0087787B"/>
    <w:rsid w:val="008825F7"/>
    <w:rsid w:val="00894951"/>
    <w:rsid w:val="00895F9E"/>
    <w:rsid w:val="008A37E3"/>
    <w:rsid w:val="008B270C"/>
    <w:rsid w:val="008B5078"/>
    <w:rsid w:val="008C3D3D"/>
    <w:rsid w:val="008C65C5"/>
    <w:rsid w:val="008C71A2"/>
    <w:rsid w:val="008D382E"/>
    <w:rsid w:val="008D4131"/>
    <w:rsid w:val="008D5DAE"/>
    <w:rsid w:val="008F1932"/>
    <w:rsid w:val="008F1E92"/>
    <w:rsid w:val="00903C06"/>
    <w:rsid w:val="00910528"/>
    <w:rsid w:val="009162E8"/>
    <w:rsid w:val="009164EF"/>
    <w:rsid w:val="00921062"/>
    <w:rsid w:val="00924E18"/>
    <w:rsid w:val="00925AB2"/>
    <w:rsid w:val="00940D2D"/>
    <w:rsid w:val="00955875"/>
    <w:rsid w:val="009722BC"/>
    <w:rsid w:val="0097235D"/>
    <w:rsid w:val="009727A3"/>
    <w:rsid w:val="0097577A"/>
    <w:rsid w:val="00977E5A"/>
    <w:rsid w:val="009873DD"/>
    <w:rsid w:val="00987774"/>
    <w:rsid w:val="00990CF3"/>
    <w:rsid w:val="00992C74"/>
    <w:rsid w:val="009A0F09"/>
    <w:rsid w:val="009A11E8"/>
    <w:rsid w:val="009A2B75"/>
    <w:rsid w:val="009A4AB7"/>
    <w:rsid w:val="009C2408"/>
    <w:rsid w:val="009C40B8"/>
    <w:rsid w:val="009C6BF4"/>
    <w:rsid w:val="009C6CC6"/>
    <w:rsid w:val="009D055C"/>
    <w:rsid w:val="009F5220"/>
    <w:rsid w:val="009F526C"/>
    <w:rsid w:val="009F637C"/>
    <w:rsid w:val="00A13E37"/>
    <w:rsid w:val="00A15234"/>
    <w:rsid w:val="00A201AB"/>
    <w:rsid w:val="00A27297"/>
    <w:rsid w:val="00A31C8B"/>
    <w:rsid w:val="00A343D8"/>
    <w:rsid w:val="00A35CFC"/>
    <w:rsid w:val="00A37876"/>
    <w:rsid w:val="00A509FA"/>
    <w:rsid w:val="00A5238A"/>
    <w:rsid w:val="00A5334F"/>
    <w:rsid w:val="00A719B9"/>
    <w:rsid w:val="00A845DC"/>
    <w:rsid w:val="00A905CD"/>
    <w:rsid w:val="00A91607"/>
    <w:rsid w:val="00A91E1E"/>
    <w:rsid w:val="00AA7A2D"/>
    <w:rsid w:val="00AB0287"/>
    <w:rsid w:val="00AB15C9"/>
    <w:rsid w:val="00AB6C32"/>
    <w:rsid w:val="00AC43BC"/>
    <w:rsid w:val="00AC664C"/>
    <w:rsid w:val="00AC6A9F"/>
    <w:rsid w:val="00AD27F4"/>
    <w:rsid w:val="00AD3A80"/>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3DA"/>
    <w:rsid w:val="00B46616"/>
    <w:rsid w:val="00B55768"/>
    <w:rsid w:val="00B564F9"/>
    <w:rsid w:val="00B574ED"/>
    <w:rsid w:val="00B5773A"/>
    <w:rsid w:val="00B64A78"/>
    <w:rsid w:val="00B668D8"/>
    <w:rsid w:val="00B7040A"/>
    <w:rsid w:val="00B71BF5"/>
    <w:rsid w:val="00B83391"/>
    <w:rsid w:val="00B866FB"/>
    <w:rsid w:val="00B9038B"/>
    <w:rsid w:val="00B914CB"/>
    <w:rsid w:val="00B94048"/>
    <w:rsid w:val="00B95326"/>
    <w:rsid w:val="00BA6475"/>
    <w:rsid w:val="00BA7391"/>
    <w:rsid w:val="00BB0BED"/>
    <w:rsid w:val="00BB39BE"/>
    <w:rsid w:val="00BC2E90"/>
    <w:rsid w:val="00BC3E53"/>
    <w:rsid w:val="00BC7D66"/>
    <w:rsid w:val="00BD06DD"/>
    <w:rsid w:val="00BD2A79"/>
    <w:rsid w:val="00BD4196"/>
    <w:rsid w:val="00BD50F4"/>
    <w:rsid w:val="00BF1A11"/>
    <w:rsid w:val="00BF22CA"/>
    <w:rsid w:val="00BF23BB"/>
    <w:rsid w:val="00BF7921"/>
    <w:rsid w:val="00C0003A"/>
    <w:rsid w:val="00C04B13"/>
    <w:rsid w:val="00C12F97"/>
    <w:rsid w:val="00C16403"/>
    <w:rsid w:val="00C2167B"/>
    <w:rsid w:val="00C22D9F"/>
    <w:rsid w:val="00C26032"/>
    <w:rsid w:val="00C345E1"/>
    <w:rsid w:val="00C43BFD"/>
    <w:rsid w:val="00C46F62"/>
    <w:rsid w:val="00C53222"/>
    <w:rsid w:val="00C56DC9"/>
    <w:rsid w:val="00C640A8"/>
    <w:rsid w:val="00C64A47"/>
    <w:rsid w:val="00C75DE0"/>
    <w:rsid w:val="00C7704B"/>
    <w:rsid w:val="00C81167"/>
    <w:rsid w:val="00C865C1"/>
    <w:rsid w:val="00C951B1"/>
    <w:rsid w:val="00C95BBD"/>
    <w:rsid w:val="00CA107F"/>
    <w:rsid w:val="00CA10A1"/>
    <w:rsid w:val="00CA5CE4"/>
    <w:rsid w:val="00CB5C79"/>
    <w:rsid w:val="00CB6E35"/>
    <w:rsid w:val="00CC3A26"/>
    <w:rsid w:val="00CC6AB3"/>
    <w:rsid w:val="00CE1A46"/>
    <w:rsid w:val="00CE465E"/>
    <w:rsid w:val="00CE4BF4"/>
    <w:rsid w:val="00CF14D4"/>
    <w:rsid w:val="00D0157F"/>
    <w:rsid w:val="00D02120"/>
    <w:rsid w:val="00D054BD"/>
    <w:rsid w:val="00D105F2"/>
    <w:rsid w:val="00D20757"/>
    <w:rsid w:val="00D20AA6"/>
    <w:rsid w:val="00D21B5D"/>
    <w:rsid w:val="00D22636"/>
    <w:rsid w:val="00D26277"/>
    <w:rsid w:val="00D273A7"/>
    <w:rsid w:val="00D30D0D"/>
    <w:rsid w:val="00D31443"/>
    <w:rsid w:val="00D3621D"/>
    <w:rsid w:val="00D40FD9"/>
    <w:rsid w:val="00D463AA"/>
    <w:rsid w:val="00D46C41"/>
    <w:rsid w:val="00D472E1"/>
    <w:rsid w:val="00D53769"/>
    <w:rsid w:val="00D6233C"/>
    <w:rsid w:val="00D70B67"/>
    <w:rsid w:val="00D77B00"/>
    <w:rsid w:val="00D8561E"/>
    <w:rsid w:val="00D85C13"/>
    <w:rsid w:val="00D86F3A"/>
    <w:rsid w:val="00D9111A"/>
    <w:rsid w:val="00D91BE3"/>
    <w:rsid w:val="00D9326A"/>
    <w:rsid w:val="00D94AFC"/>
    <w:rsid w:val="00DA4AEA"/>
    <w:rsid w:val="00DA4D91"/>
    <w:rsid w:val="00DB6A14"/>
    <w:rsid w:val="00DB70AE"/>
    <w:rsid w:val="00DC6C25"/>
    <w:rsid w:val="00DD19E4"/>
    <w:rsid w:val="00DD5071"/>
    <w:rsid w:val="00DD5ADB"/>
    <w:rsid w:val="00DD5BCC"/>
    <w:rsid w:val="00DD5C39"/>
    <w:rsid w:val="00DD7829"/>
    <w:rsid w:val="00DE21AB"/>
    <w:rsid w:val="00DE22CC"/>
    <w:rsid w:val="00DE6C66"/>
    <w:rsid w:val="00DE733D"/>
    <w:rsid w:val="00DE7DB7"/>
    <w:rsid w:val="00E00A0A"/>
    <w:rsid w:val="00E066DE"/>
    <w:rsid w:val="00E07F57"/>
    <w:rsid w:val="00E13F63"/>
    <w:rsid w:val="00E13FE0"/>
    <w:rsid w:val="00E164B1"/>
    <w:rsid w:val="00E2460B"/>
    <w:rsid w:val="00E30683"/>
    <w:rsid w:val="00E35DF4"/>
    <w:rsid w:val="00E44702"/>
    <w:rsid w:val="00E453D8"/>
    <w:rsid w:val="00E50BCE"/>
    <w:rsid w:val="00E574BF"/>
    <w:rsid w:val="00E61292"/>
    <w:rsid w:val="00E77C4D"/>
    <w:rsid w:val="00E80AD9"/>
    <w:rsid w:val="00E81D01"/>
    <w:rsid w:val="00E83C14"/>
    <w:rsid w:val="00E91A62"/>
    <w:rsid w:val="00E92383"/>
    <w:rsid w:val="00EA1766"/>
    <w:rsid w:val="00EB2144"/>
    <w:rsid w:val="00EB362B"/>
    <w:rsid w:val="00EB45D2"/>
    <w:rsid w:val="00EB77EC"/>
    <w:rsid w:val="00EC1BA4"/>
    <w:rsid w:val="00ED036F"/>
    <w:rsid w:val="00ED6D23"/>
    <w:rsid w:val="00EE1FA1"/>
    <w:rsid w:val="00EE389B"/>
    <w:rsid w:val="00EE45D8"/>
    <w:rsid w:val="00EE65AB"/>
    <w:rsid w:val="00EF0787"/>
    <w:rsid w:val="00EF49C7"/>
    <w:rsid w:val="00EF5E91"/>
    <w:rsid w:val="00F052AB"/>
    <w:rsid w:val="00F10DE1"/>
    <w:rsid w:val="00F12BB0"/>
    <w:rsid w:val="00F22AA0"/>
    <w:rsid w:val="00F22EDA"/>
    <w:rsid w:val="00F313E3"/>
    <w:rsid w:val="00F47E11"/>
    <w:rsid w:val="00F52CE2"/>
    <w:rsid w:val="00F563B2"/>
    <w:rsid w:val="00F71D8B"/>
    <w:rsid w:val="00F734A7"/>
    <w:rsid w:val="00F829C0"/>
    <w:rsid w:val="00F85051"/>
    <w:rsid w:val="00F86938"/>
    <w:rsid w:val="00F902FD"/>
    <w:rsid w:val="00F97703"/>
    <w:rsid w:val="00F97D7A"/>
    <w:rsid w:val="00FA0071"/>
    <w:rsid w:val="00FA1841"/>
    <w:rsid w:val="00FA77E1"/>
    <w:rsid w:val="00FA7A30"/>
    <w:rsid w:val="00FB604A"/>
    <w:rsid w:val="00FC20F8"/>
    <w:rsid w:val="00FD50E5"/>
    <w:rsid w:val="00FE06E1"/>
    <w:rsid w:val="00FE7726"/>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 w:type="paragraph" w:styleId="NormalWeb">
    <w:name w:val="Normal (Web)"/>
    <w:basedOn w:val="Normal"/>
    <w:uiPriority w:val="99"/>
    <w:unhideWhenUsed/>
    <w:rsid w:val="0083580A"/>
    <w:pPr>
      <w:spacing w:before="100" w:beforeAutospacing="1" w:after="100" w:afterAutospacing="1"/>
    </w:pPr>
    <w:rPr>
      <w:rFonts w:eastAsiaTheme="minorEastAsia"/>
      <w:lang w:eastAsia="en-US"/>
    </w:rPr>
  </w:style>
  <w:style w:type="paragraph" w:customStyle="1" w:styleId="paragraph">
    <w:name w:val="paragraph"/>
    <w:basedOn w:val="Normal"/>
    <w:rsid w:val="00DE21AB"/>
    <w:pPr>
      <w:spacing w:before="100" w:beforeAutospacing="1" w:after="100" w:afterAutospacing="1"/>
    </w:pPr>
  </w:style>
  <w:style w:type="character" w:customStyle="1" w:styleId="normaltextrun">
    <w:name w:val="normaltextrun"/>
    <w:basedOn w:val="DefaultParagraphFont"/>
    <w:rsid w:val="00DE21AB"/>
  </w:style>
  <w:style w:type="character" w:customStyle="1" w:styleId="contextualspellingandgrammarerror">
    <w:name w:val="contextualspellingandgrammarerror"/>
    <w:basedOn w:val="DefaultParagraphFont"/>
    <w:rsid w:val="00DE21AB"/>
  </w:style>
  <w:style w:type="character" w:customStyle="1" w:styleId="eop">
    <w:name w:val="eop"/>
    <w:basedOn w:val="DefaultParagraphFont"/>
    <w:rsid w:val="00DE21AB"/>
  </w:style>
  <w:style w:type="character" w:customStyle="1" w:styleId="spellingerror">
    <w:name w:val="spellingerror"/>
    <w:basedOn w:val="DefaultParagraphFont"/>
    <w:rsid w:val="00DE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953753336">
      <w:bodyDiv w:val="1"/>
      <w:marLeft w:val="0"/>
      <w:marRight w:val="0"/>
      <w:marTop w:val="0"/>
      <w:marBottom w:val="0"/>
      <w:divBdr>
        <w:top w:val="none" w:sz="0" w:space="0" w:color="auto"/>
        <w:left w:val="none" w:sz="0" w:space="0" w:color="auto"/>
        <w:bottom w:val="none" w:sz="0" w:space="0" w:color="auto"/>
        <w:right w:val="none" w:sz="0" w:space="0" w:color="auto"/>
      </w:divBdr>
      <w:divsChild>
        <w:div w:id="1253930719">
          <w:marLeft w:val="0"/>
          <w:marRight w:val="0"/>
          <w:marTop w:val="0"/>
          <w:marBottom w:val="0"/>
          <w:divBdr>
            <w:top w:val="none" w:sz="0" w:space="0" w:color="auto"/>
            <w:left w:val="none" w:sz="0" w:space="0" w:color="auto"/>
            <w:bottom w:val="none" w:sz="0" w:space="0" w:color="auto"/>
            <w:right w:val="none" w:sz="0" w:space="0" w:color="auto"/>
          </w:divBdr>
        </w:div>
        <w:div w:id="1645230966">
          <w:marLeft w:val="0"/>
          <w:marRight w:val="0"/>
          <w:marTop w:val="0"/>
          <w:marBottom w:val="0"/>
          <w:divBdr>
            <w:top w:val="none" w:sz="0" w:space="0" w:color="auto"/>
            <w:left w:val="none" w:sz="0" w:space="0" w:color="auto"/>
            <w:bottom w:val="none" w:sz="0" w:space="0" w:color="auto"/>
            <w:right w:val="none" w:sz="0" w:space="0" w:color="auto"/>
          </w:divBdr>
        </w:div>
        <w:div w:id="781725969">
          <w:marLeft w:val="0"/>
          <w:marRight w:val="0"/>
          <w:marTop w:val="0"/>
          <w:marBottom w:val="0"/>
          <w:divBdr>
            <w:top w:val="none" w:sz="0" w:space="0" w:color="auto"/>
            <w:left w:val="none" w:sz="0" w:space="0" w:color="auto"/>
            <w:bottom w:val="none" w:sz="0" w:space="0" w:color="auto"/>
            <w:right w:val="none" w:sz="0" w:space="0" w:color="auto"/>
          </w:divBdr>
        </w:div>
        <w:div w:id="1903448549">
          <w:marLeft w:val="0"/>
          <w:marRight w:val="0"/>
          <w:marTop w:val="0"/>
          <w:marBottom w:val="0"/>
          <w:divBdr>
            <w:top w:val="none" w:sz="0" w:space="0" w:color="auto"/>
            <w:left w:val="none" w:sz="0" w:space="0" w:color="auto"/>
            <w:bottom w:val="none" w:sz="0" w:space="0" w:color="auto"/>
            <w:right w:val="none" w:sz="0" w:space="0" w:color="auto"/>
          </w:divBdr>
        </w:div>
        <w:div w:id="1637834807">
          <w:marLeft w:val="0"/>
          <w:marRight w:val="0"/>
          <w:marTop w:val="0"/>
          <w:marBottom w:val="0"/>
          <w:divBdr>
            <w:top w:val="none" w:sz="0" w:space="0" w:color="auto"/>
            <w:left w:val="none" w:sz="0" w:space="0" w:color="auto"/>
            <w:bottom w:val="none" w:sz="0" w:space="0" w:color="auto"/>
            <w:right w:val="none" w:sz="0" w:space="0" w:color="auto"/>
          </w:divBdr>
        </w:div>
      </w:divsChild>
    </w:div>
    <w:div w:id="1370640123">
      <w:bodyDiv w:val="1"/>
      <w:marLeft w:val="0"/>
      <w:marRight w:val="0"/>
      <w:marTop w:val="0"/>
      <w:marBottom w:val="0"/>
      <w:divBdr>
        <w:top w:val="none" w:sz="0" w:space="0" w:color="auto"/>
        <w:left w:val="none" w:sz="0" w:space="0" w:color="auto"/>
        <w:bottom w:val="none" w:sz="0" w:space="0" w:color="auto"/>
        <w:right w:val="none" w:sz="0" w:space="0" w:color="auto"/>
      </w:divBdr>
      <w:divsChild>
        <w:div w:id="1768504186">
          <w:marLeft w:val="0"/>
          <w:marRight w:val="0"/>
          <w:marTop w:val="0"/>
          <w:marBottom w:val="0"/>
          <w:divBdr>
            <w:top w:val="none" w:sz="0" w:space="0" w:color="auto"/>
            <w:left w:val="none" w:sz="0" w:space="0" w:color="auto"/>
            <w:bottom w:val="none" w:sz="0" w:space="0" w:color="auto"/>
            <w:right w:val="none" w:sz="0" w:space="0" w:color="auto"/>
          </w:divBdr>
          <w:divsChild>
            <w:div w:id="428503624">
              <w:marLeft w:val="0"/>
              <w:marRight w:val="0"/>
              <w:marTop w:val="0"/>
              <w:marBottom w:val="0"/>
              <w:divBdr>
                <w:top w:val="none" w:sz="0" w:space="0" w:color="auto"/>
                <w:left w:val="none" w:sz="0" w:space="0" w:color="auto"/>
                <w:bottom w:val="none" w:sz="0" w:space="0" w:color="auto"/>
                <w:right w:val="none" w:sz="0" w:space="0" w:color="auto"/>
              </w:divBdr>
            </w:div>
            <w:div w:id="2140418583">
              <w:marLeft w:val="0"/>
              <w:marRight w:val="0"/>
              <w:marTop w:val="0"/>
              <w:marBottom w:val="0"/>
              <w:divBdr>
                <w:top w:val="none" w:sz="0" w:space="0" w:color="auto"/>
                <w:left w:val="none" w:sz="0" w:space="0" w:color="auto"/>
                <w:bottom w:val="none" w:sz="0" w:space="0" w:color="auto"/>
                <w:right w:val="none" w:sz="0" w:space="0" w:color="auto"/>
              </w:divBdr>
            </w:div>
            <w:div w:id="774057960">
              <w:marLeft w:val="0"/>
              <w:marRight w:val="0"/>
              <w:marTop w:val="0"/>
              <w:marBottom w:val="0"/>
              <w:divBdr>
                <w:top w:val="none" w:sz="0" w:space="0" w:color="auto"/>
                <w:left w:val="none" w:sz="0" w:space="0" w:color="auto"/>
                <w:bottom w:val="none" w:sz="0" w:space="0" w:color="auto"/>
                <w:right w:val="none" w:sz="0" w:space="0" w:color="auto"/>
              </w:divBdr>
            </w:div>
          </w:divsChild>
        </w:div>
        <w:div w:id="1143231715">
          <w:marLeft w:val="0"/>
          <w:marRight w:val="0"/>
          <w:marTop w:val="0"/>
          <w:marBottom w:val="0"/>
          <w:divBdr>
            <w:top w:val="none" w:sz="0" w:space="0" w:color="auto"/>
            <w:left w:val="none" w:sz="0" w:space="0" w:color="auto"/>
            <w:bottom w:val="none" w:sz="0" w:space="0" w:color="auto"/>
            <w:right w:val="none" w:sz="0" w:space="0" w:color="auto"/>
          </w:divBdr>
          <w:divsChild>
            <w:div w:id="1242327457">
              <w:marLeft w:val="0"/>
              <w:marRight w:val="0"/>
              <w:marTop w:val="0"/>
              <w:marBottom w:val="0"/>
              <w:divBdr>
                <w:top w:val="none" w:sz="0" w:space="0" w:color="auto"/>
                <w:left w:val="none" w:sz="0" w:space="0" w:color="auto"/>
                <w:bottom w:val="none" w:sz="0" w:space="0" w:color="auto"/>
                <w:right w:val="none" w:sz="0" w:space="0" w:color="auto"/>
              </w:divBdr>
            </w:div>
            <w:div w:id="1953171835">
              <w:marLeft w:val="0"/>
              <w:marRight w:val="0"/>
              <w:marTop w:val="0"/>
              <w:marBottom w:val="0"/>
              <w:divBdr>
                <w:top w:val="none" w:sz="0" w:space="0" w:color="auto"/>
                <w:left w:val="none" w:sz="0" w:space="0" w:color="auto"/>
                <w:bottom w:val="none" w:sz="0" w:space="0" w:color="auto"/>
                <w:right w:val="none" w:sz="0" w:space="0" w:color="auto"/>
              </w:divBdr>
            </w:div>
            <w:div w:id="1126630385">
              <w:marLeft w:val="0"/>
              <w:marRight w:val="0"/>
              <w:marTop w:val="0"/>
              <w:marBottom w:val="0"/>
              <w:divBdr>
                <w:top w:val="none" w:sz="0" w:space="0" w:color="auto"/>
                <w:left w:val="none" w:sz="0" w:space="0" w:color="auto"/>
                <w:bottom w:val="none" w:sz="0" w:space="0" w:color="auto"/>
                <w:right w:val="none" w:sz="0" w:space="0" w:color="auto"/>
              </w:divBdr>
            </w:div>
            <w:div w:id="1233807898">
              <w:marLeft w:val="0"/>
              <w:marRight w:val="0"/>
              <w:marTop w:val="0"/>
              <w:marBottom w:val="0"/>
              <w:divBdr>
                <w:top w:val="none" w:sz="0" w:space="0" w:color="auto"/>
                <w:left w:val="none" w:sz="0" w:space="0" w:color="auto"/>
                <w:bottom w:val="none" w:sz="0" w:space="0" w:color="auto"/>
                <w:right w:val="none" w:sz="0" w:space="0" w:color="auto"/>
              </w:divBdr>
            </w:div>
            <w:div w:id="107238331">
              <w:marLeft w:val="0"/>
              <w:marRight w:val="0"/>
              <w:marTop w:val="0"/>
              <w:marBottom w:val="0"/>
              <w:divBdr>
                <w:top w:val="none" w:sz="0" w:space="0" w:color="auto"/>
                <w:left w:val="none" w:sz="0" w:space="0" w:color="auto"/>
                <w:bottom w:val="none" w:sz="0" w:space="0" w:color="auto"/>
                <w:right w:val="none" w:sz="0" w:space="0" w:color="auto"/>
              </w:divBdr>
            </w:div>
          </w:divsChild>
        </w:div>
        <w:div w:id="739256525">
          <w:marLeft w:val="0"/>
          <w:marRight w:val="0"/>
          <w:marTop w:val="0"/>
          <w:marBottom w:val="0"/>
          <w:divBdr>
            <w:top w:val="none" w:sz="0" w:space="0" w:color="auto"/>
            <w:left w:val="none" w:sz="0" w:space="0" w:color="auto"/>
            <w:bottom w:val="none" w:sz="0" w:space="0" w:color="auto"/>
            <w:right w:val="none" w:sz="0" w:space="0" w:color="auto"/>
          </w:divBdr>
          <w:divsChild>
            <w:div w:id="607735115">
              <w:marLeft w:val="0"/>
              <w:marRight w:val="0"/>
              <w:marTop w:val="0"/>
              <w:marBottom w:val="0"/>
              <w:divBdr>
                <w:top w:val="none" w:sz="0" w:space="0" w:color="auto"/>
                <w:left w:val="none" w:sz="0" w:space="0" w:color="auto"/>
                <w:bottom w:val="none" w:sz="0" w:space="0" w:color="auto"/>
                <w:right w:val="none" w:sz="0" w:space="0" w:color="auto"/>
              </w:divBdr>
            </w:div>
            <w:div w:id="600145044">
              <w:marLeft w:val="0"/>
              <w:marRight w:val="0"/>
              <w:marTop w:val="0"/>
              <w:marBottom w:val="0"/>
              <w:divBdr>
                <w:top w:val="none" w:sz="0" w:space="0" w:color="auto"/>
                <w:left w:val="none" w:sz="0" w:space="0" w:color="auto"/>
                <w:bottom w:val="none" w:sz="0" w:space="0" w:color="auto"/>
                <w:right w:val="none" w:sz="0" w:space="0" w:color="auto"/>
              </w:divBdr>
            </w:div>
            <w:div w:id="376780221">
              <w:marLeft w:val="0"/>
              <w:marRight w:val="0"/>
              <w:marTop w:val="0"/>
              <w:marBottom w:val="0"/>
              <w:divBdr>
                <w:top w:val="none" w:sz="0" w:space="0" w:color="auto"/>
                <w:left w:val="none" w:sz="0" w:space="0" w:color="auto"/>
                <w:bottom w:val="none" w:sz="0" w:space="0" w:color="auto"/>
                <w:right w:val="none" w:sz="0" w:space="0" w:color="auto"/>
              </w:divBdr>
            </w:div>
            <w:div w:id="1832330720">
              <w:marLeft w:val="0"/>
              <w:marRight w:val="0"/>
              <w:marTop w:val="0"/>
              <w:marBottom w:val="0"/>
              <w:divBdr>
                <w:top w:val="none" w:sz="0" w:space="0" w:color="auto"/>
                <w:left w:val="none" w:sz="0" w:space="0" w:color="auto"/>
                <w:bottom w:val="none" w:sz="0" w:space="0" w:color="auto"/>
                <w:right w:val="none" w:sz="0" w:space="0" w:color="auto"/>
              </w:divBdr>
            </w:div>
            <w:div w:id="718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7A04-9A62-462D-8ACA-B1F80AD1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6782</Characters>
  <Application>Microsoft Office Word</Application>
  <DocSecurity>0</DocSecurity>
  <Lines>56</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2020-09-14T12:22:00Z</dcterms:created>
  <dcterms:modified xsi:type="dcterms:W3CDTF">2020-09-14T12:22:00Z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