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951C90" w:rsidP="00C321B5">
      <w:pPr>
        <w:jc w:val="center"/>
        <w:rPr>
          <w:rFonts w:ascii="Book Antiqua" w:hAnsi="Book Antiqua" w:cs="Arial"/>
          <w:sz w:val="16"/>
          <w:szCs w:val="16"/>
        </w:rPr>
      </w:pPr>
      <w:r>
        <w:rPr>
          <w:noProof/>
        </w:rPr>
        <w:drawing>
          <wp:inline distT="0" distB="0" distL="0" distR="0">
            <wp:extent cx="1047750"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7415"/>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D07487" w:rsidRPr="00736900" w:rsidRDefault="00C321B5" w:rsidP="00736900">
      <w:pPr>
        <w:tabs>
          <w:tab w:val="right" w:pos="9639"/>
        </w:tabs>
        <w:rPr>
          <w:rFonts w:ascii="Book Antiqua" w:hAnsi="Book Antiqua" w:cs="Arial"/>
          <w:b/>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490CFA">
        <w:rPr>
          <w:rFonts w:ascii="Book Antiqua" w:hAnsi="Book Antiqua" w:cs="Arial"/>
          <w:b/>
        </w:rPr>
        <w:t>Appeal Number</w:t>
      </w:r>
      <w:r w:rsidR="00D53769" w:rsidRPr="00490CFA">
        <w:rPr>
          <w:rFonts w:ascii="Book Antiqua" w:hAnsi="Book Antiqua" w:cs="Arial"/>
          <w:b/>
        </w:rPr>
        <w:t>:</w:t>
      </w:r>
      <w:r w:rsidR="00B3524D" w:rsidRPr="00490CFA">
        <w:rPr>
          <w:rFonts w:ascii="Book Antiqua" w:hAnsi="Book Antiqua" w:cs="Arial"/>
          <w:b/>
        </w:rPr>
        <w:t xml:space="preserve"> </w:t>
      </w:r>
      <w:bookmarkStart w:id="0" w:name="_GoBack"/>
      <w:r w:rsidR="00B85B91">
        <w:rPr>
          <w:rFonts w:ascii="Book Antiqua" w:hAnsi="Book Antiqua" w:cs="Arial"/>
          <w:b/>
          <w:caps/>
        </w:rPr>
        <w:t>HU</w:t>
      </w:r>
      <w:r w:rsidR="001B67F3" w:rsidRPr="00490CFA">
        <w:rPr>
          <w:rFonts w:ascii="Book Antiqua" w:hAnsi="Book Antiqua" w:cs="Arial"/>
          <w:b/>
          <w:caps/>
        </w:rPr>
        <w:t>/</w:t>
      </w:r>
      <w:r w:rsidR="00B85B91">
        <w:rPr>
          <w:rFonts w:ascii="Book Antiqua" w:hAnsi="Book Antiqua" w:cs="Arial"/>
          <w:b/>
          <w:caps/>
        </w:rPr>
        <w:t>11633</w:t>
      </w:r>
      <w:r w:rsidR="00FB050B" w:rsidRPr="00490CFA">
        <w:rPr>
          <w:rFonts w:ascii="Book Antiqua" w:hAnsi="Book Antiqua" w:cs="Arial"/>
          <w:b/>
          <w:caps/>
        </w:rPr>
        <w:t>/</w:t>
      </w:r>
      <w:r w:rsidR="0035753A">
        <w:rPr>
          <w:rFonts w:ascii="Book Antiqua" w:hAnsi="Book Antiqua" w:cs="Arial"/>
          <w:b/>
          <w:caps/>
        </w:rPr>
        <w:t>201</w:t>
      </w:r>
      <w:r w:rsidR="009B659E">
        <w:rPr>
          <w:rFonts w:ascii="Book Antiqua" w:hAnsi="Book Antiqua" w:cs="Arial"/>
          <w:b/>
          <w:caps/>
        </w:rPr>
        <w:t>6</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739"/>
        <w:gridCol w:w="3899"/>
      </w:tblGrid>
      <w:tr w:rsidR="00D22636" w:rsidRPr="00337EBB" w:rsidTr="00337EBB">
        <w:tc>
          <w:tcPr>
            <w:tcW w:w="5868"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Heard at </w:t>
            </w:r>
            <w:r w:rsidR="00DC3BB3">
              <w:rPr>
                <w:rFonts w:ascii="Book Antiqua" w:hAnsi="Book Antiqua" w:cs="Arial"/>
                <w:b/>
              </w:rPr>
              <w:t>Field House</w:t>
            </w:r>
            <w:r w:rsidR="001B67F3" w:rsidRPr="00337EBB">
              <w:rPr>
                <w:rFonts w:ascii="Book Antiqua" w:hAnsi="Book Antiqua" w:cs="Arial"/>
                <w:b/>
              </w:rPr>
              <w:t xml:space="preserve"> </w:t>
            </w:r>
          </w:p>
        </w:tc>
        <w:tc>
          <w:tcPr>
            <w:tcW w:w="3960" w:type="dxa"/>
            <w:shd w:val="clear" w:color="auto" w:fill="auto"/>
          </w:tcPr>
          <w:p w:rsidR="00D22636" w:rsidRPr="00337EBB" w:rsidRDefault="00283659" w:rsidP="00337EBB">
            <w:pPr>
              <w:jc w:val="both"/>
              <w:rPr>
                <w:rFonts w:ascii="Book Antiqua" w:hAnsi="Book Antiqua" w:cs="Arial"/>
                <w:b/>
              </w:rPr>
            </w:pPr>
            <w:r w:rsidRPr="00337EBB">
              <w:rPr>
                <w:rFonts w:ascii="Book Antiqua" w:hAnsi="Book Antiqua" w:cs="Arial"/>
                <w:b/>
              </w:rPr>
              <w:t>De</w:t>
            </w:r>
            <w:r w:rsidR="00864126" w:rsidRPr="00337EBB">
              <w:rPr>
                <w:rFonts w:ascii="Book Antiqua" w:hAnsi="Book Antiqua" w:cs="Arial"/>
                <w:b/>
              </w:rPr>
              <w:t>cision &amp; Reasons</w:t>
            </w:r>
            <w:r w:rsidRPr="00337EBB">
              <w:rPr>
                <w:rFonts w:ascii="Book Antiqua" w:hAnsi="Book Antiqua" w:cs="Arial"/>
                <w:b/>
              </w:rPr>
              <w:t xml:space="preserve"> Promulgated</w:t>
            </w:r>
          </w:p>
        </w:tc>
      </w:tr>
      <w:tr w:rsidR="00D22636" w:rsidRPr="00337EBB" w:rsidTr="00337EBB">
        <w:tc>
          <w:tcPr>
            <w:tcW w:w="5868"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On </w:t>
            </w:r>
            <w:r w:rsidR="00D07487">
              <w:rPr>
                <w:rFonts w:ascii="Book Antiqua" w:hAnsi="Book Antiqua" w:cs="Arial"/>
                <w:b/>
              </w:rPr>
              <w:t>June 15</w:t>
            </w:r>
            <w:r w:rsidR="001B67F3" w:rsidRPr="00337EBB">
              <w:rPr>
                <w:rFonts w:ascii="Book Antiqua" w:hAnsi="Book Antiqua" w:cs="Arial"/>
                <w:b/>
              </w:rPr>
              <w:t>, 201</w:t>
            </w:r>
            <w:r w:rsidR="00D44088">
              <w:rPr>
                <w:rFonts w:ascii="Book Antiqua" w:hAnsi="Book Antiqua" w:cs="Arial"/>
                <w:b/>
              </w:rPr>
              <w:t>8</w:t>
            </w:r>
            <w:r w:rsidR="001B67F3" w:rsidRPr="00337EBB">
              <w:rPr>
                <w:rFonts w:ascii="Book Antiqua" w:hAnsi="Book Antiqua" w:cs="Arial"/>
                <w:b/>
              </w:rPr>
              <w:t xml:space="preserve"> </w:t>
            </w:r>
          </w:p>
        </w:tc>
        <w:tc>
          <w:tcPr>
            <w:tcW w:w="3960" w:type="dxa"/>
            <w:shd w:val="clear" w:color="auto" w:fill="auto"/>
          </w:tcPr>
          <w:p w:rsidR="00D22636" w:rsidRPr="00337EBB" w:rsidRDefault="008534A4" w:rsidP="00337EBB">
            <w:pPr>
              <w:jc w:val="both"/>
              <w:rPr>
                <w:rFonts w:ascii="Book Antiqua" w:hAnsi="Book Antiqua" w:cs="Arial"/>
                <w:b/>
              </w:rPr>
            </w:pPr>
            <w:r>
              <w:rPr>
                <w:rFonts w:ascii="Book Antiqua" w:hAnsi="Book Antiqua" w:cs="Arial"/>
                <w:b/>
              </w:rPr>
              <w:t>On June 21, 2018</w:t>
            </w:r>
          </w:p>
        </w:tc>
      </w:tr>
      <w:tr w:rsidR="00D22636" w:rsidRPr="00337EBB" w:rsidTr="00337EBB">
        <w:tc>
          <w:tcPr>
            <w:tcW w:w="5868" w:type="dxa"/>
            <w:shd w:val="clear" w:color="auto" w:fill="auto"/>
          </w:tcPr>
          <w:p w:rsidR="00D22636" w:rsidRPr="00337EBB" w:rsidRDefault="00D22636" w:rsidP="00337EBB">
            <w:pPr>
              <w:jc w:val="both"/>
              <w:rPr>
                <w:rFonts w:ascii="Book Antiqua" w:hAnsi="Book Antiqua" w:cs="Arial"/>
                <w:b/>
              </w:rPr>
            </w:pPr>
          </w:p>
        </w:tc>
        <w:tc>
          <w:tcPr>
            <w:tcW w:w="3960" w:type="dxa"/>
            <w:shd w:val="clear" w:color="auto" w:fill="auto"/>
          </w:tcPr>
          <w:p w:rsidR="00D22636" w:rsidRPr="00337EBB" w:rsidRDefault="00D22636" w:rsidP="00337EBB">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0A32A2"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w:t>
      </w:r>
      <w:r w:rsidR="00F90160">
        <w:rPr>
          <w:rFonts w:ascii="Book Antiqua" w:hAnsi="Book Antiqua" w:cs="Arial"/>
          <w:b/>
        </w:rPr>
        <w:t>JUDGE</w:t>
      </w:r>
      <w:r w:rsidR="00B16F58" w:rsidRPr="00F5664C">
        <w:rPr>
          <w:rFonts w:ascii="Book Antiqua" w:hAnsi="Book Antiqua" w:cs="Arial"/>
          <w:b/>
        </w:rPr>
        <w:t xml:space="preserve"> </w:t>
      </w:r>
      <w:r w:rsidR="00376F8F">
        <w:rPr>
          <w:rFonts w:ascii="Book Antiqua" w:hAnsi="Book Antiqua" w:cs="Arial"/>
          <w:b/>
        </w:rPr>
        <w:t>ALIS</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Default="00A845DC" w:rsidP="00A15234">
      <w:pPr>
        <w:jc w:val="center"/>
        <w:rPr>
          <w:rFonts w:ascii="Book Antiqua" w:hAnsi="Book Antiqua" w:cs="Arial"/>
          <w:b/>
        </w:rPr>
      </w:pPr>
    </w:p>
    <w:p w:rsidR="00B8090A" w:rsidRDefault="00B8090A" w:rsidP="00A15234">
      <w:pPr>
        <w:jc w:val="center"/>
        <w:rPr>
          <w:rFonts w:ascii="Book Antiqua" w:hAnsi="Book Antiqua" w:cs="Arial"/>
          <w:b/>
        </w:rPr>
      </w:pPr>
      <w:r>
        <w:rPr>
          <w:rFonts w:ascii="Book Antiqua" w:hAnsi="Book Antiqua" w:cs="Arial"/>
          <w:b/>
          <w:caps/>
        </w:rPr>
        <w:t>the Secretary of State for the Home Department</w:t>
      </w:r>
    </w:p>
    <w:p w:rsidR="00FF4BA6" w:rsidRPr="00F5664C" w:rsidRDefault="00FF4BA6" w:rsidP="00A15234">
      <w:pPr>
        <w:jc w:val="center"/>
        <w:rPr>
          <w:rFonts w:ascii="Book Antiqua" w:hAnsi="Book Antiqua" w:cs="Arial"/>
          <w:b/>
        </w:rPr>
      </w:pPr>
    </w:p>
    <w:p w:rsidR="006D1DFA" w:rsidRPr="00B631AF" w:rsidRDefault="00704B61" w:rsidP="00B631AF">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B8090A" w:rsidRDefault="00B8090A" w:rsidP="00B8090A">
      <w:pPr>
        <w:jc w:val="center"/>
        <w:rPr>
          <w:rFonts w:ascii="Book Antiqua" w:hAnsi="Book Antiqua" w:cs="Arial"/>
          <w:b/>
        </w:rPr>
      </w:pPr>
      <w:r>
        <w:rPr>
          <w:rFonts w:ascii="Book Antiqua" w:hAnsi="Book Antiqua" w:cs="Arial"/>
          <w:b/>
        </w:rPr>
        <w:t>MS SANDRA ELAIN BELL</w:t>
      </w:r>
    </w:p>
    <w:p w:rsidR="00FF4BA6" w:rsidRPr="00F5664C" w:rsidRDefault="00B8090A" w:rsidP="00B8090A">
      <w:pPr>
        <w:jc w:val="center"/>
        <w:rPr>
          <w:rFonts w:ascii="Book Antiqua" w:hAnsi="Book Antiqua" w:cs="Arial"/>
          <w:b/>
        </w:rPr>
      </w:pPr>
      <w:r>
        <w:rPr>
          <w:rFonts w:ascii="Book Antiqua" w:hAnsi="Book Antiqua" w:cs="Arial"/>
          <w:b/>
        </w:rPr>
        <w:t>(NO ANONYMITY DIRECTION MADE)</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6E40CB">
      <w:pPr>
        <w:tabs>
          <w:tab w:val="left" w:pos="2520"/>
        </w:tabs>
        <w:rPr>
          <w:rFonts w:ascii="Book Antiqua" w:hAnsi="Book Antiqua" w:cs="Arial"/>
        </w:rPr>
      </w:pPr>
      <w:r w:rsidRPr="00F5664C">
        <w:rPr>
          <w:rFonts w:ascii="Book Antiqua" w:hAnsi="Book Antiqua" w:cs="Arial"/>
        </w:rPr>
        <w:t>For the Appellant:</w:t>
      </w:r>
      <w:r w:rsidR="00C139A6">
        <w:rPr>
          <w:rFonts w:ascii="Book Antiqua" w:hAnsi="Book Antiqua" w:cs="Arial"/>
        </w:rPr>
        <w:tab/>
      </w:r>
      <w:r w:rsidR="00AC325D">
        <w:rPr>
          <w:rFonts w:ascii="Book Antiqua" w:hAnsi="Book Antiqua" w:cs="Arial"/>
        </w:rPr>
        <w:t>Mr Bramble</w:t>
      </w:r>
      <w:r w:rsidR="00B8090A">
        <w:rPr>
          <w:rFonts w:ascii="Book Antiqua" w:hAnsi="Book Antiqua" w:cs="Arial"/>
        </w:rPr>
        <w:t>, Senior Home Office Presenting Officer</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AC325D">
        <w:rPr>
          <w:rFonts w:ascii="Book Antiqua" w:hAnsi="Book Antiqua"/>
        </w:rPr>
        <w:t>Ms</w:t>
      </w:r>
      <w:r w:rsidR="00B8090A">
        <w:rPr>
          <w:rFonts w:ascii="Book Antiqua" w:hAnsi="Book Antiqua"/>
        </w:rPr>
        <w:t xml:space="preserve"> </w:t>
      </w:r>
      <w:proofErr w:type="spellStart"/>
      <w:r w:rsidR="00B8090A">
        <w:rPr>
          <w:rFonts w:ascii="Book Antiqua" w:hAnsi="Book Antiqua"/>
        </w:rPr>
        <w:t>Revill</w:t>
      </w:r>
      <w:proofErr w:type="spellEnd"/>
      <w:r w:rsidR="00B8090A">
        <w:rPr>
          <w:rFonts w:ascii="Book Antiqua" w:hAnsi="Book Antiqua"/>
        </w:rPr>
        <w:t xml:space="preserve">, Counsel, instructed by Anthony </w:t>
      </w:r>
      <w:proofErr w:type="spellStart"/>
      <w:r w:rsidR="00B8090A">
        <w:rPr>
          <w:rFonts w:ascii="Book Antiqua" w:hAnsi="Book Antiqua"/>
        </w:rPr>
        <w:t>Ogunfeibo</w:t>
      </w:r>
      <w:proofErr w:type="spellEnd"/>
      <w:r w:rsidR="00B8090A">
        <w:rPr>
          <w:rFonts w:ascii="Book Antiqua" w:hAnsi="Book Antiqua"/>
        </w:rPr>
        <w:t xml:space="preserve"> &amp; Co</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rsidR="00B631AF" w:rsidRDefault="00D010E2" w:rsidP="00911478">
      <w:pPr>
        <w:numPr>
          <w:ilvl w:val="0"/>
          <w:numId w:val="3"/>
        </w:numPr>
        <w:spacing w:before="240"/>
        <w:jc w:val="both"/>
        <w:rPr>
          <w:rFonts w:ascii="Book Antiqua" w:hAnsi="Book Antiqua" w:cs="Arial"/>
        </w:rPr>
      </w:pPr>
      <w:r>
        <w:rPr>
          <w:rFonts w:ascii="Book Antiqua" w:hAnsi="Book Antiqua" w:cs="Arial"/>
        </w:rPr>
        <w:t xml:space="preserve">I </w:t>
      </w:r>
      <w:r w:rsidR="00274A62">
        <w:rPr>
          <w:rFonts w:ascii="Book Antiqua" w:hAnsi="Book Antiqua" w:cs="Arial"/>
        </w:rPr>
        <w:t xml:space="preserve">do not make an anonymity order in this appeal. </w:t>
      </w:r>
    </w:p>
    <w:p w:rsidR="00B8090A" w:rsidRDefault="00B8090A" w:rsidP="00C139A6">
      <w:pPr>
        <w:numPr>
          <w:ilvl w:val="0"/>
          <w:numId w:val="3"/>
        </w:numPr>
        <w:spacing w:before="240"/>
        <w:jc w:val="both"/>
        <w:rPr>
          <w:rFonts w:ascii="Book Antiqua" w:hAnsi="Book Antiqua" w:cs="Arial"/>
        </w:rPr>
      </w:pPr>
      <w:r>
        <w:rPr>
          <w:rFonts w:ascii="Book Antiqua" w:hAnsi="Book Antiqua" w:cs="Arial"/>
        </w:rPr>
        <w:t>The respondent in these proceedings was the appellant before the First-tier Tribunal.  From hereon I have referred to the parties as they were in the First-tier Tribunal so that, for example, reference to the respondent is a reference to the Entry Clearance Officer.</w:t>
      </w:r>
    </w:p>
    <w:p w:rsidR="00CE085A" w:rsidRDefault="00B85B91" w:rsidP="00C139A6">
      <w:pPr>
        <w:numPr>
          <w:ilvl w:val="0"/>
          <w:numId w:val="3"/>
        </w:numPr>
        <w:spacing w:before="240"/>
        <w:jc w:val="both"/>
        <w:rPr>
          <w:rFonts w:ascii="Book Antiqua" w:hAnsi="Book Antiqua" w:cs="Arial"/>
        </w:rPr>
      </w:pPr>
      <w:r>
        <w:rPr>
          <w:rFonts w:ascii="Book Antiqua" w:hAnsi="Book Antiqua" w:cs="Arial"/>
        </w:rPr>
        <w:t xml:space="preserve">The appellant entered the United Kingdom on September 1, 2001 with entry clearance as a visitor </w:t>
      </w:r>
      <w:r w:rsidR="00CE085A">
        <w:rPr>
          <w:rFonts w:ascii="Book Antiqua" w:hAnsi="Book Antiqua" w:cs="Arial"/>
        </w:rPr>
        <w:t xml:space="preserve">for </w:t>
      </w:r>
      <w:r>
        <w:rPr>
          <w:rFonts w:ascii="Book Antiqua" w:hAnsi="Book Antiqua" w:cs="Arial"/>
        </w:rPr>
        <w:t xml:space="preserve">six-months. Her leave was extended until March 21, 2002. </w:t>
      </w:r>
    </w:p>
    <w:p w:rsidR="00D07487" w:rsidRDefault="00B85B91" w:rsidP="00C139A6">
      <w:pPr>
        <w:numPr>
          <w:ilvl w:val="0"/>
          <w:numId w:val="3"/>
        </w:numPr>
        <w:spacing w:before="240"/>
        <w:jc w:val="both"/>
        <w:rPr>
          <w:rFonts w:ascii="Book Antiqua" w:hAnsi="Book Antiqua" w:cs="Arial"/>
        </w:rPr>
      </w:pPr>
      <w:r>
        <w:rPr>
          <w:rFonts w:ascii="Book Antiqua" w:hAnsi="Book Antiqua" w:cs="Arial"/>
        </w:rPr>
        <w:lastRenderedPageBreak/>
        <w:t>Applications to remain were subsequently lodged on June 8, 2004, November 4, 2013 and February 3, 2014 but these were refused on November 1, 2006, December 20, 2013 and April 4, 2014 respectively.</w:t>
      </w:r>
      <w:r w:rsidR="00CE085A">
        <w:rPr>
          <w:rFonts w:ascii="Book Antiqua" w:hAnsi="Book Antiqua" w:cs="Arial"/>
        </w:rPr>
        <w:t xml:space="preserve"> The appellant failed with an appeal in respect of the April 2014 refusal. </w:t>
      </w:r>
    </w:p>
    <w:p w:rsidR="00B85B91" w:rsidRDefault="00B85B91" w:rsidP="00C139A6">
      <w:pPr>
        <w:numPr>
          <w:ilvl w:val="0"/>
          <w:numId w:val="3"/>
        </w:numPr>
        <w:spacing w:before="240"/>
        <w:jc w:val="both"/>
        <w:rPr>
          <w:rFonts w:ascii="Book Antiqua" w:hAnsi="Book Antiqua" w:cs="Arial"/>
        </w:rPr>
      </w:pPr>
      <w:r>
        <w:rPr>
          <w:rFonts w:ascii="Book Antiqua" w:hAnsi="Book Antiqua" w:cs="Arial"/>
        </w:rPr>
        <w:t>On January 20, 2016 the appellant applied for further leave to remain on private life grounds.</w:t>
      </w:r>
      <w:r w:rsidR="007630B5">
        <w:rPr>
          <w:rFonts w:ascii="Book Antiqua" w:hAnsi="Book Antiqua" w:cs="Arial"/>
        </w:rPr>
        <w:t xml:space="preserve"> The respondent refused her application on April 19, 2016 and the appellant appealed that decision on April 29, 2016.</w:t>
      </w:r>
    </w:p>
    <w:p w:rsidR="00CE085A" w:rsidRPr="00CE085A" w:rsidRDefault="00A10608" w:rsidP="00CE085A">
      <w:pPr>
        <w:numPr>
          <w:ilvl w:val="0"/>
          <w:numId w:val="3"/>
        </w:numPr>
        <w:spacing w:before="240"/>
        <w:jc w:val="both"/>
        <w:rPr>
          <w:rFonts w:ascii="Book Antiqua" w:hAnsi="Book Antiqua" w:cs="Arial"/>
        </w:rPr>
      </w:pPr>
      <w:r>
        <w:rPr>
          <w:rFonts w:ascii="Book Antiqua" w:hAnsi="Book Antiqua" w:cs="Arial"/>
        </w:rPr>
        <w:t xml:space="preserve">The appeal was listed before Judge of the First-tier Tribunal </w:t>
      </w:r>
      <w:r w:rsidR="007630B5">
        <w:rPr>
          <w:rFonts w:ascii="Book Antiqua" w:hAnsi="Book Antiqua" w:cs="Arial"/>
        </w:rPr>
        <w:t xml:space="preserve">Greasley </w:t>
      </w:r>
      <w:r>
        <w:rPr>
          <w:rFonts w:ascii="Book Antiqua" w:hAnsi="Book Antiqua" w:cs="Arial"/>
        </w:rPr>
        <w:t xml:space="preserve">on November </w:t>
      </w:r>
      <w:r w:rsidR="007630B5">
        <w:rPr>
          <w:rFonts w:ascii="Book Antiqua" w:hAnsi="Book Antiqua" w:cs="Arial"/>
        </w:rPr>
        <w:t>1</w:t>
      </w:r>
      <w:r>
        <w:rPr>
          <w:rFonts w:ascii="Book Antiqua" w:hAnsi="Book Antiqua" w:cs="Arial"/>
        </w:rPr>
        <w:t xml:space="preserve">7, 2017 and in a decision promulgated on </w:t>
      </w:r>
      <w:r w:rsidR="007630B5">
        <w:rPr>
          <w:rFonts w:ascii="Book Antiqua" w:hAnsi="Book Antiqua" w:cs="Arial"/>
        </w:rPr>
        <w:t>August 24</w:t>
      </w:r>
      <w:r>
        <w:rPr>
          <w:rFonts w:ascii="Book Antiqua" w:hAnsi="Book Antiqua" w:cs="Arial"/>
        </w:rPr>
        <w:t>, 2017 the Judge</w:t>
      </w:r>
      <w:r w:rsidR="007630B5">
        <w:rPr>
          <w:rFonts w:ascii="Book Antiqua" w:hAnsi="Book Antiqua" w:cs="Arial"/>
        </w:rPr>
        <w:t xml:space="preserve"> allowed the appeal under both the Immigration Rules and article 8 ECHR.</w:t>
      </w:r>
      <w:r w:rsidR="00CE085A">
        <w:rPr>
          <w:rFonts w:ascii="Book Antiqua" w:hAnsi="Book Antiqua" w:cs="Arial"/>
        </w:rPr>
        <w:t xml:space="preserve"> </w:t>
      </w:r>
      <w:r w:rsidRPr="00CE085A">
        <w:rPr>
          <w:rFonts w:ascii="Book Antiqua" w:hAnsi="Book Antiqua" w:cs="Arial"/>
        </w:rPr>
        <w:t>The</w:t>
      </w:r>
      <w:r w:rsidR="007630B5" w:rsidRPr="00CE085A">
        <w:rPr>
          <w:rFonts w:ascii="Book Antiqua" w:hAnsi="Book Antiqua" w:cs="Arial"/>
        </w:rPr>
        <w:t xml:space="preserve"> respondent </w:t>
      </w:r>
      <w:r w:rsidRPr="00CE085A">
        <w:rPr>
          <w:rFonts w:ascii="Book Antiqua" w:hAnsi="Book Antiqua" w:cs="Arial"/>
        </w:rPr>
        <w:t xml:space="preserve">lodged permission to appeal on </w:t>
      </w:r>
      <w:r w:rsidR="007630B5" w:rsidRPr="00CE085A">
        <w:rPr>
          <w:rFonts w:ascii="Book Antiqua" w:hAnsi="Book Antiqua" w:cs="Arial"/>
        </w:rPr>
        <w:t>September 4</w:t>
      </w:r>
      <w:r w:rsidRPr="00CE085A">
        <w:rPr>
          <w:rFonts w:ascii="Book Antiqua" w:hAnsi="Book Antiqua" w:cs="Arial"/>
        </w:rPr>
        <w:t xml:space="preserve">, 2017. </w:t>
      </w:r>
    </w:p>
    <w:p w:rsidR="00A10608" w:rsidRPr="007630B5" w:rsidRDefault="00B862EE" w:rsidP="00B746A1">
      <w:pPr>
        <w:numPr>
          <w:ilvl w:val="0"/>
          <w:numId w:val="3"/>
        </w:numPr>
        <w:spacing w:before="240"/>
        <w:jc w:val="both"/>
        <w:rPr>
          <w:rFonts w:ascii="Book Antiqua" w:hAnsi="Book Antiqua" w:cs="Arial"/>
        </w:rPr>
      </w:pPr>
      <w:r w:rsidRPr="007630B5">
        <w:rPr>
          <w:rFonts w:ascii="Book Antiqua" w:hAnsi="Book Antiqua" w:cs="Arial"/>
        </w:rPr>
        <w:t xml:space="preserve">Permission to appeal was granted by Judge of the First-tier Tribunal </w:t>
      </w:r>
      <w:r w:rsidR="007630B5">
        <w:rPr>
          <w:rFonts w:ascii="Book Antiqua" w:hAnsi="Book Antiqua" w:cs="Arial"/>
        </w:rPr>
        <w:t>Brunnen</w:t>
      </w:r>
      <w:r w:rsidRPr="007630B5">
        <w:rPr>
          <w:rFonts w:ascii="Book Antiqua" w:hAnsi="Book Antiqua" w:cs="Arial"/>
        </w:rPr>
        <w:t xml:space="preserve"> on </w:t>
      </w:r>
      <w:r w:rsidR="007630B5">
        <w:rPr>
          <w:rFonts w:ascii="Book Antiqua" w:hAnsi="Book Antiqua" w:cs="Arial"/>
        </w:rPr>
        <w:t>February 8</w:t>
      </w:r>
      <w:r w:rsidRPr="007630B5">
        <w:rPr>
          <w:rFonts w:ascii="Book Antiqua" w:hAnsi="Book Antiqua" w:cs="Arial"/>
        </w:rPr>
        <w:t xml:space="preserve">, 2018. </w:t>
      </w:r>
      <w:r w:rsidR="007630B5">
        <w:rPr>
          <w:rFonts w:ascii="Book Antiqua" w:hAnsi="Book Antiqua" w:cs="Arial"/>
        </w:rPr>
        <w:t xml:space="preserve">He </w:t>
      </w:r>
      <w:r w:rsidRPr="007630B5">
        <w:rPr>
          <w:rFonts w:ascii="Book Antiqua" w:hAnsi="Book Antiqua" w:cs="Arial"/>
        </w:rPr>
        <w:t>found it arguable that the Judge</w:t>
      </w:r>
      <w:r w:rsidR="007630B5">
        <w:rPr>
          <w:rFonts w:ascii="Book Antiqua" w:hAnsi="Book Antiqua" w:cs="Arial"/>
        </w:rPr>
        <w:t xml:space="preserve"> had erred in applying the Immigration Rules and article 8 ECHR. </w:t>
      </w:r>
    </w:p>
    <w:p w:rsidR="00496B62" w:rsidRPr="00496B62" w:rsidRDefault="00496B62" w:rsidP="00496B62">
      <w:pPr>
        <w:spacing w:before="240"/>
        <w:ind w:left="567"/>
        <w:jc w:val="both"/>
        <w:rPr>
          <w:rFonts w:ascii="Book Antiqua" w:hAnsi="Book Antiqua" w:cs="Arial"/>
          <w:b/>
          <w:u w:val="single"/>
        </w:rPr>
      </w:pPr>
      <w:r>
        <w:rPr>
          <w:rFonts w:ascii="Book Antiqua" w:hAnsi="Book Antiqua" w:cs="Arial"/>
          <w:b/>
          <w:u w:val="single"/>
        </w:rPr>
        <w:t>Preliminary Issues</w:t>
      </w:r>
    </w:p>
    <w:p w:rsidR="001311AC" w:rsidRDefault="00AC325D" w:rsidP="00911478">
      <w:pPr>
        <w:numPr>
          <w:ilvl w:val="0"/>
          <w:numId w:val="3"/>
        </w:numPr>
        <w:spacing w:before="240"/>
        <w:jc w:val="both"/>
        <w:rPr>
          <w:rFonts w:ascii="Book Antiqua" w:hAnsi="Book Antiqua" w:cs="Arial"/>
        </w:rPr>
      </w:pPr>
      <w:r>
        <w:rPr>
          <w:rFonts w:ascii="Book Antiqua" w:hAnsi="Book Antiqua" w:cs="Arial"/>
        </w:rPr>
        <w:t>I raised with both representatives whether the Judge had the power to allow the appeal under the Immigration Rules and both agreed that he did not. To this extent it was accepted there was an error in law but the material issue in this appeal would be whether there was an error in the article 8 assessment.</w:t>
      </w:r>
    </w:p>
    <w:p w:rsidR="00AC325D" w:rsidRPr="00AC325D" w:rsidRDefault="00AC325D" w:rsidP="00AC325D">
      <w:pPr>
        <w:spacing w:before="240"/>
        <w:ind w:left="567"/>
        <w:jc w:val="both"/>
        <w:rPr>
          <w:rFonts w:ascii="Book Antiqua" w:hAnsi="Book Antiqua" w:cs="Arial"/>
        </w:rPr>
      </w:pPr>
      <w:r>
        <w:rPr>
          <w:rFonts w:ascii="Book Antiqua" w:hAnsi="Book Antiqua" w:cs="Arial"/>
          <w:b/>
          <w:u w:val="single"/>
        </w:rPr>
        <w:t>Submissions</w:t>
      </w:r>
    </w:p>
    <w:p w:rsidR="001F51D4" w:rsidRDefault="00AC325D" w:rsidP="00911478">
      <w:pPr>
        <w:numPr>
          <w:ilvl w:val="0"/>
          <w:numId w:val="3"/>
        </w:numPr>
        <w:spacing w:before="240"/>
        <w:jc w:val="both"/>
        <w:rPr>
          <w:rFonts w:ascii="Book Antiqua" w:hAnsi="Book Antiqua" w:cs="Arial"/>
        </w:rPr>
      </w:pPr>
      <w:r>
        <w:rPr>
          <w:rFonts w:ascii="Book Antiqua" w:hAnsi="Book Antiqua" w:cs="Arial"/>
        </w:rPr>
        <w:t>Mr Bramble adopted the grounds of appeal that had been lodged by his colleague and invited the Tribunal to find there had been an error in law. In particular he submitted that the Judge had erred when finding insurmountable obstacles and in his assessment of the best interests of the children/grandchildren.</w:t>
      </w:r>
    </w:p>
    <w:p w:rsidR="00AC325D" w:rsidRDefault="00AC325D" w:rsidP="00911478">
      <w:pPr>
        <w:numPr>
          <w:ilvl w:val="0"/>
          <w:numId w:val="3"/>
        </w:numPr>
        <w:spacing w:before="240"/>
        <w:jc w:val="both"/>
        <w:rPr>
          <w:rFonts w:ascii="Book Antiqua" w:hAnsi="Book Antiqua" w:cs="Arial"/>
        </w:rPr>
      </w:pPr>
      <w:r>
        <w:rPr>
          <w:rFonts w:ascii="Book Antiqua" w:hAnsi="Book Antiqua" w:cs="Arial"/>
        </w:rPr>
        <w:t xml:space="preserve">Ms </w:t>
      </w:r>
      <w:proofErr w:type="spellStart"/>
      <w:r>
        <w:rPr>
          <w:rFonts w:ascii="Book Antiqua" w:hAnsi="Book Antiqua" w:cs="Arial"/>
        </w:rPr>
        <w:t>Revill</w:t>
      </w:r>
      <w:proofErr w:type="spellEnd"/>
      <w:r>
        <w:rPr>
          <w:rFonts w:ascii="Book Antiqua" w:hAnsi="Book Antiqua" w:cs="Arial"/>
        </w:rPr>
        <w:t xml:space="preserve"> relied on the rule 24 response that had been provided in this appeal and submitted that the Judge had reached a finding that had been open to him in relation to both insurmountable obstacles and the best interests of the children/grandchildren.</w:t>
      </w:r>
    </w:p>
    <w:p w:rsidR="00AC325D" w:rsidRPr="00AC325D" w:rsidRDefault="00AC325D" w:rsidP="00AC325D">
      <w:pPr>
        <w:spacing w:before="240"/>
        <w:ind w:left="567"/>
        <w:jc w:val="both"/>
        <w:rPr>
          <w:rFonts w:ascii="Book Antiqua" w:hAnsi="Book Antiqua" w:cs="Arial"/>
          <w:b/>
          <w:u w:val="single"/>
        </w:rPr>
      </w:pPr>
      <w:r>
        <w:rPr>
          <w:rFonts w:ascii="Book Antiqua" w:hAnsi="Book Antiqua" w:cs="Arial"/>
          <w:b/>
          <w:u w:val="single"/>
        </w:rPr>
        <w:t>Findings</w:t>
      </w:r>
    </w:p>
    <w:p w:rsidR="00AC325D" w:rsidRDefault="00AC325D" w:rsidP="00911478">
      <w:pPr>
        <w:numPr>
          <w:ilvl w:val="0"/>
          <w:numId w:val="3"/>
        </w:numPr>
        <w:spacing w:before="240"/>
        <w:jc w:val="both"/>
        <w:rPr>
          <w:rFonts w:ascii="Book Antiqua" w:hAnsi="Book Antiqua" w:cs="Arial"/>
        </w:rPr>
      </w:pPr>
      <w:r>
        <w:rPr>
          <w:rFonts w:ascii="Book Antiqua" w:hAnsi="Book Antiqua" w:cs="Arial"/>
        </w:rPr>
        <w:t>Permission to appeal had been granted because it was felt arguable that the Judge had misdirected himself when considering the evidence.</w:t>
      </w:r>
    </w:p>
    <w:p w:rsidR="00AC325D" w:rsidRDefault="00AC325D" w:rsidP="00911478">
      <w:pPr>
        <w:numPr>
          <w:ilvl w:val="0"/>
          <w:numId w:val="3"/>
        </w:numPr>
        <w:spacing w:before="240"/>
        <w:jc w:val="both"/>
        <w:rPr>
          <w:rFonts w:ascii="Book Antiqua" w:hAnsi="Book Antiqua" w:cs="Arial"/>
        </w:rPr>
      </w:pPr>
      <w:r>
        <w:rPr>
          <w:rFonts w:ascii="Book Antiqua" w:hAnsi="Book Antiqua" w:cs="Arial"/>
        </w:rPr>
        <w:t>It would be fair to say that in presenting his case to me, Mr Bramble did not seek to expand on any of the matters contained within the grounds of appeal and I find that was a sensible and realistic approach to take.</w:t>
      </w:r>
    </w:p>
    <w:p w:rsidR="00CE085A" w:rsidRDefault="00AC325D" w:rsidP="00911478">
      <w:pPr>
        <w:numPr>
          <w:ilvl w:val="0"/>
          <w:numId w:val="3"/>
        </w:numPr>
        <w:spacing w:before="240"/>
        <w:jc w:val="both"/>
        <w:rPr>
          <w:rFonts w:ascii="Book Antiqua" w:hAnsi="Book Antiqua" w:cs="Arial"/>
        </w:rPr>
      </w:pPr>
      <w:r>
        <w:rPr>
          <w:rFonts w:ascii="Book Antiqua" w:hAnsi="Book Antiqua" w:cs="Arial"/>
        </w:rPr>
        <w:t>The Judge</w:t>
      </w:r>
      <w:r w:rsidR="00CE085A">
        <w:rPr>
          <w:rFonts w:ascii="Book Antiqua" w:hAnsi="Book Antiqua" w:cs="Arial"/>
        </w:rPr>
        <w:t xml:space="preserve">, </w:t>
      </w:r>
      <w:r>
        <w:rPr>
          <w:rFonts w:ascii="Book Antiqua" w:hAnsi="Book Antiqua" w:cs="Arial"/>
        </w:rPr>
        <w:t>in a detailed decision</w:t>
      </w:r>
      <w:r w:rsidR="00CE085A">
        <w:rPr>
          <w:rFonts w:ascii="Book Antiqua" w:hAnsi="Book Antiqua" w:cs="Arial"/>
        </w:rPr>
        <w:t xml:space="preserve">, </w:t>
      </w:r>
      <w:r>
        <w:rPr>
          <w:rFonts w:ascii="Book Antiqua" w:hAnsi="Book Antiqua" w:cs="Arial"/>
        </w:rPr>
        <w:t xml:space="preserve">considered all aspects of the appellant’s appeal and took into account the fact there had been previous adverse Tribunal decisions against </w:t>
      </w:r>
      <w:r w:rsidR="00CE085A">
        <w:rPr>
          <w:rFonts w:ascii="Book Antiqua" w:hAnsi="Book Antiqua" w:cs="Arial"/>
        </w:rPr>
        <w:t xml:space="preserve">the </w:t>
      </w:r>
      <w:r>
        <w:rPr>
          <w:rFonts w:ascii="Book Antiqua" w:hAnsi="Book Antiqua" w:cs="Arial"/>
        </w:rPr>
        <w:t xml:space="preserve">appellant. </w:t>
      </w:r>
    </w:p>
    <w:p w:rsidR="00AC325D" w:rsidRDefault="00AC325D" w:rsidP="00911478">
      <w:pPr>
        <w:numPr>
          <w:ilvl w:val="0"/>
          <w:numId w:val="3"/>
        </w:numPr>
        <w:spacing w:before="240"/>
        <w:jc w:val="both"/>
        <w:rPr>
          <w:rFonts w:ascii="Book Antiqua" w:hAnsi="Book Antiqua" w:cs="Arial"/>
        </w:rPr>
      </w:pPr>
      <w:r>
        <w:rPr>
          <w:rFonts w:ascii="Book Antiqua" w:hAnsi="Book Antiqua" w:cs="Arial"/>
        </w:rPr>
        <w:lastRenderedPageBreak/>
        <w:t xml:space="preserve">The Judge explained in paragraph 38 of his decision why he felt able to depart from those decisions and identified new and additional evidence </w:t>
      </w:r>
      <w:r w:rsidR="00CE085A">
        <w:rPr>
          <w:rFonts w:ascii="Book Antiqua" w:hAnsi="Book Antiqua" w:cs="Arial"/>
        </w:rPr>
        <w:t xml:space="preserve">and case law </w:t>
      </w:r>
      <w:r>
        <w:rPr>
          <w:rFonts w:ascii="Book Antiqua" w:hAnsi="Book Antiqua" w:cs="Arial"/>
        </w:rPr>
        <w:t xml:space="preserve">that was not previously before </w:t>
      </w:r>
      <w:r w:rsidR="00CE085A">
        <w:rPr>
          <w:rFonts w:ascii="Book Antiqua" w:hAnsi="Book Antiqua" w:cs="Arial"/>
        </w:rPr>
        <w:t xml:space="preserve">the </w:t>
      </w:r>
      <w:r>
        <w:rPr>
          <w:rFonts w:ascii="Book Antiqua" w:hAnsi="Book Antiqua" w:cs="Arial"/>
        </w:rPr>
        <w:t>Tribunal.</w:t>
      </w:r>
    </w:p>
    <w:p w:rsidR="00CE085A" w:rsidRDefault="00AC325D" w:rsidP="00911478">
      <w:pPr>
        <w:numPr>
          <w:ilvl w:val="0"/>
          <w:numId w:val="3"/>
        </w:numPr>
        <w:spacing w:before="240"/>
        <w:jc w:val="both"/>
        <w:rPr>
          <w:rFonts w:ascii="Book Antiqua" w:hAnsi="Book Antiqua" w:cs="Arial"/>
        </w:rPr>
      </w:pPr>
      <w:r>
        <w:rPr>
          <w:rFonts w:ascii="Book Antiqua" w:hAnsi="Book Antiqua" w:cs="Arial"/>
        </w:rPr>
        <w:t xml:space="preserve">The Judge referred, at length, to decisions from the Supreme Court that were not before the original Tribunals and identified positive elements of the evidence that had changed since the matter had last been before the Tribunal. </w:t>
      </w:r>
    </w:p>
    <w:p w:rsidR="00AC325D" w:rsidRDefault="00AC325D" w:rsidP="00911478">
      <w:pPr>
        <w:numPr>
          <w:ilvl w:val="0"/>
          <w:numId w:val="3"/>
        </w:numPr>
        <w:spacing w:before="240"/>
        <w:jc w:val="both"/>
        <w:rPr>
          <w:rFonts w:ascii="Book Antiqua" w:hAnsi="Book Antiqua" w:cs="Arial"/>
        </w:rPr>
      </w:pPr>
      <w:r>
        <w:rPr>
          <w:rFonts w:ascii="Book Antiqua" w:hAnsi="Book Antiqua" w:cs="Arial"/>
        </w:rPr>
        <w:t xml:space="preserve">The Judge noted that the respondent accepted that Appendix FM </w:t>
      </w:r>
      <w:r w:rsidR="00CE085A">
        <w:rPr>
          <w:rFonts w:ascii="Book Antiqua" w:hAnsi="Book Antiqua" w:cs="Arial"/>
        </w:rPr>
        <w:t xml:space="preserve">of the Immigration Rules </w:t>
      </w:r>
      <w:r>
        <w:rPr>
          <w:rFonts w:ascii="Book Antiqua" w:hAnsi="Book Antiqua" w:cs="Arial"/>
        </w:rPr>
        <w:t>should be considered by the respondent and the Judge considered, as he should, whether the appellant satisfied the requirements of section EX.1 of Appendix FM of the Immigration Rules</w:t>
      </w:r>
      <w:r w:rsidR="00CE085A">
        <w:rPr>
          <w:rFonts w:ascii="Book Antiqua" w:hAnsi="Book Antiqua" w:cs="Arial"/>
        </w:rPr>
        <w:t xml:space="preserve">. He concluded </w:t>
      </w:r>
      <w:r>
        <w:rPr>
          <w:rFonts w:ascii="Book Antiqua" w:hAnsi="Book Antiqua" w:cs="Arial"/>
        </w:rPr>
        <w:t>there would be insurmountable obstacles</w:t>
      </w:r>
      <w:r w:rsidR="00CE085A">
        <w:rPr>
          <w:rFonts w:ascii="Book Antiqua" w:hAnsi="Book Antiqua" w:cs="Arial"/>
        </w:rPr>
        <w:t xml:space="preserve"> and then went on</w:t>
      </w:r>
      <w:r>
        <w:rPr>
          <w:rFonts w:ascii="Book Antiqua" w:hAnsi="Book Antiqua" w:cs="Arial"/>
        </w:rPr>
        <w:t xml:space="preserve"> to give reasons why he had reached this conclusion in paragraph 42 of his decision.</w:t>
      </w:r>
    </w:p>
    <w:p w:rsidR="00AC325D" w:rsidRDefault="00AC325D" w:rsidP="00911478">
      <w:pPr>
        <w:numPr>
          <w:ilvl w:val="0"/>
          <w:numId w:val="3"/>
        </w:numPr>
        <w:spacing w:before="240"/>
        <w:jc w:val="both"/>
        <w:rPr>
          <w:rFonts w:ascii="Book Antiqua" w:hAnsi="Book Antiqua" w:cs="Arial"/>
        </w:rPr>
      </w:pPr>
      <w:r>
        <w:rPr>
          <w:rFonts w:ascii="Book Antiqua" w:hAnsi="Book Antiqua" w:cs="Arial"/>
        </w:rPr>
        <w:t>The Judge went on to find</w:t>
      </w:r>
      <w:r w:rsidR="00CE085A">
        <w:rPr>
          <w:rFonts w:ascii="Book Antiqua" w:hAnsi="Book Antiqua" w:cs="Arial"/>
        </w:rPr>
        <w:t xml:space="preserve">, </w:t>
      </w:r>
      <w:r>
        <w:rPr>
          <w:rFonts w:ascii="Book Antiqua" w:hAnsi="Book Antiqua" w:cs="Arial"/>
        </w:rPr>
        <w:t>when considering the appeal under article 8 ECHR</w:t>
      </w:r>
      <w:r w:rsidR="00CE085A">
        <w:rPr>
          <w:rFonts w:ascii="Book Antiqua" w:hAnsi="Book Antiqua" w:cs="Arial"/>
        </w:rPr>
        <w:t xml:space="preserve">, </w:t>
      </w:r>
      <w:r>
        <w:rPr>
          <w:rFonts w:ascii="Book Antiqua" w:hAnsi="Book Antiqua" w:cs="Arial"/>
        </w:rPr>
        <w:t>that there would be a disproportionate</w:t>
      </w:r>
      <w:r w:rsidR="00C57E1E">
        <w:rPr>
          <w:rFonts w:ascii="Book Antiqua" w:hAnsi="Book Antiqua" w:cs="Arial"/>
        </w:rPr>
        <w:t xml:space="preserve"> interference with the appellant’s family and private life. The Judge gave detailed reasons in paragraphs 43, 44, 45 and 47 why he formed these views.</w:t>
      </w:r>
    </w:p>
    <w:p w:rsidR="00C57E1E" w:rsidRDefault="00C57E1E" w:rsidP="00911478">
      <w:pPr>
        <w:numPr>
          <w:ilvl w:val="0"/>
          <w:numId w:val="3"/>
        </w:numPr>
        <w:spacing w:before="240"/>
        <w:jc w:val="both"/>
        <w:rPr>
          <w:rFonts w:ascii="Book Antiqua" w:hAnsi="Book Antiqua" w:cs="Arial"/>
        </w:rPr>
      </w:pPr>
      <w:r>
        <w:rPr>
          <w:rFonts w:ascii="Book Antiqua" w:hAnsi="Book Antiqua" w:cs="Arial"/>
        </w:rPr>
        <w:t>All of the</w:t>
      </w:r>
      <w:r w:rsidR="00CE085A">
        <w:rPr>
          <w:rFonts w:ascii="Book Antiqua" w:hAnsi="Book Antiqua" w:cs="Arial"/>
        </w:rPr>
        <w:t>se</w:t>
      </w:r>
      <w:r>
        <w:rPr>
          <w:rFonts w:ascii="Book Antiqua" w:hAnsi="Book Antiqua" w:cs="Arial"/>
        </w:rPr>
        <w:t xml:space="preserve"> findings were open to the Judge and the grounds of appeal against the article 8 decision amount</w:t>
      </w:r>
      <w:r w:rsidR="00CE085A">
        <w:rPr>
          <w:rFonts w:ascii="Book Antiqua" w:hAnsi="Book Antiqua" w:cs="Arial"/>
        </w:rPr>
        <w:t>s</w:t>
      </w:r>
      <w:r>
        <w:rPr>
          <w:rFonts w:ascii="Book Antiqua" w:hAnsi="Book Antiqua" w:cs="Arial"/>
        </w:rPr>
        <w:t xml:space="preserve"> to nothing more than a disagreement with those findings. I therefore uphold the decision under article 8 ECHR.</w:t>
      </w:r>
    </w:p>
    <w:p w:rsidR="00C57E1E" w:rsidRPr="00CE085A" w:rsidRDefault="00C57E1E" w:rsidP="00CE085A">
      <w:pPr>
        <w:numPr>
          <w:ilvl w:val="0"/>
          <w:numId w:val="3"/>
        </w:numPr>
        <w:spacing w:before="240"/>
        <w:jc w:val="both"/>
        <w:rPr>
          <w:rFonts w:ascii="Book Antiqua" w:hAnsi="Book Antiqua" w:cs="Arial"/>
        </w:rPr>
      </w:pPr>
      <w:r>
        <w:rPr>
          <w:rFonts w:ascii="Book Antiqua" w:hAnsi="Book Antiqua" w:cs="Arial"/>
        </w:rPr>
        <w:t xml:space="preserve">The Judge </w:t>
      </w:r>
      <w:r w:rsidR="00CE085A">
        <w:rPr>
          <w:rFonts w:ascii="Book Antiqua" w:hAnsi="Book Antiqua" w:cs="Arial"/>
        </w:rPr>
        <w:t xml:space="preserve">had </w:t>
      </w:r>
      <w:r>
        <w:rPr>
          <w:rFonts w:ascii="Book Antiqua" w:hAnsi="Book Antiqua" w:cs="Arial"/>
        </w:rPr>
        <w:t xml:space="preserve">allowed the appeal under the Immigration Rules and this is an </w:t>
      </w:r>
      <w:r w:rsidR="00CE085A">
        <w:rPr>
          <w:rFonts w:ascii="Book Antiqua" w:hAnsi="Book Antiqua" w:cs="Arial"/>
        </w:rPr>
        <w:t>error</w:t>
      </w:r>
      <w:r>
        <w:rPr>
          <w:rFonts w:ascii="Book Antiqua" w:hAnsi="Book Antiqua" w:cs="Arial"/>
        </w:rPr>
        <w:t xml:space="preserve">. This appeal is governed by the Immigration Act 2014 and there </w:t>
      </w:r>
      <w:r w:rsidR="00CE085A">
        <w:rPr>
          <w:rFonts w:ascii="Book Antiqua" w:hAnsi="Book Antiqua" w:cs="Arial"/>
        </w:rPr>
        <w:t>wa</w:t>
      </w:r>
      <w:r>
        <w:rPr>
          <w:rFonts w:ascii="Book Antiqua" w:hAnsi="Book Antiqua" w:cs="Arial"/>
        </w:rPr>
        <w:t xml:space="preserve">s no power to allow </w:t>
      </w:r>
      <w:r w:rsidR="00CE085A">
        <w:rPr>
          <w:rFonts w:ascii="Book Antiqua" w:hAnsi="Book Antiqua" w:cs="Arial"/>
        </w:rPr>
        <w:t xml:space="preserve">the </w:t>
      </w:r>
      <w:r>
        <w:rPr>
          <w:rFonts w:ascii="Book Antiqua" w:hAnsi="Book Antiqua" w:cs="Arial"/>
        </w:rPr>
        <w:t xml:space="preserve">appeal under the Immigration Rules. To this extent </w:t>
      </w:r>
      <w:r w:rsidR="00CE085A">
        <w:rPr>
          <w:rFonts w:ascii="Book Antiqua" w:hAnsi="Book Antiqua" w:cs="Arial"/>
        </w:rPr>
        <w:t xml:space="preserve">only </w:t>
      </w:r>
      <w:r>
        <w:rPr>
          <w:rFonts w:ascii="Book Antiqua" w:hAnsi="Book Antiqua" w:cs="Arial"/>
        </w:rPr>
        <w:t xml:space="preserve">I find an error in law </w:t>
      </w:r>
      <w:r w:rsidR="00CE085A">
        <w:rPr>
          <w:rFonts w:ascii="Book Antiqua" w:hAnsi="Book Antiqua" w:cs="Arial"/>
        </w:rPr>
        <w:t xml:space="preserve">and </w:t>
      </w:r>
      <w:r>
        <w:rPr>
          <w:rFonts w:ascii="Book Antiqua" w:hAnsi="Book Antiqua" w:cs="Arial"/>
        </w:rPr>
        <w:t>I set aside that aspect of the decision only.</w:t>
      </w:r>
      <w:r w:rsidR="00CE085A">
        <w:rPr>
          <w:rFonts w:ascii="Book Antiqua" w:hAnsi="Book Antiqua" w:cs="Arial"/>
        </w:rPr>
        <w:t xml:space="preserve"> </w:t>
      </w:r>
      <w:r w:rsidRPr="00CE085A">
        <w:rPr>
          <w:rFonts w:ascii="Book Antiqua" w:hAnsi="Book Antiqua" w:cs="Arial"/>
        </w:rPr>
        <w:t>This does not affect the article 8 decision.</w:t>
      </w:r>
    </w:p>
    <w:p w:rsidR="009C37C7" w:rsidRPr="009C37C7" w:rsidRDefault="00483687" w:rsidP="009C37C7">
      <w:pPr>
        <w:spacing w:before="240"/>
        <w:ind w:left="567"/>
        <w:jc w:val="both"/>
        <w:rPr>
          <w:rFonts w:ascii="Book Antiqua" w:hAnsi="Book Antiqua" w:cs="Arial"/>
          <w:b/>
          <w:u w:val="single"/>
        </w:rPr>
      </w:pPr>
      <w:r>
        <w:rPr>
          <w:rFonts w:ascii="Book Antiqua" w:hAnsi="Book Antiqua" w:cs="Arial"/>
          <w:b/>
          <w:u w:val="single"/>
        </w:rPr>
        <w:t>D</w:t>
      </w:r>
      <w:r w:rsidR="009C37C7" w:rsidRPr="009C37C7">
        <w:rPr>
          <w:rFonts w:ascii="Book Antiqua" w:hAnsi="Book Antiqua" w:cs="Arial"/>
          <w:b/>
          <w:u w:val="single"/>
        </w:rPr>
        <w:t xml:space="preserve">ECISION </w:t>
      </w:r>
    </w:p>
    <w:p w:rsidR="00864126" w:rsidRDefault="009C37C7" w:rsidP="000369F5">
      <w:pPr>
        <w:numPr>
          <w:ilvl w:val="0"/>
          <w:numId w:val="3"/>
        </w:numPr>
        <w:spacing w:before="240"/>
        <w:jc w:val="both"/>
        <w:rPr>
          <w:rFonts w:ascii="Book Antiqua" w:hAnsi="Book Antiqua" w:cs="Arial"/>
        </w:rPr>
      </w:pPr>
      <w:r>
        <w:rPr>
          <w:rFonts w:ascii="Book Antiqua" w:hAnsi="Book Antiqua" w:cs="Arial"/>
        </w:rPr>
        <w:t>The making of the decision of the First-tier Tribunal did involve the making of an error on a point of law</w:t>
      </w:r>
      <w:r w:rsidR="00C57E1E">
        <w:rPr>
          <w:rFonts w:ascii="Book Antiqua" w:hAnsi="Book Antiqua" w:cs="Arial"/>
        </w:rPr>
        <w:t xml:space="preserve"> to the extent that the Judge erred in allowing the appeal under the Immigration Rules. To that extent only I set that part of the decision aside.</w:t>
      </w:r>
    </w:p>
    <w:p w:rsidR="00C57E1E" w:rsidRDefault="00C57E1E" w:rsidP="000369F5">
      <w:pPr>
        <w:numPr>
          <w:ilvl w:val="0"/>
          <w:numId w:val="3"/>
        </w:numPr>
        <w:spacing w:before="240"/>
        <w:jc w:val="both"/>
        <w:rPr>
          <w:rFonts w:ascii="Book Antiqua" w:hAnsi="Book Antiqua" w:cs="Arial"/>
        </w:rPr>
      </w:pPr>
      <w:r>
        <w:rPr>
          <w:rFonts w:ascii="Book Antiqua" w:hAnsi="Book Antiqua" w:cs="Arial"/>
        </w:rPr>
        <w:t>In all other respects (article 8 decision) I uphold the Judge’s decision.</w:t>
      </w:r>
    </w:p>
    <w:p w:rsidR="00C57E1E" w:rsidRPr="00482654" w:rsidRDefault="00C57E1E" w:rsidP="00C57E1E">
      <w:pPr>
        <w:spacing w:before="240"/>
        <w:ind w:left="567"/>
        <w:jc w:val="both"/>
        <w:rPr>
          <w:rFonts w:ascii="Book Antiqua" w:hAnsi="Book Antiqua" w:cs="Arial"/>
        </w:rPr>
      </w:pPr>
    </w:p>
    <w:p w:rsidR="00864126" w:rsidRPr="00F5664C" w:rsidRDefault="00864126" w:rsidP="00864126">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1311AC">
        <w:rPr>
          <w:rFonts w:ascii="Book Antiqua" w:hAnsi="Book Antiqua" w:cs="Arial"/>
        </w:rPr>
        <w:t xml:space="preserve"> </w:t>
      </w:r>
      <w:r w:rsidR="00482654">
        <w:rPr>
          <w:rFonts w:ascii="Book Antiqua" w:hAnsi="Book Antiqua" w:cs="Arial"/>
        </w:rPr>
        <w:t>June 15</w:t>
      </w:r>
      <w:r w:rsidR="001311AC">
        <w:rPr>
          <w:rFonts w:ascii="Book Antiqua" w:hAnsi="Book Antiqua" w:cs="Arial"/>
        </w:rPr>
        <w:t>, 2018</w:t>
      </w:r>
    </w:p>
    <w:p w:rsidR="00864126" w:rsidRDefault="00864126" w:rsidP="00864126">
      <w:pPr>
        <w:tabs>
          <w:tab w:val="left" w:pos="2520"/>
        </w:tabs>
        <w:jc w:val="both"/>
        <w:rPr>
          <w:rFonts w:ascii="Book Antiqua" w:hAnsi="Book Antiqua" w:cs="Arial"/>
        </w:rPr>
      </w:pPr>
    </w:p>
    <w:p w:rsidR="00F90160" w:rsidRDefault="00951C90" w:rsidP="00864126">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extent cx="1040765" cy="56959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0765" cy="569595"/>
                    </a:xfrm>
                    <a:prstGeom prst="rect">
                      <a:avLst/>
                    </a:prstGeom>
                    <a:noFill/>
                    <a:ln>
                      <a:noFill/>
                    </a:ln>
                  </pic:spPr>
                </pic:pic>
              </a:graphicData>
            </a:graphic>
          </wp:inline>
        </w:drawing>
      </w:r>
    </w:p>
    <w:p w:rsidR="002D5431" w:rsidRDefault="00864126" w:rsidP="001558E1">
      <w:pPr>
        <w:tabs>
          <w:tab w:val="left" w:pos="2520"/>
        </w:tabs>
        <w:jc w:val="both"/>
        <w:rPr>
          <w:rFonts w:ascii="Book Antiqua" w:hAnsi="Book Antiqua" w:cs="Arial"/>
        </w:rPr>
      </w:pPr>
      <w:r>
        <w:rPr>
          <w:rFonts w:ascii="Book Antiqua" w:hAnsi="Book Antiqua" w:cs="Arial"/>
        </w:rPr>
        <w:t xml:space="preserve">Deputy Upper Tribunal </w:t>
      </w:r>
      <w:r w:rsidR="00F90160">
        <w:rPr>
          <w:rFonts w:ascii="Book Antiqua" w:hAnsi="Book Antiqua" w:cs="Arial"/>
        </w:rPr>
        <w:t>Judge</w:t>
      </w:r>
      <w:r w:rsidRPr="00F5664C">
        <w:rPr>
          <w:rFonts w:ascii="Book Antiqua" w:hAnsi="Book Antiqua" w:cs="Arial"/>
        </w:rPr>
        <w:t xml:space="preserve"> </w:t>
      </w:r>
      <w:r w:rsidR="00376F8F">
        <w:rPr>
          <w:rFonts w:ascii="Book Antiqua" w:hAnsi="Book Antiqua" w:cs="Arial"/>
        </w:rPr>
        <w:t>Alis</w:t>
      </w:r>
    </w:p>
    <w:p w:rsidR="00482654" w:rsidRDefault="00482654" w:rsidP="001558E1">
      <w:pPr>
        <w:tabs>
          <w:tab w:val="left" w:pos="2520"/>
        </w:tabs>
        <w:jc w:val="both"/>
        <w:rPr>
          <w:rFonts w:ascii="Book Antiqua" w:hAnsi="Book Antiqua" w:cs="Arial"/>
        </w:rPr>
      </w:pPr>
    </w:p>
    <w:p w:rsidR="00C57E1E" w:rsidRDefault="00C57E1E" w:rsidP="001558E1">
      <w:pPr>
        <w:tabs>
          <w:tab w:val="left" w:pos="2520"/>
        </w:tabs>
        <w:jc w:val="both"/>
        <w:rPr>
          <w:rFonts w:ascii="Book Antiqua" w:hAnsi="Book Antiqua" w:cs="Arial"/>
          <w:b/>
          <w:u w:val="single"/>
        </w:rPr>
      </w:pPr>
    </w:p>
    <w:p w:rsidR="00516531" w:rsidRDefault="00516531" w:rsidP="001558E1">
      <w:pPr>
        <w:tabs>
          <w:tab w:val="left" w:pos="2520"/>
        </w:tabs>
        <w:jc w:val="both"/>
        <w:rPr>
          <w:rFonts w:ascii="Book Antiqua" w:hAnsi="Book Antiqua" w:cs="Arial"/>
          <w:b/>
          <w:u w:val="single"/>
        </w:rPr>
      </w:pPr>
    </w:p>
    <w:p w:rsidR="00516531" w:rsidRDefault="00516531" w:rsidP="001558E1">
      <w:pPr>
        <w:tabs>
          <w:tab w:val="left" w:pos="2520"/>
        </w:tabs>
        <w:jc w:val="both"/>
        <w:rPr>
          <w:rFonts w:ascii="Book Antiqua" w:hAnsi="Book Antiqua" w:cs="Arial"/>
          <w:b/>
          <w:u w:val="single"/>
        </w:rPr>
      </w:pPr>
    </w:p>
    <w:p w:rsidR="00C57E1E" w:rsidRDefault="00C57E1E" w:rsidP="001558E1">
      <w:pPr>
        <w:tabs>
          <w:tab w:val="left" w:pos="2520"/>
        </w:tabs>
        <w:jc w:val="both"/>
        <w:rPr>
          <w:rFonts w:ascii="Book Antiqua" w:hAnsi="Book Antiqua" w:cs="Arial"/>
          <w:b/>
          <w:u w:val="single"/>
        </w:rPr>
      </w:pPr>
    </w:p>
    <w:p w:rsidR="00482654" w:rsidRDefault="00482654" w:rsidP="001558E1">
      <w:pPr>
        <w:tabs>
          <w:tab w:val="left" w:pos="2520"/>
        </w:tabs>
        <w:jc w:val="both"/>
        <w:rPr>
          <w:rFonts w:ascii="Book Antiqua" w:hAnsi="Book Antiqua" w:cs="Arial"/>
          <w:b/>
          <w:u w:val="single"/>
        </w:rPr>
      </w:pPr>
      <w:r>
        <w:rPr>
          <w:rFonts w:ascii="Book Antiqua" w:hAnsi="Book Antiqua" w:cs="Arial"/>
          <w:b/>
          <w:u w:val="single"/>
        </w:rPr>
        <w:t>TO THE RESPONDENT</w:t>
      </w:r>
    </w:p>
    <w:p w:rsidR="00482654" w:rsidRDefault="00482654" w:rsidP="001558E1">
      <w:pPr>
        <w:tabs>
          <w:tab w:val="left" w:pos="2520"/>
        </w:tabs>
        <w:jc w:val="both"/>
        <w:rPr>
          <w:rFonts w:ascii="Book Antiqua" w:hAnsi="Book Antiqua" w:cs="Arial"/>
        </w:rPr>
      </w:pPr>
      <w:r>
        <w:rPr>
          <w:rFonts w:ascii="Book Antiqua" w:hAnsi="Book Antiqua" w:cs="Arial"/>
          <w:b/>
          <w:u w:val="single"/>
        </w:rPr>
        <w:t>FEE AWARD</w:t>
      </w:r>
    </w:p>
    <w:p w:rsidR="00482654" w:rsidRDefault="00482654" w:rsidP="001558E1">
      <w:pPr>
        <w:tabs>
          <w:tab w:val="left" w:pos="2520"/>
        </w:tabs>
        <w:jc w:val="both"/>
        <w:rPr>
          <w:rFonts w:ascii="Book Antiqua" w:hAnsi="Book Antiqua" w:cs="Arial"/>
        </w:rPr>
      </w:pPr>
    </w:p>
    <w:p w:rsidR="00482654" w:rsidRDefault="00C57E1E" w:rsidP="001558E1">
      <w:pPr>
        <w:tabs>
          <w:tab w:val="left" w:pos="2520"/>
        </w:tabs>
        <w:jc w:val="both"/>
        <w:rPr>
          <w:rFonts w:ascii="Book Antiqua" w:hAnsi="Book Antiqua" w:cs="Arial"/>
        </w:rPr>
      </w:pPr>
      <w:r>
        <w:rPr>
          <w:rFonts w:ascii="Book Antiqua" w:hAnsi="Book Antiqua" w:cs="Arial"/>
        </w:rPr>
        <w:t xml:space="preserve">The fee award previously made is upheld. </w:t>
      </w:r>
    </w:p>
    <w:p w:rsidR="00482654" w:rsidRDefault="00482654" w:rsidP="001558E1">
      <w:pPr>
        <w:tabs>
          <w:tab w:val="left" w:pos="2520"/>
        </w:tabs>
        <w:jc w:val="both"/>
        <w:rPr>
          <w:rFonts w:ascii="Book Antiqua" w:hAnsi="Book Antiqua" w:cs="Arial"/>
        </w:rPr>
      </w:pPr>
    </w:p>
    <w:p w:rsidR="00482654" w:rsidRDefault="00482654" w:rsidP="001558E1">
      <w:pPr>
        <w:tabs>
          <w:tab w:val="left" w:pos="2520"/>
        </w:tabs>
        <w:jc w:val="both"/>
        <w:rPr>
          <w:rFonts w:ascii="Book Antiqua" w:hAnsi="Book Antiqua" w:cs="Arial"/>
        </w:rPr>
      </w:pPr>
    </w:p>
    <w:p w:rsidR="00482654" w:rsidRPr="00F5664C" w:rsidRDefault="00482654" w:rsidP="00482654">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xml:space="preserve"> June 15, 2018</w:t>
      </w:r>
    </w:p>
    <w:p w:rsidR="00482654" w:rsidRDefault="00482654" w:rsidP="00482654">
      <w:pPr>
        <w:tabs>
          <w:tab w:val="left" w:pos="2520"/>
        </w:tabs>
        <w:jc w:val="both"/>
        <w:rPr>
          <w:rFonts w:ascii="Book Antiqua" w:hAnsi="Book Antiqua" w:cs="Arial"/>
        </w:rPr>
      </w:pPr>
    </w:p>
    <w:p w:rsidR="00482654" w:rsidRDefault="00951C90" w:rsidP="00482654">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extent cx="1040765" cy="56959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0765" cy="569595"/>
                    </a:xfrm>
                    <a:prstGeom prst="rect">
                      <a:avLst/>
                    </a:prstGeom>
                    <a:noFill/>
                    <a:ln>
                      <a:noFill/>
                    </a:ln>
                  </pic:spPr>
                </pic:pic>
              </a:graphicData>
            </a:graphic>
          </wp:inline>
        </w:drawing>
      </w:r>
    </w:p>
    <w:p w:rsidR="00482654" w:rsidRPr="00482654" w:rsidRDefault="00482654" w:rsidP="00482654">
      <w:pPr>
        <w:tabs>
          <w:tab w:val="left" w:pos="2520"/>
        </w:tabs>
        <w:jc w:val="both"/>
        <w:rPr>
          <w:rFonts w:ascii="Book Antiqua" w:hAnsi="Book Antiqua" w:cs="Arial"/>
        </w:rPr>
      </w:pPr>
      <w:r>
        <w:rPr>
          <w:rFonts w:ascii="Book Antiqua" w:hAnsi="Book Antiqua" w:cs="Arial"/>
        </w:rPr>
        <w:t>Deputy Upper Tribunal Judge</w:t>
      </w:r>
      <w:r w:rsidRPr="00F5664C">
        <w:rPr>
          <w:rFonts w:ascii="Book Antiqua" w:hAnsi="Book Antiqua" w:cs="Arial"/>
        </w:rPr>
        <w:t xml:space="preserve"> </w:t>
      </w:r>
      <w:r>
        <w:rPr>
          <w:rFonts w:ascii="Book Antiqua" w:hAnsi="Book Antiqua" w:cs="Arial"/>
        </w:rPr>
        <w:t>Alis</w:t>
      </w:r>
    </w:p>
    <w:sectPr w:rsidR="00482654" w:rsidRPr="00482654"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5FC9" w:rsidRDefault="00E85FC9">
      <w:r>
        <w:separator/>
      </w:r>
    </w:p>
  </w:endnote>
  <w:endnote w:type="continuationSeparator" w:id="0">
    <w:p w:rsidR="00E85FC9" w:rsidRDefault="00E85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66C" w:rsidRPr="00F5664C" w:rsidRDefault="005C666C"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EB6E92">
      <w:rPr>
        <w:rStyle w:val="PageNumber"/>
        <w:rFonts w:ascii="Book Antiqua" w:hAnsi="Book Antiqua" w:cs="Arial"/>
        <w:noProof/>
        <w:sz w:val="16"/>
        <w:szCs w:val="16"/>
      </w:rPr>
      <w:t>4</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66C" w:rsidRPr="00F5664C" w:rsidRDefault="005C666C"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5FC9" w:rsidRDefault="00E85FC9">
      <w:r>
        <w:separator/>
      </w:r>
    </w:p>
  </w:footnote>
  <w:footnote w:type="continuationSeparator" w:id="0">
    <w:p w:rsidR="00E85FC9" w:rsidRDefault="00E85F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66C" w:rsidRPr="00D97AF0" w:rsidRDefault="005C666C"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E21D96">
      <w:rPr>
        <w:rFonts w:ascii="Book Antiqua" w:hAnsi="Book Antiqua" w:cs="Arial"/>
        <w:sz w:val="16"/>
        <w:szCs w:val="16"/>
      </w:rPr>
      <w:t>HU</w:t>
    </w:r>
    <w:r w:rsidRPr="00D97AF0">
      <w:rPr>
        <w:rFonts w:ascii="Book Antiqua" w:hAnsi="Book Antiqua" w:cs="Arial"/>
        <w:sz w:val="16"/>
        <w:szCs w:val="16"/>
      </w:rPr>
      <w:t>/</w:t>
    </w:r>
    <w:r w:rsidR="00E21D96">
      <w:rPr>
        <w:rFonts w:ascii="Book Antiqua" w:hAnsi="Book Antiqua" w:cs="Arial"/>
        <w:sz w:val="16"/>
        <w:szCs w:val="16"/>
      </w:rPr>
      <w:t>11633</w:t>
    </w:r>
    <w:r>
      <w:rPr>
        <w:rFonts w:ascii="Book Antiqua" w:hAnsi="Book Antiqua" w:cs="Arial"/>
        <w:sz w:val="16"/>
        <w:szCs w:val="16"/>
      </w:rPr>
      <w:t>/201</w:t>
    </w:r>
    <w:r w:rsidR="00B862EE">
      <w:rPr>
        <w:rFonts w:ascii="Book Antiqua" w:hAnsi="Book Antiqua" w:cs="Arial"/>
        <w:sz w:val="16"/>
        <w:szCs w:val="16"/>
      </w:rPr>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66C" w:rsidRPr="00F5664C" w:rsidRDefault="005C666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20B57A8"/>
    <w:multiLevelType w:val="hybridMultilevel"/>
    <w:tmpl w:val="3EC095F8"/>
    <w:lvl w:ilvl="0" w:tplc="075C8F8A">
      <w:start w:val="1"/>
      <w:numFmt w:val="lowerLetter"/>
      <w:lvlText w:val="%1."/>
      <w:lvlJc w:val="left"/>
      <w:pPr>
        <w:tabs>
          <w:tab w:val="num" w:pos="1440"/>
        </w:tabs>
        <w:ind w:left="1440" w:hanging="360"/>
      </w:pPr>
      <w:rPr>
        <w:rFonts w:ascii="Book Antiqua" w:hAnsi="Book Antiqua" w:cs="Courier New"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D60EB8"/>
    <w:multiLevelType w:val="multilevel"/>
    <w:tmpl w:val="D4962E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89D01D5"/>
    <w:multiLevelType w:val="hybridMultilevel"/>
    <w:tmpl w:val="776857A4"/>
    <w:lvl w:ilvl="0" w:tplc="B9EE77DA">
      <w:start w:val="1"/>
      <w:numFmt w:val="decimal"/>
      <w:lvlText w:val="%1."/>
      <w:lvlJc w:val="left"/>
      <w:pPr>
        <w:ind w:left="920" w:hanging="5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3701132"/>
    <w:multiLevelType w:val="hybridMultilevel"/>
    <w:tmpl w:val="1474205C"/>
    <w:lvl w:ilvl="0" w:tplc="B0DC6B62">
      <w:start w:val="1"/>
      <w:numFmt w:val="decimal"/>
      <w:lvlText w:val="%1."/>
      <w:lvlJc w:val="left"/>
      <w:pPr>
        <w:ind w:left="720" w:hanging="360"/>
      </w:pPr>
      <w:rPr>
        <w:rFonts w:hint="default"/>
        <w:b w:val="0"/>
        <w:strike w:val="0"/>
        <w:color w:val="auto"/>
        <w:sz w:val="24"/>
        <w:szCs w:val="24"/>
        <w:u w:val="none"/>
      </w:rPr>
    </w:lvl>
    <w:lvl w:ilvl="1" w:tplc="004820D2">
      <w:start w:val="1"/>
      <w:numFmt w:val="lowerRoman"/>
      <w:lvlText w:val="%2."/>
      <w:lvlJc w:val="left"/>
      <w:pPr>
        <w:tabs>
          <w:tab w:val="num" w:pos="1440"/>
        </w:tabs>
        <w:ind w:left="1440" w:hanging="360"/>
      </w:pPr>
      <w:rPr>
        <w:rFonts w:ascii="Book Antiqua" w:hAnsi="Book Antiqua" w:cs="Courier New" w:hint="default"/>
        <w:b w:val="0"/>
        <w:bCs w:val="0"/>
        <w:color w:val="auto"/>
        <w:sz w:val="24"/>
        <w:szCs w:val="24"/>
      </w:rPr>
    </w:lvl>
    <w:lvl w:ilvl="2" w:tplc="08090017">
      <w:start w:val="1"/>
      <w:numFmt w:val="lowerLetter"/>
      <w:lvlText w:val="%3)"/>
      <w:lvlJc w:val="left"/>
      <w:pPr>
        <w:tabs>
          <w:tab w:val="num" w:pos="2340"/>
        </w:tabs>
        <w:ind w:left="2340" w:hanging="360"/>
      </w:pPr>
      <w:rPr>
        <w:rFonts w:hint="default"/>
        <w:b w:val="0"/>
        <w:strike w:val="0"/>
        <w:color w:val="auto"/>
        <w:sz w:val="24"/>
        <w:szCs w:val="24"/>
        <w:u w:val="none"/>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16"/>
  </w:num>
  <w:num w:numId="3">
    <w:abstractNumId w:val="3"/>
  </w:num>
  <w:num w:numId="4">
    <w:abstractNumId w:val="13"/>
  </w:num>
  <w:num w:numId="5">
    <w:abstractNumId w:val="22"/>
  </w:num>
  <w:num w:numId="6">
    <w:abstractNumId w:val="14"/>
  </w:num>
  <w:num w:numId="7">
    <w:abstractNumId w:val="21"/>
  </w:num>
  <w:num w:numId="8">
    <w:abstractNumId w:val="10"/>
  </w:num>
  <w:num w:numId="9">
    <w:abstractNumId w:val="8"/>
  </w:num>
  <w:num w:numId="10">
    <w:abstractNumId w:val="19"/>
  </w:num>
  <w:num w:numId="11">
    <w:abstractNumId w:val="18"/>
  </w:num>
  <w:num w:numId="12">
    <w:abstractNumId w:val="1"/>
  </w:num>
  <w:num w:numId="13">
    <w:abstractNumId w:val="17"/>
  </w:num>
  <w:num w:numId="14">
    <w:abstractNumId w:val="0"/>
  </w:num>
  <w:num w:numId="15">
    <w:abstractNumId w:val="5"/>
  </w:num>
  <w:num w:numId="16">
    <w:abstractNumId w:val="7"/>
  </w:num>
  <w:num w:numId="17">
    <w:abstractNumId w:val="15"/>
  </w:num>
  <w:num w:numId="18">
    <w:abstractNumId w:val="11"/>
  </w:num>
  <w:num w:numId="19">
    <w:abstractNumId w:val="12"/>
  </w:num>
  <w:num w:numId="20">
    <w:abstractNumId w:val="20"/>
  </w:num>
  <w:num w:numId="21">
    <w:abstractNumId w:val="4"/>
  </w:num>
  <w:num w:numId="22">
    <w:abstractNumId w:val="9"/>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6F1D512A-EFBB-4493-88F8-8AF1A0E39DD6}"/>
    <w:docVar w:name="dgnword-eventsink" w:val="2230790859008"/>
  </w:docVars>
  <w:rsids>
    <w:rsidRoot w:val="00A25C94"/>
    <w:rsid w:val="00000412"/>
    <w:rsid w:val="00000621"/>
    <w:rsid w:val="000036C2"/>
    <w:rsid w:val="0000577C"/>
    <w:rsid w:val="0000778D"/>
    <w:rsid w:val="00033D3D"/>
    <w:rsid w:val="000369F5"/>
    <w:rsid w:val="00060A81"/>
    <w:rsid w:val="00071A7E"/>
    <w:rsid w:val="000746C0"/>
    <w:rsid w:val="00074D1D"/>
    <w:rsid w:val="00087037"/>
    <w:rsid w:val="00087B4B"/>
    <w:rsid w:val="00092580"/>
    <w:rsid w:val="00095513"/>
    <w:rsid w:val="000A32A2"/>
    <w:rsid w:val="000D257C"/>
    <w:rsid w:val="000D5D94"/>
    <w:rsid w:val="000E483B"/>
    <w:rsid w:val="00106A5E"/>
    <w:rsid w:val="001165A7"/>
    <w:rsid w:val="001311AC"/>
    <w:rsid w:val="0014289A"/>
    <w:rsid w:val="00151BB7"/>
    <w:rsid w:val="001526DB"/>
    <w:rsid w:val="001558E1"/>
    <w:rsid w:val="001655EA"/>
    <w:rsid w:val="00167D3A"/>
    <w:rsid w:val="00186F53"/>
    <w:rsid w:val="00197BB7"/>
    <w:rsid w:val="001A1E2C"/>
    <w:rsid w:val="001A2421"/>
    <w:rsid w:val="001B67F3"/>
    <w:rsid w:val="001C1452"/>
    <w:rsid w:val="001E12F7"/>
    <w:rsid w:val="001F2716"/>
    <w:rsid w:val="001F4596"/>
    <w:rsid w:val="001F4C3C"/>
    <w:rsid w:val="001F51D4"/>
    <w:rsid w:val="0020133A"/>
    <w:rsid w:val="002015AA"/>
    <w:rsid w:val="00201C81"/>
    <w:rsid w:val="00207617"/>
    <w:rsid w:val="00254D56"/>
    <w:rsid w:val="0027148D"/>
    <w:rsid w:val="00274A62"/>
    <w:rsid w:val="00283659"/>
    <w:rsid w:val="00284E94"/>
    <w:rsid w:val="002865D5"/>
    <w:rsid w:val="00291D5E"/>
    <w:rsid w:val="002A16FD"/>
    <w:rsid w:val="002A1EC1"/>
    <w:rsid w:val="002A2720"/>
    <w:rsid w:val="002A2AFF"/>
    <w:rsid w:val="002A5F30"/>
    <w:rsid w:val="002B3060"/>
    <w:rsid w:val="002B46AE"/>
    <w:rsid w:val="002C4E73"/>
    <w:rsid w:val="002D5431"/>
    <w:rsid w:val="002D68BF"/>
    <w:rsid w:val="002F05A0"/>
    <w:rsid w:val="00305FBC"/>
    <w:rsid w:val="0033030E"/>
    <w:rsid w:val="00334945"/>
    <w:rsid w:val="0033509F"/>
    <w:rsid w:val="00336CBF"/>
    <w:rsid w:val="00337EBB"/>
    <w:rsid w:val="00343030"/>
    <w:rsid w:val="0034604E"/>
    <w:rsid w:val="003546C8"/>
    <w:rsid w:val="0035753A"/>
    <w:rsid w:val="00364F67"/>
    <w:rsid w:val="003756EF"/>
    <w:rsid w:val="00376F8F"/>
    <w:rsid w:val="00392D87"/>
    <w:rsid w:val="00394D6C"/>
    <w:rsid w:val="003A5739"/>
    <w:rsid w:val="003A7CF2"/>
    <w:rsid w:val="003B669C"/>
    <w:rsid w:val="003B7242"/>
    <w:rsid w:val="003C0DF3"/>
    <w:rsid w:val="003C0FE8"/>
    <w:rsid w:val="003C5CE5"/>
    <w:rsid w:val="003D3D7D"/>
    <w:rsid w:val="003E267B"/>
    <w:rsid w:val="003E36BE"/>
    <w:rsid w:val="003E4B44"/>
    <w:rsid w:val="003E7CD1"/>
    <w:rsid w:val="00402B9E"/>
    <w:rsid w:val="00423932"/>
    <w:rsid w:val="004249CB"/>
    <w:rsid w:val="0044127D"/>
    <w:rsid w:val="00442A49"/>
    <w:rsid w:val="004448DB"/>
    <w:rsid w:val="00446C9A"/>
    <w:rsid w:val="00456521"/>
    <w:rsid w:val="00465231"/>
    <w:rsid w:val="0047406C"/>
    <w:rsid w:val="00477193"/>
    <w:rsid w:val="00482654"/>
    <w:rsid w:val="00483687"/>
    <w:rsid w:val="004852B5"/>
    <w:rsid w:val="0048547A"/>
    <w:rsid w:val="00490CFA"/>
    <w:rsid w:val="00496B62"/>
    <w:rsid w:val="004A0EB5"/>
    <w:rsid w:val="004A1848"/>
    <w:rsid w:val="004B7003"/>
    <w:rsid w:val="004B7270"/>
    <w:rsid w:val="004D0B09"/>
    <w:rsid w:val="004D25FF"/>
    <w:rsid w:val="004D65C0"/>
    <w:rsid w:val="004F2B90"/>
    <w:rsid w:val="004F5B34"/>
    <w:rsid w:val="00502F93"/>
    <w:rsid w:val="00507FEC"/>
    <w:rsid w:val="00510F0E"/>
    <w:rsid w:val="005121D1"/>
    <w:rsid w:val="00516531"/>
    <w:rsid w:val="00516E48"/>
    <w:rsid w:val="005414DE"/>
    <w:rsid w:val="00541C31"/>
    <w:rsid w:val="00541D19"/>
    <w:rsid w:val="005479E1"/>
    <w:rsid w:val="00551B31"/>
    <w:rsid w:val="005570FD"/>
    <w:rsid w:val="005575EA"/>
    <w:rsid w:val="005640E3"/>
    <w:rsid w:val="00564626"/>
    <w:rsid w:val="00564C2A"/>
    <w:rsid w:val="00573DD5"/>
    <w:rsid w:val="0057790C"/>
    <w:rsid w:val="00593795"/>
    <w:rsid w:val="00593C19"/>
    <w:rsid w:val="005952A8"/>
    <w:rsid w:val="00597BA8"/>
    <w:rsid w:val="005A28B9"/>
    <w:rsid w:val="005A75FF"/>
    <w:rsid w:val="005B4942"/>
    <w:rsid w:val="005B7789"/>
    <w:rsid w:val="005C3A83"/>
    <w:rsid w:val="005C666C"/>
    <w:rsid w:val="00601895"/>
    <w:rsid w:val="006059EF"/>
    <w:rsid w:val="00622725"/>
    <w:rsid w:val="00640E14"/>
    <w:rsid w:val="00641A27"/>
    <w:rsid w:val="0064774D"/>
    <w:rsid w:val="0065791C"/>
    <w:rsid w:val="00660394"/>
    <w:rsid w:val="006679AF"/>
    <w:rsid w:val="00677176"/>
    <w:rsid w:val="00690A43"/>
    <w:rsid w:val="00690B8A"/>
    <w:rsid w:val="006A206A"/>
    <w:rsid w:val="006A5EDB"/>
    <w:rsid w:val="006D1DFA"/>
    <w:rsid w:val="006D506B"/>
    <w:rsid w:val="006D5949"/>
    <w:rsid w:val="006D6384"/>
    <w:rsid w:val="006D79F6"/>
    <w:rsid w:val="006E3C90"/>
    <w:rsid w:val="006E40CB"/>
    <w:rsid w:val="006E6873"/>
    <w:rsid w:val="006F08DA"/>
    <w:rsid w:val="00704B61"/>
    <w:rsid w:val="00705827"/>
    <w:rsid w:val="007164CA"/>
    <w:rsid w:val="00722B7F"/>
    <w:rsid w:val="00732E1B"/>
    <w:rsid w:val="00736900"/>
    <w:rsid w:val="00736EFD"/>
    <w:rsid w:val="007418C8"/>
    <w:rsid w:val="00742A8D"/>
    <w:rsid w:val="00744B61"/>
    <w:rsid w:val="00747412"/>
    <w:rsid w:val="0075191E"/>
    <w:rsid w:val="00753A55"/>
    <w:rsid w:val="00753F5F"/>
    <w:rsid w:val="007552A9"/>
    <w:rsid w:val="00761858"/>
    <w:rsid w:val="007630B5"/>
    <w:rsid w:val="007637F4"/>
    <w:rsid w:val="00767D59"/>
    <w:rsid w:val="00774A81"/>
    <w:rsid w:val="00776E97"/>
    <w:rsid w:val="00780FD7"/>
    <w:rsid w:val="00784869"/>
    <w:rsid w:val="007912AD"/>
    <w:rsid w:val="007A1F28"/>
    <w:rsid w:val="007B0824"/>
    <w:rsid w:val="007B0892"/>
    <w:rsid w:val="007C0EB5"/>
    <w:rsid w:val="007D39B9"/>
    <w:rsid w:val="008064B9"/>
    <w:rsid w:val="0081272A"/>
    <w:rsid w:val="008303B8"/>
    <w:rsid w:val="00833DCE"/>
    <w:rsid w:val="00836A93"/>
    <w:rsid w:val="00841581"/>
    <w:rsid w:val="00842418"/>
    <w:rsid w:val="008534A4"/>
    <w:rsid w:val="00864126"/>
    <w:rsid w:val="0086492E"/>
    <w:rsid w:val="0087166E"/>
    <w:rsid w:val="00871D34"/>
    <w:rsid w:val="00894F69"/>
    <w:rsid w:val="008A5F40"/>
    <w:rsid w:val="008B270C"/>
    <w:rsid w:val="008C3D3D"/>
    <w:rsid w:val="008D4131"/>
    <w:rsid w:val="008E65DE"/>
    <w:rsid w:val="008F1932"/>
    <w:rsid w:val="008F294D"/>
    <w:rsid w:val="00911478"/>
    <w:rsid w:val="00916A58"/>
    <w:rsid w:val="00921062"/>
    <w:rsid w:val="0093083E"/>
    <w:rsid w:val="009451FF"/>
    <w:rsid w:val="009503A2"/>
    <w:rsid w:val="00951C90"/>
    <w:rsid w:val="009553DD"/>
    <w:rsid w:val="00955B0E"/>
    <w:rsid w:val="00966B05"/>
    <w:rsid w:val="00966ECF"/>
    <w:rsid w:val="009727A3"/>
    <w:rsid w:val="00974D37"/>
    <w:rsid w:val="009820F9"/>
    <w:rsid w:val="00987774"/>
    <w:rsid w:val="009936D5"/>
    <w:rsid w:val="009A11E8"/>
    <w:rsid w:val="009A43A1"/>
    <w:rsid w:val="009B659E"/>
    <w:rsid w:val="009C2F51"/>
    <w:rsid w:val="009C37C7"/>
    <w:rsid w:val="009C5D3A"/>
    <w:rsid w:val="009D1549"/>
    <w:rsid w:val="009E4E62"/>
    <w:rsid w:val="009F5220"/>
    <w:rsid w:val="009F7C4D"/>
    <w:rsid w:val="00A01A21"/>
    <w:rsid w:val="00A10608"/>
    <w:rsid w:val="00A15234"/>
    <w:rsid w:val="00A17E24"/>
    <w:rsid w:val="00A201AB"/>
    <w:rsid w:val="00A25C94"/>
    <w:rsid w:val="00A31C8B"/>
    <w:rsid w:val="00A54733"/>
    <w:rsid w:val="00A8150E"/>
    <w:rsid w:val="00A842B8"/>
    <w:rsid w:val="00A845DC"/>
    <w:rsid w:val="00A97AEE"/>
    <w:rsid w:val="00AA4472"/>
    <w:rsid w:val="00AB3C99"/>
    <w:rsid w:val="00AB4CC5"/>
    <w:rsid w:val="00AC325D"/>
    <w:rsid w:val="00AC5CF6"/>
    <w:rsid w:val="00AC7862"/>
    <w:rsid w:val="00AD217D"/>
    <w:rsid w:val="00B144FA"/>
    <w:rsid w:val="00B16F58"/>
    <w:rsid w:val="00B21A7C"/>
    <w:rsid w:val="00B225A0"/>
    <w:rsid w:val="00B30648"/>
    <w:rsid w:val="00B322F4"/>
    <w:rsid w:val="00B3524D"/>
    <w:rsid w:val="00B40F69"/>
    <w:rsid w:val="00B41E09"/>
    <w:rsid w:val="00B46616"/>
    <w:rsid w:val="00B54032"/>
    <w:rsid w:val="00B57A65"/>
    <w:rsid w:val="00B60E41"/>
    <w:rsid w:val="00B610E3"/>
    <w:rsid w:val="00B61205"/>
    <w:rsid w:val="00B617C4"/>
    <w:rsid w:val="00B626FA"/>
    <w:rsid w:val="00B62B27"/>
    <w:rsid w:val="00B631AF"/>
    <w:rsid w:val="00B66D87"/>
    <w:rsid w:val="00B7040A"/>
    <w:rsid w:val="00B729E6"/>
    <w:rsid w:val="00B746A1"/>
    <w:rsid w:val="00B76C2C"/>
    <w:rsid w:val="00B76EBC"/>
    <w:rsid w:val="00B808A4"/>
    <w:rsid w:val="00B8090A"/>
    <w:rsid w:val="00B85B91"/>
    <w:rsid w:val="00B862EE"/>
    <w:rsid w:val="00B947BF"/>
    <w:rsid w:val="00B96FA0"/>
    <w:rsid w:val="00BA35A4"/>
    <w:rsid w:val="00BA39E9"/>
    <w:rsid w:val="00BB2AA8"/>
    <w:rsid w:val="00BB2C7C"/>
    <w:rsid w:val="00BC0238"/>
    <w:rsid w:val="00BC68C0"/>
    <w:rsid w:val="00BD3817"/>
    <w:rsid w:val="00BD4196"/>
    <w:rsid w:val="00BD651E"/>
    <w:rsid w:val="00BE2210"/>
    <w:rsid w:val="00BE4FE1"/>
    <w:rsid w:val="00BE57DB"/>
    <w:rsid w:val="00BF22CA"/>
    <w:rsid w:val="00C139A6"/>
    <w:rsid w:val="00C26032"/>
    <w:rsid w:val="00C265B0"/>
    <w:rsid w:val="00C321B5"/>
    <w:rsid w:val="00C345E1"/>
    <w:rsid w:val="00C37D67"/>
    <w:rsid w:val="00C42C62"/>
    <w:rsid w:val="00C5263A"/>
    <w:rsid w:val="00C54587"/>
    <w:rsid w:val="00C5652A"/>
    <w:rsid w:val="00C57E1E"/>
    <w:rsid w:val="00C672E4"/>
    <w:rsid w:val="00C74D85"/>
    <w:rsid w:val="00C80361"/>
    <w:rsid w:val="00C8281B"/>
    <w:rsid w:val="00C9551E"/>
    <w:rsid w:val="00C977BA"/>
    <w:rsid w:val="00CA5339"/>
    <w:rsid w:val="00CB6E35"/>
    <w:rsid w:val="00CD4902"/>
    <w:rsid w:val="00CD4A69"/>
    <w:rsid w:val="00CD761B"/>
    <w:rsid w:val="00CE085A"/>
    <w:rsid w:val="00CE1A46"/>
    <w:rsid w:val="00CF253F"/>
    <w:rsid w:val="00CF4FCD"/>
    <w:rsid w:val="00CF56B4"/>
    <w:rsid w:val="00CF7E22"/>
    <w:rsid w:val="00D010E2"/>
    <w:rsid w:val="00D07487"/>
    <w:rsid w:val="00D14A15"/>
    <w:rsid w:val="00D20F09"/>
    <w:rsid w:val="00D22636"/>
    <w:rsid w:val="00D24AD7"/>
    <w:rsid w:val="00D27EC6"/>
    <w:rsid w:val="00D40FD9"/>
    <w:rsid w:val="00D42256"/>
    <w:rsid w:val="00D44088"/>
    <w:rsid w:val="00D53769"/>
    <w:rsid w:val="00D637C9"/>
    <w:rsid w:val="00D67604"/>
    <w:rsid w:val="00D73572"/>
    <w:rsid w:val="00D74CFD"/>
    <w:rsid w:val="00D85C13"/>
    <w:rsid w:val="00D91BE3"/>
    <w:rsid w:val="00D94AFC"/>
    <w:rsid w:val="00D97AF0"/>
    <w:rsid w:val="00DA3B27"/>
    <w:rsid w:val="00DB70AE"/>
    <w:rsid w:val="00DB7231"/>
    <w:rsid w:val="00DC3BB3"/>
    <w:rsid w:val="00DC7975"/>
    <w:rsid w:val="00DD07FC"/>
    <w:rsid w:val="00DD5071"/>
    <w:rsid w:val="00DD5C39"/>
    <w:rsid w:val="00DE26AF"/>
    <w:rsid w:val="00DE714E"/>
    <w:rsid w:val="00DE7DB7"/>
    <w:rsid w:val="00DF612A"/>
    <w:rsid w:val="00E00A0A"/>
    <w:rsid w:val="00E07601"/>
    <w:rsid w:val="00E07F57"/>
    <w:rsid w:val="00E21D96"/>
    <w:rsid w:val="00E352ED"/>
    <w:rsid w:val="00E4586A"/>
    <w:rsid w:val="00E50456"/>
    <w:rsid w:val="00E50BCE"/>
    <w:rsid w:val="00E61292"/>
    <w:rsid w:val="00E649A1"/>
    <w:rsid w:val="00E76309"/>
    <w:rsid w:val="00E77C4D"/>
    <w:rsid w:val="00E81D01"/>
    <w:rsid w:val="00E82D7A"/>
    <w:rsid w:val="00E85FC9"/>
    <w:rsid w:val="00E90C08"/>
    <w:rsid w:val="00EA0F11"/>
    <w:rsid w:val="00EA4F85"/>
    <w:rsid w:val="00EB62BE"/>
    <w:rsid w:val="00EB6E92"/>
    <w:rsid w:val="00EC7BD3"/>
    <w:rsid w:val="00ED48D9"/>
    <w:rsid w:val="00EE1BF0"/>
    <w:rsid w:val="00EE3508"/>
    <w:rsid w:val="00EE45D8"/>
    <w:rsid w:val="00EF63DD"/>
    <w:rsid w:val="00F004CD"/>
    <w:rsid w:val="00F12507"/>
    <w:rsid w:val="00F22EDA"/>
    <w:rsid w:val="00F26555"/>
    <w:rsid w:val="00F3224D"/>
    <w:rsid w:val="00F33E0E"/>
    <w:rsid w:val="00F3723B"/>
    <w:rsid w:val="00F42F8D"/>
    <w:rsid w:val="00F472AE"/>
    <w:rsid w:val="00F5664C"/>
    <w:rsid w:val="00F64613"/>
    <w:rsid w:val="00F72B81"/>
    <w:rsid w:val="00F77A3E"/>
    <w:rsid w:val="00F77EEB"/>
    <w:rsid w:val="00F86626"/>
    <w:rsid w:val="00F90160"/>
    <w:rsid w:val="00F9182B"/>
    <w:rsid w:val="00F94876"/>
    <w:rsid w:val="00FA069B"/>
    <w:rsid w:val="00FA49A9"/>
    <w:rsid w:val="00FB050B"/>
    <w:rsid w:val="00FB7E80"/>
    <w:rsid w:val="00FE0AC6"/>
    <w:rsid w:val="00FF4BA6"/>
    <w:rsid w:val="00FF57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4AA921E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6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paragraph" w:styleId="Heading2">
    <w:name w:val="heading 2"/>
    <w:basedOn w:val="Normal"/>
    <w:link w:val="Heading2Char"/>
    <w:uiPriority w:val="9"/>
    <w:qFormat/>
    <w:rsid w:val="007B089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customStyle="1" w:styleId="Heading2Char">
    <w:name w:val="Heading 2 Char"/>
    <w:link w:val="Heading2"/>
    <w:uiPriority w:val="9"/>
    <w:rsid w:val="007B0892"/>
    <w:rPr>
      <w:b/>
      <w:bCs/>
      <w:sz w:val="36"/>
      <w:szCs w:val="36"/>
    </w:rPr>
  </w:style>
  <w:style w:type="character" w:styleId="Emphasis">
    <w:name w:val="Emphasis"/>
    <w:uiPriority w:val="20"/>
    <w:qFormat/>
    <w:rsid w:val="002A1EC1"/>
    <w:rPr>
      <w:i/>
      <w:iCs/>
    </w:rPr>
  </w:style>
  <w:style w:type="paragraph" w:styleId="ListParagraph">
    <w:name w:val="List Paragraph"/>
    <w:basedOn w:val="Normal"/>
    <w:uiPriority w:val="63"/>
    <w:qFormat/>
    <w:rsid w:val="002A16FD"/>
    <w:pPr>
      <w:ind w:left="720"/>
    </w:pPr>
  </w:style>
  <w:style w:type="character" w:styleId="Strong">
    <w:name w:val="Strong"/>
    <w:qFormat/>
    <w:rsid w:val="002A16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2571">
      <w:bodyDiv w:val="1"/>
      <w:marLeft w:val="0"/>
      <w:marRight w:val="0"/>
      <w:marTop w:val="0"/>
      <w:marBottom w:val="0"/>
      <w:divBdr>
        <w:top w:val="none" w:sz="0" w:space="0" w:color="auto"/>
        <w:left w:val="none" w:sz="0" w:space="0" w:color="auto"/>
        <w:bottom w:val="none" w:sz="0" w:space="0" w:color="auto"/>
        <w:right w:val="none" w:sz="0" w:space="0" w:color="auto"/>
      </w:divBdr>
      <w:divsChild>
        <w:div w:id="1429887523">
          <w:marLeft w:val="0"/>
          <w:marRight w:val="0"/>
          <w:marTop w:val="0"/>
          <w:marBottom w:val="225"/>
          <w:divBdr>
            <w:top w:val="none" w:sz="0" w:space="0" w:color="auto"/>
            <w:left w:val="none" w:sz="0" w:space="0" w:color="auto"/>
            <w:bottom w:val="none" w:sz="0" w:space="0" w:color="auto"/>
            <w:right w:val="none" w:sz="0" w:space="0" w:color="auto"/>
          </w:divBdr>
        </w:div>
      </w:divsChild>
    </w:div>
    <w:div w:id="174224379">
      <w:bodyDiv w:val="1"/>
      <w:marLeft w:val="0"/>
      <w:marRight w:val="0"/>
      <w:marTop w:val="0"/>
      <w:marBottom w:val="0"/>
      <w:divBdr>
        <w:top w:val="none" w:sz="0" w:space="0" w:color="auto"/>
        <w:left w:val="none" w:sz="0" w:space="0" w:color="auto"/>
        <w:bottom w:val="none" w:sz="0" w:space="0" w:color="auto"/>
        <w:right w:val="none" w:sz="0" w:space="0" w:color="auto"/>
      </w:divBdr>
    </w:div>
    <w:div w:id="435752350">
      <w:bodyDiv w:val="1"/>
      <w:marLeft w:val="0"/>
      <w:marRight w:val="0"/>
      <w:marTop w:val="0"/>
      <w:marBottom w:val="0"/>
      <w:divBdr>
        <w:top w:val="none" w:sz="0" w:space="0" w:color="auto"/>
        <w:left w:val="none" w:sz="0" w:space="0" w:color="auto"/>
        <w:bottom w:val="none" w:sz="0" w:space="0" w:color="auto"/>
        <w:right w:val="none" w:sz="0" w:space="0" w:color="auto"/>
      </w:divBdr>
    </w:div>
    <w:div w:id="788940031">
      <w:bodyDiv w:val="1"/>
      <w:marLeft w:val="0"/>
      <w:marRight w:val="0"/>
      <w:marTop w:val="0"/>
      <w:marBottom w:val="0"/>
      <w:divBdr>
        <w:top w:val="none" w:sz="0" w:space="0" w:color="auto"/>
        <w:left w:val="none" w:sz="0" w:space="0" w:color="auto"/>
        <w:bottom w:val="none" w:sz="0" w:space="0" w:color="auto"/>
        <w:right w:val="none" w:sz="0" w:space="0" w:color="auto"/>
      </w:divBdr>
    </w:div>
    <w:div w:id="1130783560">
      <w:bodyDiv w:val="1"/>
      <w:marLeft w:val="0"/>
      <w:marRight w:val="0"/>
      <w:marTop w:val="0"/>
      <w:marBottom w:val="0"/>
      <w:divBdr>
        <w:top w:val="none" w:sz="0" w:space="0" w:color="auto"/>
        <w:left w:val="none" w:sz="0" w:space="0" w:color="auto"/>
        <w:bottom w:val="none" w:sz="0" w:space="0" w:color="auto"/>
        <w:right w:val="none" w:sz="0" w:space="0" w:color="auto"/>
      </w:divBdr>
      <w:divsChild>
        <w:div w:id="101214773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972</Words>
  <Characters>4734</Characters>
  <Application>Microsoft Office Word</Application>
  <DocSecurity>0</DocSecurity>
  <Lines>39</Lines>
  <Paragraphs>11</Paragraphs>
  <ScaleCrop>false</ScaleCrop>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2018-07-13T13:14:00Z</dcterms:created>
  <dcterms:modified xsi:type="dcterms:W3CDTF">2018-07-13T13:14:00Z</dcterms:modified>
</cp:coreProperties>
</file>