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D2414" w:rsidP="00C321B5">
      <w:pPr>
        <w:jc w:val="center"/>
        <w:rPr>
          <w:rFonts w:ascii="Book Antiqua" w:hAnsi="Book Antiqua" w:cs="Arial"/>
          <w:sz w:val="16"/>
          <w:szCs w:val="16"/>
        </w:rPr>
      </w:pPr>
      <w:r w:rsidRPr="00A0571B">
        <w:rPr>
          <w:noProof/>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124D20"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124D20">
        <w:rPr>
          <w:rFonts w:ascii="Book Antiqua" w:hAnsi="Book Antiqua" w:cs="Arial"/>
          <w:b/>
        </w:rPr>
        <w:t xml:space="preserve">   </w:t>
      </w:r>
      <w:proofErr w:type="gramEnd"/>
      <w:r w:rsidR="00124D20">
        <w:rPr>
          <w:rFonts w:ascii="Book Antiqua" w:hAnsi="Book Antiqua" w:cs="Arial"/>
          <w:b/>
        </w:rPr>
        <w:t xml:space="preserve">                    </w:t>
      </w:r>
      <w:r w:rsidR="00B3524D" w:rsidRPr="00124D20">
        <w:rPr>
          <w:rFonts w:ascii="Book Antiqua" w:hAnsi="Book Antiqua" w:cs="Arial"/>
          <w:b/>
        </w:rPr>
        <w:t>Appeal Number</w:t>
      </w:r>
      <w:r w:rsidR="00D53769" w:rsidRPr="00124D20">
        <w:rPr>
          <w:rFonts w:ascii="Book Antiqua" w:hAnsi="Book Antiqua" w:cs="Arial"/>
          <w:b/>
        </w:rPr>
        <w:t>:</w:t>
      </w:r>
      <w:r w:rsidR="00B3524D" w:rsidRPr="00124D20">
        <w:rPr>
          <w:rFonts w:ascii="Book Antiqua" w:hAnsi="Book Antiqua" w:cs="Arial"/>
          <w:b/>
        </w:rPr>
        <w:t xml:space="preserve"> </w:t>
      </w:r>
      <w:r w:rsidR="00530854" w:rsidRPr="00124D20">
        <w:rPr>
          <w:rFonts w:ascii="Book Antiqua" w:hAnsi="Book Antiqua" w:cs="Arial"/>
          <w:b/>
          <w:caps/>
        </w:rPr>
        <w:t>HU/11671/2017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53574" w:rsidTr="00124D20">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530854">
              <w:rPr>
                <w:rFonts w:ascii="Book Antiqua" w:hAnsi="Book Antiqua" w:cs="Arial"/>
                <w:b/>
              </w:rPr>
              <w:t>Field House</w:t>
            </w:r>
          </w:p>
        </w:tc>
        <w:tc>
          <w:tcPr>
            <w:tcW w:w="4763"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124D20">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530854">
              <w:rPr>
                <w:rFonts w:ascii="Book Antiqua" w:hAnsi="Book Antiqua" w:cs="Arial"/>
                <w:b/>
              </w:rPr>
              <w:t>4</w:t>
            </w:r>
            <w:r w:rsidR="00530854" w:rsidRPr="00530854">
              <w:rPr>
                <w:rFonts w:ascii="Book Antiqua" w:hAnsi="Book Antiqua" w:cs="Arial"/>
                <w:b/>
                <w:vertAlign w:val="superscript"/>
              </w:rPr>
              <w:t>th</w:t>
            </w:r>
            <w:r w:rsidR="00530854">
              <w:rPr>
                <w:rFonts w:ascii="Book Antiqua" w:hAnsi="Book Antiqua" w:cs="Arial"/>
                <w:b/>
              </w:rPr>
              <w:t xml:space="preserve"> January 2019</w:t>
            </w:r>
          </w:p>
        </w:tc>
        <w:tc>
          <w:tcPr>
            <w:tcW w:w="4763" w:type="dxa"/>
            <w:shd w:val="clear" w:color="auto" w:fill="auto"/>
          </w:tcPr>
          <w:p w:rsidR="00D22636" w:rsidRPr="00F53574" w:rsidRDefault="00DF5678" w:rsidP="00F53574">
            <w:pPr>
              <w:jc w:val="both"/>
              <w:rPr>
                <w:rFonts w:ascii="Book Antiqua" w:hAnsi="Book Antiqua" w:cs="Arial"/>
                <w:b/>
              </w:rPr>
            </w:pPr>
            <w:r>
              <w:rPr>
                <w:rFonts w:ascii="Book Antiqua" w:hAnsi="Book Antiqua" w:cs="Arial"/>
                <w:b/>
              </w:rPr>
              <w:t>On 1</w:t>
            </w:r>
            <w:r w:rsidRPr="00DF5678">
              <w:rPr>
                <w:rFonts w:ascii="Book Antiqua" w:hAnsi="Book Antiqua" w:cs="Arial"/>
                <w:b/>
                <w:vertAlign w:val="superscript"/>
              </w:rPr>
              <w:t>st</w:t>
            </w:r>
            <w:r>
              <w:rPr>
                <w:rFonts w:ascii="Book Antiqua" w:hAnsi="Book Antiqua" w:cs="Arial"/>
                <w:b/>
              </w:rPr>
              <w:t xml:space="preserve"> February 2019</w:t>
            </w:r>
          </w:p>
        </w:tc>
      </w:tr>
      <w:tr w:rsidR="00D22636" w:rsidRPr="00F53574" w:rsidTr="00124D20">
        <w:tc>
          <w:tcPr>
            <w:tcW w:w="5245" w:type="dxa"/>
            <w:shd w:val="clear" w:color="auto" w:fill="auto"/>
          </w:tcPr>
          <w:p w:rsidR="00D22636" w:rsidRPr="00F53574" w:rsidRDefault="00D22636" w:rsidP="00F53574">
            <w:pPr>
              <w:jc w:val="both"/>
              <w:rPr>
                <w:rFonts w:ascii="Book Antiqua" w:hAnsi="Book Antiqua" w:cs="Arial"/>
                <w:b/>
              </w:rPr>
            </w:pPr>
          </w:p>
        </w:tc>
        <w:tc>
          <w:tcPr>
            <w:tcW w:w="4763"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615E76">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1A1E2C" w:rsidRPr="00F5664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615E76" w:rsidP="00742A8D">
      <w:pPr>
        <w:jc w:val="center"/>
        <w:rPr>
          <w:rFonts w:ascii="Book Antiqua" w:hAnsi="Book Antiqua" w:cs="Arial"/>
          <w:b/>
          <w:caps/>
        </w:rPr>
      </w:pPr>
      <w:r>
        <w:rPr>
          <w:rFonts w:ascii="Book Antiqua" w:hAnsi="Book Antiqua" w:cs="Arial"/>
          <w:b/>
          <w:caps/>
        </w:rPr>
        <w:t>Mr PETER ASANTE</w:t>
      </w:r>
    </w:p>
    <w:p w:rsidR="009F518E" w:rsidRPr="00124D20" w:rsidRDefault="009F518E" w:rsidP="009F518E">
      <w:pPr>
        <w:jc w:val="center"/>
        <w:rPr>
          <w:rFonts w:ascii="Book Antiqua" w:hAnsi="Book Antiqua" w:cs="Arial"/>
          <w:caps/>
        </w:rPr>
      </w:pPr>
      <w:r w:rsidRPr="00124D20">
        <w:rPr>
          <w:rFonts w:ascii="Book Antiqua" w:hAnsi="Book Antiqua" w:cs="Arial"/>
          <w:caps/>
        </w:rPr>
        <w:t xml:space="preserve">(ANONYMITY </w:t>
      </w:r>
      <w:r w:rsidR="00016A4C" w:rsidRPr="00124D20">
        <w:rPr>
          <w:rFonts w:ascii="Book Antiqua" w:hAnsi="Book Antiqua" w:cs="Arial"/>
          <w:caps/>
        </w:rPr>
        <w:t>direction</w:t>
      </w:r>
      <w:r w:rsidRPr="00124D20">
        <w:rPr>
          <w:rFonts w:ascii="Book Antiqua" w:hAnsi="Book Antiqua" w:cs="Arial"/>
          <w:caps/>
        </w:rPr>
        <w:t xml:space="preserve"> </w:t>
      </w:r>
      <w:r w:rsidR="00615E76" w:rsidRPr="00124D20">
        <w:rPr>
          <w:rFonts w:ascii="Book Antiqua" w:hAnsi="Book Antiqua" w:cs="Arial"/>
          <w:caps/>
        </w:rPr>
        <w:t>NOT MADE</w:t>
      </w:r>
      <w:r w:rsidRPr="00124D20">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124D20" w:rsidRPr="00F5664C" w:rsidRDefault="00124D20"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15E76">
        <w:rPr>
          <w:rFonts w:ascii="Book Antiqua" w:hAnsi="Book Antiqua" w:cs="Arial"/>
        </w:rPr>
        <w:t>Mr J Dhanji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15E76">
        <w:rPr>
          <w:rFonts w:ascii="Book Antiqua" w:hAnsi="Book Antiqua" w:cs="Arial"/>
        </w:rPr>
        <w:t>Mr S Walker (Senior HOPO)</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615E76" w:rsidRDefault="00615E76" w:rsidP="00B52A42">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Young-Harry, promulgated on 5</w:t>
      </w:r>
      <w:r w:rsidRPr="00615E76">
        <w:rPr>
          <w:rFonts w:ascii="Book Antiqua" w:hAnsi="Book Antiqua" w:cs="Arial"/>
          <w:vertAlign w:val="superscript"/>
        </w:rPr>
        <w:t>th</w:t>
      </w:r>
      <w:r>
        <w:rPr>
          <w:rFonts w:ascii="Book Antiqua" w:hAnsi="Book Antiqua" w:cs="Arial"/>
        </w:rPr>
        <w:t xml:space="preserve"> July 2018, following a hearing at Birmingham on 30</w:t>
      </w:r>
      <w:r w:rsidRPr="00615E76">
        <w:rPr>
          <w:rFonts w:ascii="Book Antiqua" w:hAnsi="Book Antiqua" w:cs="Arial"/>
          <w:vertAlign w:val="superscript"/>
        </w:rPr>
        <w:t>th</w:t>
      </w:r>
      <w:r>
        <w:rPr>
          <w:rFonts w:ascii="Book Antiqua" w:hAnsi="Book Antiqua" w:cs="Arial"/>
        </w:rPr>
        <w:t xml:space="preserve"> April 2018.  In the determination, the judge dismissed the appeal of the Appellant, whereupon the Appellant subsequently applied</w:t>
      </w:r>
      <w:r w:rsidR="00B31956">
        <w:rPr>
          <w:rFonts w:ascii="Book Antiqua" w:hAnsi="Book Antiqua" w:cs="Arial"/>
        </w:rPr>
        <w:t xml:space="preserve"> for</w:t>
      </w:r>
      <w:r>
        <w:rPr>
          <w:rFonts w:ascii="Book Antiqua" w:hAnsi="Book Antiqua" w:cs="Arial"/>
        </w:rPr>
        <w:t>, and was granted, permission to appeal to the Upper Tribunal, and thus the matter comes before me.</w:t>
      </w:r>
    </w:p>
    <w:p w:rsidR="00615E76" w:rsidRPr="00615E76" w:rsidRDefault="00615E76" w:rsidP="00615E76">
      <w:pPr>
        <w:spacing w:before="240"/>
        <w:jc w:val="both"/>
        <w:rPr>
          <w:rFonts w:ascii="Book Antiqua" w:hAnsi="Book Antiqua" w:cs="Arial"/>
          <w:b/>
          <w:u w:val="single"/>
        </w:rPr>
      </w:pPr>
      <w:r>
        <w:rPr>
          <w:rFonts w:ascii="Book Antiqua" w:hAnsi="Book Antiqua" w:cs="Arial"/>
          <w:b/>
          <w:u w:val="single"/>
        </w:rPr>
        <w:t>The Appellant</w:t>
      </w:r>
    </w:p>
    <w:p w:rsidR="00615E76" w:rsidRDefault="00615E76" w:rsidP="00B52A42">
      <w:pPr>
        <w:numPr>
          <w:ilvl w:val="0"/>
          <w:numId w:val="3"/>
        </w:numPr>
        <w:spacing w:before="240"/>
        <w:jc w:val="both"/>
        <w:rPr>
          <w:rFonts w:ascii="Book Antiqua" w:hAnsi="Book Antiqua" w:cs="Arial"/>
        </w:rPr>
      </w:pPr>
      <w:r>
        <w:rPr>
          <w:rFonts w:ascii="Book Antiqua" w:hAnsi="Book Antiqua" w:cs="Arial"/>
        </w:rPr>
        <w:t xml:space="preserve">The Appellant is a citizen of Ghana, is a male, and was born on </w:t>
      </w:r>
      <w:r w:rsidR="00440687">
        <w:rPr>
          <w:rFonts w:ascii="Book Antiqua" w:hAnsi="Book Antiqua" w:cs="Arial"/>
        </w:rPr>
        <w:t>10</w:t>
      </w:r>
      <w:r w:rsidR="00440687" w:rsidRPr="00440687">
        <w:rPr>
          <w:rFonts w:ascii="Book Antiqua" w:hAnsi="Book Antiqua" w:cs="Arial"/>
          <w:vertAlign w:val="superscript"/>
        </w:rPr>
        <w:t>th</w:t>
      </w:r>
      <w:r w:rsidR="00440687">
        <w:rPr>
          <w:rFonts w:ascii="Book Antiqua" w:hAnsi="Book Antiqua" w:cs="Arial"/>
        </w:rPr>
        <w:t xml:space="preserve"> February 1981.  He appealed against the decision of the Respondent dated 20</w:t>
      </w:r>
      <w:r w:rsidR="00440687" w:rsidRPr="00440687">
        <w:rPr>
          <w:rFonts w:ascii="Book Antiqua" w:hAnsi="Book Antiqua" w:cs="Arial"/>
          <w:vertAlign w:val="superscript"/>
        </w:rPr>
        <w:t>th</w:t>
      </w:r>
      <w:r w:rsidR="00440687">
        <w:rPr>
          <w:rFonts w:ascii="Book Antiqua" w:hAnsi="Book Antiqua" w:cs="Arial"/>
        </w:rPr>
        <w:t xml:space="preserve"> September 2017 refusing his application for leave to remain in this country </w:t>
      </w:r>
      <w:proofErr w:type="gramStart"/>
      <w:r w:rsidR="00440687">
        <w:rPr>
          <w:rFonts w:ascii="Book Antiqua" w:hAnsi="Book Antiqua" w:cs="Arial"/>
        </w:rPr>
        <w:t>on the basis of</w:t>
      </w:r>
      <w:proofErr w:type="gramEnd"/>
      <w:r w:rsidR="00440687">
        <w:rPr>
          <w:rFonts w:ascii="Book Antiqua" w:hAnsi="Book Antiqua" w:cs="Arial"/>
        </w:rPr>
        <w:t xml:space="preserve"> his family and private life.  </w:t>
      </w:r>
    </w:p>
    <w:p w:rsidR="00615E76" w:rsidRPr="00440687" w:rsidRDefault="00440687" w:rsidP="00440687">
      <w:pPr>
        <w:spacing w:before="240"/>
        <w:jc w:val="both"/>
        <w:rPr>
          <w:rFonts w:ascii="Book Antiqua" w:hAnsi="Book Antiqua" w:cs="Arial"/>
          <w:b/>
          <w:u w:val="single"/>
        </w:rPr>
      </w:pPr>
      <w:r>
        <w:rPr>
          <w:rFonts w:ascii="Book Antiqua" w:hAnsi="Book Antiqua" w:cs="Arial"/>
          <w:b/>
          <w:u w:val="single"/>
        </w:rPr>
        <w:lastRenderedPageBreak/>
        <w:t>The Appellant’s Claim</w:t>
      </w:r>
    </w:p>
    <w:p w:rsidR="00615E76" w:rsidRDefault="00440687" w:rsidP="00B52A42">
      <w:pPr>
        <w:numPr>
          <w:ilvl w:val="0"/>
          <w:numId w:val="3"/>
        </w:numPr>
        <w:spacing w:before="240"/>
        <w:jc w:val="both"/>
        <w:rPr>
          <w:rFonts w:ascii="Book Antiqua" w:hAnsi="Book Antiqua" w:cs="Arial"/>
        </w:rPr>
      </w:pPr>
      <w:r>
        <w:rPr>
          <w:rFonts w:ascii="Book Antiqua" w:hAnsi="Book Antiqua" w:cs="Arial"/>
        </w:rPr>
        <w:t xml:space="preserve">The essence of the Appellant’s claim is that </w:t>
      </w:r>
      <w:r w:rsidR="006B5E6C">
        <w:rPr>
          <w:rFonts w:ascii="Book Antiqua" w:hAnsi="Book Antiqua" w:cs="Arial"/>
        </w:rPr>
        <w:t xml:space="preserve">he </w:t>
      </w:r>
      <w:r>
        <w:rPr>
          <w:rFonts w:ascii="Book Antiqua" w:hAnsi="Book Antiqua" w:cs="Arial"/>
        </w:rPr>
        <w:t xml:space="preserve">is in a genuine and subsisting parental relationship with a British child, who has a right to remain in the United Kingdom, and who cannot go to Ghana with the Appellant.  Furthermore, the Appellant also alleged </w:t>
      </w:r>
      <w:r w:rsidR="006B5E6C">
        <w:rPr>
          <w:rFonts w:ascii="Book Antiqua" w:hAnsi="Book Antiqua" w:cs="Arial"/>
        </w:rPr>
        <w:t xml:space="preserve">that </w:t>
      </w:r>
      <w:r>
        <w:rPr>
          <w:rFonts w:ascii="Book Antiqua" w:hAnsi="Book Antiqua" w:cs="Arial"/>
        </w:rPr>
        <w:t xml:space="preserve">he would face very significant obstacles to integration on return to Ghana.  The appeal was on Article 8 grounds only.  </w:t>
      </w:r>
    </w:p>
    <w:p w:rsidR="00440687" w:rsidRPr="00440687" w:rsidRDefault="00440687" w:rsidP="00440687">
      <w:pPr>
        <w:spacing w:before="240"/>
        <w:jc w:val="both"/>
        <w:rPr>
          <w:rFonts w:ascii="Book Antiqua" w:hAnsi="Book Antiqua" w:cs="Arial"/>
          <w:b/>
          <w:u w:val="single"/>
        </w:rPr>
      </w:pPr>
      <w:r>
        <w:rPr>
          <w:rFonts w:ascii="Book Antiqua" w:hAnsi="Book Antiqua" w:cs="Arial"/>
          <w:b/>
          <w:u w:val="single"/>
        </w:rPr>
        <w:t>The Judge’s Findings</w:t>
      </w:r>
    </w:p>
    <w:p w:rsidR="00440687" w:rsidRDefault="00440687" w:rsidP="00B52A42">
      <w:pPr>
        <w:numPr>
          <w:ilvl w:val="0"/>
          <w:numId w:val="3"/>
        </w:numPr>
        <w:spacing w:before="240"/>
        <w:jc w:val="both"/>
        <w:rPr>
          <w:rFonts w:ascii="Book Antiqua" w:hAnsi="Book Antiqua" w:cs="Arial"/>
        </w:rPr>
      </w:pPr>
      <w:r>
        <w:rPr>
          <w:rFonts w:ascii="Book Antiqua" w:hAnsi="Book Antiqua" w:cs="Arial"/>
        </w:rPr>
        <w:t xml:space="preserve">The judge found that although the Appellant was not the biological father of the named British child, nevertheless “the Appellant plays the role of a father and has ‘stepped into the shoes’ of </w:t>
      </w:r>
      <w:r w:rsidR="006B5E6C">
        <w:rPr>
          <w:rFonts w:ascii="Book Antiqua" w:hAnsi="Book Antiqua" w:cs="Arial"/>
        </w:rPr>
        <w:t>a</w:t>
      </w:r>
      <w:r>
        <w:rPr>
          <w:rFonts w:ascii="Book Antiqua" w:hAnsi="Book Antiqua" w:cs="Arial"/>
        </w:rPr>
        <w:t xml:space="preserve"> parent</w:t>
      </w:r>
      <w:r w:rsidR="002E3E94">
        <w:rPr>
          <w:rFonts w:ascii="Book Antiqua" w:hAnsi="Book Antiqua" w:cs="Arial"/>
        </w:rPr>
        <w:t>.</w:t>
      </w:r>
      <w:r>
        <w:rPr>
          <w:rFonts w:ascii="Book Antiqua" w:hAnsi="Book Antiqua" w:cs="Arial"/>
        </w:rPr>
        <w:t xml:space="preserve">” </w:t>
      </w:r>
      <w:r w:rsidR="002E3E94">
        <w:rPr>
          <w:rFonts w:ascii="Book Antiqua" w:hAnsi="Book Antiqua" w:cs="Arial"/>
        </w:rPr>
        <w:t xml:space="preserve">Furthermore, </w:t>
      </w:r>
      <w:r>
        <w:rPr>
          <w:rFonts w:ascii="Book Antiqua" w:hAnsi="Book Antiqua" w:cs="Arial"/>
        </w:rPr>
        <w:t>that “in the absence of any other father figure in the child’s life” this was a case where “the Appellant plays the role of a father</w:t>
      </w:r>
      <w:r w:rsidR="002E3E94">
        <w:rPr>
          <w:rFonts w:ascii="Book Antiqua" w:hAnsi="Book Antiqua" w:cs="Arial"/>
        </w:rPr>
        <w:t>.</w:t>
      </w:r>
      <w:r>
        <w:rPr>
          <w:rFonts w:ascii="Book Antiqua" w:hAnsi="Book Antiqua" w:cs="Arial"/>
        </w:rPr>
        <w:t xml:space="preserve">” </w:t>
      </w:r>
      <w:r w:rsidR="002E3E94">
        <w:rPr>
          <w:rFonts w:ascii="Book Antiqua" w:hAnsi="Book Antiqua" w:cs="Arial"/>
        </w:rPr>
        <w:t xml:space="preserve">He held that </w:t>
      </w:r>
      <w:r>
        <w:rPr>
          <w:rFonts w:ascii="Book Antiqua" w:hAnsi="Book Antiqua" w:cs="Arial"/>
        </w:rPr>
        <w:t>this was evidenced by the fact that the “Appellant is named on the child’s birth certificate” and that “he regularly visits and spends time with the child</w:t>
      </w:r>
      <w:r w:rsidR="002E3E94">
        <w:rPr>
          <w:rFonts w:ascii="Book Antiqua" w:hAnsi="Book Antiqua" w:cs="Arial"/>
        </w:rPr>
        <w:t>.</w:t>
      </w:r>
      <w:r>
        <w:rPr>
          <w:rFonts w:ascii="Book Antiqua" w:hAnsi="Book Antiqua" w:cs="Arial"/>
        </w:rPr>
        <w:t>”</w:t>
      </w:r>
      <w:r w:rsidR="002E3E94">
        <w:rPr>
          <w:rFonts w:ascii="Book Antiqua" w:hAnsi="Book Antiqua" w:cs="Arial"/>
        </w:rPr>
        <w:t xml:space="preserve"> This time </w:t>
      </w:r>
      <w:r>
        <w:rPr>
          <w:rFonts w:ascii="Book Antiqua" w:hAnsi="Book Antiqua" w:cs="Arial"/>
        </w:rPr>
        <w:t>included also “taking the child to school and having overnight visits”.  The natural mother of the child was a Ms Fosuah, and she had at one time been in a relationship with the Appellant, but that relationship had broken down, and there had been a reluctance to undergo a DNA test to confirm the paternity of the child</w:t>
      </w:r>
      <w:r w:rsidR="002E3E94">
        <w:rPr>
          <w:rFonts w:ascii="Book Antiqua" w:hAnsi="Book Antiqua" w:cs="Arial"/>
        </w:rPr>
        <w:t xml:space="preserve">. This </w:t>
      </w:r>
      <w:r>
        <w:rPr>
          <w:rFonts w:ascii="Book Antiqua" w:hAnsi="Book Antiqua" w:cs="Arial"/>
        </w:rPr>
        <w:t xml:space="preserve">in the event, however, did not matter, because the judge had </w:t>
      </w:r>
      <w:proofErr w:type="gramStart"/>
      <w:r>
        <w:rPr>
          <w:rFonts w:ascii="Book Antiqua" w:hAnsi="Book Antiqua" w:cs="Arial"/>
        </w:rPr>
        <w:t>come to the conclusion</w:t>
      </w:r>
      <w:proofErr w:type="gramEnd"/>
      <w:r>
        <w:rPr>
          <w:rFonts w:ascii="Book Antiqua" w:hAnsi="Book Antiqua" w:cs="Arial"/>
        </w:rPr>
        <w:t xml:space="preserve"> that the Appellant enjoyed a genuine and subsisting relationship with the child, who was a British citizen.  Indeed, the Appellant “regularly makes purchases for his child”, and this was demonstrated by the “Asda receipts” (paragraph 21) that were produced at the hearing.  In short, the judge was satisfied that “the Appellant plays an active role in the child’s life thus there exists a parental relationship” (paragraph 22).    </w:t>
      </w:r>
    </w:p>
    <w:p w:rsidR="00304E77" w:rsidRDefault="00440687" w:rsidP="00B52A42">
      <w:pPr>
        <w:numPr>
          <w:ilvl w:val="0"/>
          <w:numId w:val="3"/>
        </w:numPr>
        <w:spacing w:before="240"/>
        <w:jc w:val="both"/>
        <w:rPr>
          <w:rFonts w:ascii="Book Antiqua" w:hAnsi="Book Antiqua" w:cs="Arial"/>
        </w:rPr>
      </w:pPr>
      <w:r>
        <w:rPr>
          <w:rFonts w:ascii="Book Antiqua" w:hAnsi="Book Antiqua" w:cs="Arial"/>
        </w:rPr>
        <w:t>As against this, however, this was a case where the Appellant had entered the UK as a visitor in May 2011, and had then overstayed for almost seven years, such that the Appellant had demonstrated a “blatant disregard for immigration laws</w:t>
      </w:r>
      <w:r w:rsidR="00304E77">
        <w:rPr>
          <w:rFonts w:ascii="Book Antiqua" w:hAnsi="Book Antiqua" w:cs="Arial"/>
        </w:rPr>
        <w:t xml:space="preserve"> and his decision to remain in the UK without permission, carries significant weight in the balance” (paragraph 29).  The Appellant had also developed his private life in this country at a time when </w:t>
      </w:r>
      <w:r w:rsidR="006B5E6C">
        <w:rPr>
          <w:rFonts w:ascii="Book Antiqua" w:hAnsi="Book Antiqua" w:cs="Arial"/>
        </w:rPr>
        <w:t>“</w:t>
      </w:r>
      <w:r w:rsidR="00304E77">
        <w:rPr>
          <w:rFonts w:ascii="Book Antiqua" w:hAnsi="Book Antiqua" w:cs="Arial"/>
        </w:rPr>
        <w:t>his leave has always been precarious” (paragraph 30).</w:t>
      </w:r>
    </w:p>
    <w:p w:rsidR="00304E77" w:rsidRDefault="00304E77" w:rsidP="00B52A42">
      <w:pPr>
        <w:numPr>
          <w:ilvl w:val="0"/>
          <w:numId w:val="3"/>
        </w:numPr>
        <w:spacing w:before="240"/>
        <w:jc w:val="both"/>
        <w:rPr>
          <w:rFonts w:ascii="Book Antiqua" w:hAnsi="Book Antiqua" w:cs="Arial"/>
        </w:rPr>
      </w:pPr>
      <w:r>
        <w:rPr>
          <w:rFonts w:ascii="Book Antiqua" w:hAnsi="Book Antiqua" w:cs="Arial"/>
        </w:rPr>
        <w:t xml:space="preserve">However, there remained the position of the child, with whom the judge had accepted the Appellant had a genuine and subsisting parental relationship, but who also lived with a British citizen mother, and was a British citizen child herself.  The judge noted that, </w:t>
      </w:r>
    </w:p>
    <w:p w:rsidR="00440687" w:rsidRDefault="00304E77" w:rsidP="00304E77">
      <w:pPr>
        <w:spacing w:before="240"/>
        <w:ind w:left="1134"/>
        <w:jc w:val="both"/>
        <w:rPr>
          <w:rFonts w:ascii="Book Antiqua" w:hAnsi="Book Antiqua" w:cs="Arial"/>
        </w:rPr>
      </w:pPr>
      <w:r>
        <w:rPr>
          <w:rFonts w:ascii="Book Antiqua" w:hAnsi="Book Antiqua" w:cs="Arial"/>
        </w:rPr>
        <w:t xml:space="preserve">“On the evidence before me the child resides with the mother and has regular contact with the Appellant; it is likely she is in a safe, settled and stable environment with her mother.  Given she is a British citizen, she is entitled to reside in the UK without let or hinderance” (paragraph 31).   </w:t>
      </w:r>
    </w:p>
    <w:p w:rsidR="00304E77" w:rsidRDefault="00304E77" w:rsidP="00304E77">
      <w:pPr>
        <w:spacing w:before="240"/>
        <w:ind w:left="567"/>
        <w:jc w:val="both"/>
        <w:rPr>
          <w:rFonts w:ascii="Book Antiqua" w:hAnsi="Book Antiqua" w:cs="Arial"/>
        </w:rPr>
      </w:pPr>
      <w:r>
        <w:rPr>
          <w:rFonts w:ascii="Book Antiqua" w:hAnsi="Book Antiqua" w:cs="Arial"/>
        </w:rPr>
        <w:t xml:space="preserve">The judge went on to say that, </w:t>
      </w:r>
    </w:p>
    <w:p w:rsidR="00B52A42" w:rsidRDefault="00304E77" w:rsidP="00304E77">
      <w:pPr>
        <w:spacing w:before="240"/>
        <w:ind w:left="1134"/>
        <w:jc w:val="both"/>
        <w:rPr>
          <w:rFonts w:ascii="Book Antiqua" w:hAnsi="Book Antiqua" w:cs="Arial"/>
        </w:rPr>
      </w:pPr>
      <w:r>
        <w:rPr>
          <w:rFonts w:ascii="Book Antiqua" w:hAnsi="Book Antiqua" w:cs="Arial"/>
        </w:rPr>
        <w:t>“I find it would best serve her best interests to remain in the familiar settlement environment she is used to, under the care and guidance of her mother, while enjoying regular contact, via modern communication methods and visits from the Appellant on his return” (paragraph 32).</w:t>
      </w:r>
      <w:r w:rsidR="00615E76">
        <w:rPr>
          <w:rFonts w:ascii="Book Antiqua" w:hAnsi="Book Antiqua" w:cs="Arial"/>
        </w:rPr>
        <w:t xml:space="preserve"> </w:t>
      </w:r>
    </w:p>
    <w:p w:rsidR="00304E77" w:rsidRDefault="00967081" w:rsidP="00B52A42">
      <w:pPr>
        <w:numPr>
          <w:ilvl w:val="0"/>
          <w:numId w:val="3"/>
        </w:numPr>
        <w:spacing w:before="240"/>
        <w:jc w:val="both"/>
        <w:rPr>
          <w:rFonts w:ascii="Book Antiqua" w:hAnsi="Book Antiqua" w:cs="Arial"/>
        </w:rPr>
      </w:pPr>
      <w:r>
        <w:rPr>
          <w:rFonts w:ascii="Book Antiqua" w:hAnsi="Book Antiqua" w:cs="Arial"/>
        </w:rPr>
        <w:lastRenderedPageBreak/>
        <w:t>The appeal was allowed.</w:t>
      </w:r>
    </w:p>
    <w:p w:rsidR="00967081" w:rsidRPr="00967081" w:rsidRDefault="00967081" w:rsidP="00967081">
      <w:pPr>
        <w:spacing w:before="240"/>
        <w:jc w:val="both"/>
        <w:rPr>
          <w:rFonts w:ascii="Book Antiqua" w:hAnsi="Book Antiqua" w:cs="Arial"/>
          <w:b/>
          <w:u w:val="single"/>
        </w:rPr>
      </w:pPr>
      <w:r>
        <w:rPr>
          <w:rFonts w:ascii="Book Antiqua" w:hAnsi="Book Antiqua" w:cs="Arial"/>
          <w:b/>
          <w:u w:val="single"/>
        </w:rPr>
        <w:t xml:space="preserve">Grounds of Application </w:t>
      </w:r>
    </w:p>
    <w:p w:rsidR="00967081" w:rsidRDefault="00967081" w:rsidP="00B52A42">
      <w:pPr>
        <w:numPr>
          <w:ilvl w:val="0"/>
          <w:numId w:val="3"/>
        </w:numPr>
        <w:spacing w:before="240"/>
        <w:jc w:val="both"/>
        <w:rPr>
          <w:rFonts w:ascii="Book Antiqua" w:hAnsi="Book Antiqua" w:cs="Arial"/>
        </w:rPr>
      </w:pPr>
      <w:r>
        <w:rPr>
          <w:rFonts w:ascii="Book Antiqua" w:hAnsi="Book Antiqua" w:cs="Arial"/>
        </w:rPr>
        <w:t>The grounds of application state, that the judge having concluded, in relation to Section 117</w:t>
      </w:r>
      <w:proofErr w:type="gramStart"/>
      <w:r>
        <w:rPr>
          <w:rFonts w:ascii="Book Antiqua" w:hAnsi="Book Antiqua" w:cs="Arial"/>
        </w:rPr>
        <w:t>B(</w:t>
      </w:r>
      <w:proofErr w:type="gramEnd"/>
      <w:r>
        <w:rPr>
          <w:rFonts w:ascii="Book Antiqua" w:hAnsi="Book Antiqua" w:cs="Arial"/>
        </w:rPr>
        <w:t xml:space="preserve">6) </w:t>
      </w:r>
      <w:r w:rsidR="006B5E6C">
        <w:rPr>
          <w:rFonts w:ascii="Book Antiqua" w:hAnsi="Book Antiqua" w:cs="Arial"/>
        </w:rPr>
        <w:t xml:space="preserve">that </w:t>
      </w:r>
      <w:r>
        <w:rPr>
          <w:rFonts w:ascii="Book Antiqua" w:hAnsi="Book Antiqua" w:cs="Arial"/>
        </w:rPr>
        <w:t>this was a case where, the Appellant both had a genuine and parental relationship with his child</w:t>
      </w:r>
      <w:r w:rsidR="006B5E6C">
        <w:rPr>
          <w:rFonts w:ascii="Book Antiqua" w:hAnsi="Book Antiqua" w:cs="Arial"/>
        </w:rPr>
        <w:t>,</w:t>
      </w:r>
      <w:r>
        <w:rPr>
          <w:rFonts w:ascii="Book Antiqua" w:hAnsi="Book Antiqua" w:cs="Arial"/>
        </w:rPr>
        <w:t xml:space="preserve"> and a case where it would not be reasonable to expect the child to leave the United Kingdom, the appeal fell to be allowed.  It was not open to the judge thereafter to factor in the element that, because the Appellant had been in the UK unlawfully, the public interest in immigration control, meant that his appeal should be refused.  </w:t>
      </w:r>
    </w:p>
    <w:p w:rsidR="00967081" w:rsidRDefault="00967081" w:rsidP="00B52A42">
      <w:pPr>
        <w:numPr>
          <w:ilvl w:val="0"/>
          <w:numId w:val="3"/>
        </w:numPr>
        <w:spacing w:before="240"/>
        <w:jc w:val="both"/>
        <w:rPr>
          <w:rFonts w:ascii="Book Antiqua" w:hAnsi="Book Antiqua" w:cs="Arial"/>
        </w:rPr>
      </w:pPr>
      <w:r>
        <w:rPr>
          <w:rFonts w:ascii="Book Antiqua" w:hAnsi="Book Antiqua" w:cs="Arial"/>
        </w:rPr>
        <w:t>On 19</w:t>
      </w:r>
      <w:r w:rsidRPr="00967081">
        <w:rPr>
          <w:rFonts w:ascii="Book Antiqua" w:hAnsi="Book Antiqua" w:cs="Arial"/>
          <w:vertAlign w:val="superscript"/>
        </w:rPr>
        <w:t>th</w:t>
      </w:r>
      <w:r>
        <w:rPr>
          <w:rFonts w:ascii="Book Antiqua" w:hAnsi="Book Antiqua" w:cs="Arial"/>
        </w:rPr>
        <w:t xml:space="preserve"> November 2018, permission to appeal was granted on the basis that the established authorities such as </w:t>
      </w:r>
      <w:r w:rsidRPr="00967081">
        <w:rPr>
          <w:rFonts w:ascii="Book Antiqua" w:hAnsi="Book Antiqua" w:cs="Arial"/>
          <w:b/>
          <w:u w:val="single"/>
        </w:rPr>
        <w:t>MA</w:t>
      </w:r>
      <w:r w:rsidRPr="00967081">
        <w:rPr>
          <w:rFonts w:ascii="Book Antiqua" w:hAnsi="Book Antiqua" w:cs="Arial"/>
          <w:b/>
        </w:rPr>
        <w:t xml:space="preserve"> (Pakistan) [2016] EWCA Civ 705</w:t>
      </w:r>
      <w:r>
        <w:rPr>
          <w:rFonts w:ascii="Book Antiqua" w:hAnsi="Book Antiqua" w:cs="Arial"/>
        </w:rPr>
        <w:t xml:space="preserve"> made it clear that “there can be </w:t>
      </w:r>
      <w:r w:rsidR="006B5E6C">
        <w:rPr>
          <w:rFonts w:ascii="Book Antiqua" w:hAnsi="Book Antiqua" w:cs="Arial"/>
        </w:rPr>
        <w:t xml:space="preserve">no </w:t>
      </w:r>
      <w:r>
        <w:rPr>
          <w:rFonts w:ascii="Book Antiqua" w:hAnsi="Book Antiqua" w:cs="Arial"/>
        </w:rPr>
        <w:t>doubt that Section 117</w:t>
      </w:r>
      <w:proofErr w:type="gramStart"/>
      <w:r>
        <w:rPr>
          <w:rFonts w:ascii="Book Antiqua" w:hAnsi="Book Antiqua" w:cs="Arial"/>
        </w:rPr>
        <w:t>B(</w:t>
      </w:r>
      <w:proofErr w:type="gramEnd"/>
      <w:r>
        <w:rPr>
          <w:rFonts w:ascii="Book Antiqua" w:hAnsi="Book Antiqua" w:cs="Arial"/>
        </w:rPr>
        <w:t xml:space="preserve">6) must be read as a self-contained provision in the sense that Parliament has stipulated that where the conditions specified in the subsection are satisfied, the public interest will not justify removal”.  </w:t>
      </w:r>
    </w:p>
    <w:p w:rsidR="00967081" w:rsidRPr="00967081" w:rsidRDefault="00967081" w:rsidP="00967081">
      <w:pPr>
        <w:spacing w:before="240"/>
        <w:jc w:val="both"/>
        <w:rPr>
          <w:rFonts w:ascii="Book Antiqua" w:hAnsi="Book Antiqua" w:cs="Arial"/>
          <w:b/>
          <w:u w:val="single"/>
        </w:rPr>
      </w:pPr>
      <w:r>
        <w:rPr>
          <w:rFonts w:ascii="Book Antiqua" w:hAnsi="Book Antiqua" w:cs="Arial"/>
          <w:b/>
          <w:u w:val="single"/>
        </w:rPr>
        <w:t xml:space="preserve">Submissions </w:t>
      </w:r>
    </w:p>
    <w:p w:rsidR="00C543AF" w:rsidRDefault="00967081" w:rsidP="00B52A42">
      <w:pPr>
        <w:numPr>
          <w:ilvl w:val="0"/>
          <w:numId w:val="3"/>
        </w:numPr>
        <w:spacing w:before="240"/>
        <w:jc w:val="both"/>
        <w:rPr>
          <w:rFonts w:ascii="Book Antiqua" w:hAnsi="Book Antiqua" w:cs="Arial"/>
        </w:rPr>
      </w:pPr>
      <w:r>
        <w:rPr>
          <w:rFonts w:ascii="Book Antiqua" w:hAnsi="Book Antiqua" w:cs="Arial"/>
        </w:rPr>
        <w:t>At the hearing before me on 4</w:t>
      </w:r>
      <w:r w:rsidRPr="00967081">
        <w:rPr>
          <w:rFonts w:ascii="Book Antiqua" w:hAnsi="Book Antiqua" w:cs="Arial"/>
          <w:vertAlign w:val="superscript"/>
        </w:rPr>
        <w:t>th</w:t>
      </w:r>
      <w:r>
        <w:rPr>
          <w:rFonts w:ascii="Book Antiqua" w:hAnsi="Book Antiqua" w:cs="Arial"/>
        </w:rPr>
        <w:t xml:space="preserve"> January 2019, Mr Dhanji, appearing on behalf of the Appellant as his Counsel, relied upon the grounds of application.  He also submitted that </w:t>
      </w:r>
      <w:r w:rsidR="00C543AF">
        <w:rPr>
          <w:rFonts w:ascii="Book Antiqua" w:hAnsi="Book Antiqua" w:cs="Arial"/>
        </w:rPr>
        <w:t xml:space="preserve">given what the judge had stated (at paragraph 33) the only option left for the judge was to have allowed the appeal.  It was then made clear by the judge that, </w:t>
      </w:r>
    </w:p>
    <w:p w:rsidR="00967081" w:rsidRDefault="00C543AF" w:rsidP="00C543AF">
      <w:pPr>
        <w:spacing w:before="240"/>
        <w:ind w:left="1134"/>
        <w:jc w:val="both"/>
        <w:rPr>
          <w:rFonts w:ascii="Book Antiqua" w:hAnsi="Book Antiqua" w:cs="Arial"/>
        </w:rPr>
      </w:pPr>
      <w:r>
        <w:rPr>
          <w:rFonts w:ascii="Book Antiqua" w:hAnsi="Book Antiqua" w:cs="Arial"/>
        </w:rPr>
        <w:t>“In relation to Section 117</w:t>
      </w:r>
      <w:proofErr w:type="gramStart"/>
      <w:r>
        <w:rPr>
          <w:rFonts w:ascii="Book Antiqua" w:hAnsi="Book Antiqua" w:cs="Arial"/>
        </w:rPr>
        <w:t>B(</w:t>
      </w:r>
      <w:proofErr w:type="gramEnd"/>
      <w:r>
        <w:rPr>
          <w:rFonts w:ascii="Book Antiqua" w:hAnsi="Book Antiqua" w:cs="Arial"/>
        </w:rPr>
        <w:t>6), I accept the Appellant has a genuine and subsisting parental relationship with a qualifying child.  Given my findings above, I find it would not be reasonable for the child to leave the UK.  I make the same findings in relation to EX.1 of the Immigration Rules” (paragraph 33).</w:t>
      </w:r>
    </w:p>
    <w:p w:rsidR="00C543AF" w:rsidRPr="002E3E94" w:rsidRDefault="00C543AF" w:rsidP="002E3E94">
      <w:pPr>
        <w:pStyle w:val="ListParagraph"/>
        <w:numPr>
          <w:ilvl w:val="0"/>
          <w:numId w:val="3"/>
        </w:numPr>
        <w:spacing w:before="240"/>
        <w:jc w:val="both"/>
        <w:rPr>
          <w:rFonts w:ascii="Book Antiqua" w:hAnsi="Book Antiqua" w:cs="Arial"/>
        </w:rPr>
      </w:pPr>
      <w:r w:rsidRPr="002E3E94">
        <w:rPr>
          <w:rFonts w:ascii="Book Antiqua" w:hAnsi="Book Antiqua" w:cs="Arial"/>
        </w:rPr>
        <w:t xml:space="preserve">This being the judge’s finding, Mr Dhanji argued, the appeal should simply have been allowed, and the recent case of </w:t>
      </w:r>
      <w:r w:rsidRPr="002E3E94">
        <w:rPr>
          <w:rFonts w:ascii="Book Antiqua" w:hAnsi="Book Antiqua" w:cs="Arial"/>
          <w:b/>
          <w:u w:val="single"/>
        </w:rPr>
        <w:t>KO</w:t>
      </w:r>
      <w:r w:rsidRPr="002E3E94">
        <w:rPr>
          <w:rFonts w:ascii="Book Antiqua" w:hAnsi="Book Antiqua" w:cs="Arial"/>
          <w:b/>
        </w:rPr>
        <w:t xml:space="preserve"> (Nigeria)</w:t>
      </w:r>
      <w:r w:rsidRPr="002E3E94">
        <w:rPr>
          <w:rFonts w:ascii="Book Antiqua" w:hAnsi="Book Antiqua" w:cs="Arial"/>
        </w:rPr>
        <w:t xml:space="preserve"> by the Supreme Court does not affect materially the interpretation in this way of Section 117</w:t>
      </w:r>
      <w:proofErr w:type="gramStart"/>
      <w:r w:rsidRPr="002E3E94">
        <w:rPr>
          <w:rFonts w:ascii="Book Antiqua" w:hAnsi="Book Antiqua" w:cs="Arial"/>
        </w:rPr>
        <w:t>B(</w:t>
      </w:r>
      <w:proofErr w:type="gramEnd"/>
      <w:r w:rsidRPr="002E3E94">
        <w:rPr>
          <w:rFonts w:ascii="Book Antiqua" w:hAnsi="Book Antiqua" w:cs="Arial"/>
        </w:rPr>
        <w:t>6).</w:t>
      </w:r>
    </w:p>
    <w:p w:rsidR="006B5E6C" w:rsidRDefault="00C543AF" w:rsidP="00B52A42">
      <w:pPr>
        <w:numPr>
          <w:ilvl w:val="0"/>
          <w:numId w:val="3"/>
        </w:numPr>
        <w:spacing w:before="240"/>
        <w:jc w:val="both"/>
        <w:rPr>
          <w:rFonts w:ascii="Book Antiqua" w:hAnsi="Book Antiqua" w:cs="Arial"/>
        </w:rPr>
      </w:pPr>
      <w:r>
        <w:rPr>
          <w:rFonts w:ascii="Book Antiqua" w:hAnsi="Book Antiqua" w:cs="Arial"/>
        </w:rPr>
        <w:t xml:space="preserve">For his part, Mr Walker submitted that if one has regard to the paragraph that followed paragraph 33, what the judge does there is to say that, </w:t>
      </w:r>
    </w:p>
    <w:p w:rsidR="006B5E6C" w:rsidRDefault="00C543AF" w:rsidP="006B5E6C">
      <w:pPr>
        <w:spacing w:before="240"/>
        <w:ind w:left="1134"/>
        <w:jc w:val="both"/>
        <w:rPr>
          <w:rFonts w:ascii="Book Antiqua" w:hAnsi="Book Antiqua" w:cs="Arial"/>
        </w:rPr>
      </w:pPr>
      <w:r>
        <w:rPr>
          <w:rFonts w:ascii="Book Antiqua" w:hAnsi="Book Antiqua" w:cs="Arial"/>
        </w:rPr>
        <w:t xml:space="preserve">“I find the Appellant’s poor immigration history is a significant countervailing factor which outweighs the Appellant’s private life considerations ... The Appellant was invited to the UK as a visitor on the understanding that he would return once his leave ended; he failed to do so” (paragraph 34).  </w:t>
      </w:r>
    </w:p>
    <w:p w:rsidR="00967081" w:rsidRDefault="001C7BCB" w:rsidP="006B5E6C">
      <w:pPr>
        <w:spacing w:before="240"/>
        <w:ind w:left="567"/>
        <w:jc w:val="both"/>
        <w:rPr>
          <w:rFonts w:ascii="Book Antiqua" w:hAnsi="Book Antiqua" w:cs="Arial"/>
        </w:rPr>
      </w:pPr>
      <w:r>
        <w:rPr>
          <w:rFonts w:ascii="Book Antiqua" w:hAnsi="Book Antiqua" w:cs="Arial"/>
        </w:rPr>
        <w:t>In this sense, therefore, submitted Mr Walker, the judge was correct to have dismissed the Appellant’s appeal.  In short, paragraph 33 and paragraph 34 had to be read conjunctively to see why the judge had dismissed the appeal.</w:t>
      </w:r>
    </w:p>
    <w:p w:rsidR="006B5E6C" w:rsidRDefault="001C7BCB" w:rsidP="00B52A42">
      <w:pPr>
        <w:numPr>
          <w:ilvl w:val="0"/>
          <w:numId w:val="3"/>
        </w:numPr>
        <w:spacing w:before="240"/>
        <w:jc w:val="both"/>
        <w:rPr>
          <w:rFonts w:ascii="Book Antiqua" w:hAnsi="Book Antiqua" w:cs="Arial"/>
        </w:rPr>
      </w:pPr>
      <w:r>
        <w:rPr>
          <w:rFonts w:ascii="Book Antiqua" w:hAnsi="Book Antiqua" w:cs="Arial"/>
        </w:rPr>
        <w:t>In reply, Mr Dhanji submitted that this was a case where the Appellant’s child was a British citizen child, who had a British citizen mother, and the judge had found the Appellant himself to have a genuine and subsisting parental relationship with the child, and it was not open to him, having decided that under Section 117</w:t>
      </w:r>
      <w:proofErr w:type="gramStart"/>
      <w:r>
        <w:rPr>
          <w:rFonts w:ascii="Book Antiqua" w:hAnsi="Book Antiqua" w:cs="Arial"/>
        </w:rPr>
        <w:t>B(</w:t>
      </w:r>
      <w:proofErr w:type="gramEnd"/>
      <w:r>
        <w:rPr>
          <w:rFonts w:ascii="Book Antiqua" w:hAnsi="Book Antiqua" w:cs="Arial"/>
        </w:rPr>
        <w:t xml:space="preserve">6), that the </w:t>
      </w:r>
      <w:r>
        <w:rPr>
          <w:rFonts w:ascii="Book Antiqua" w:hAnsi="Book Antiqua" w:cs="Arial"/>
        </w:rPr>
        <w:lastRenderedPageBreak/>
        <w:t xml:space="preserve">appeal should be allowed, that he should then proceed to dismiss it.  Mr </w:t>
      </w:r>
      <w:proofErr w:type="spellStart"/>
      <w:r>
        <w:rPr>
          <w:rFonts w:ascii="Book Antiqua" w:hAnsi="Book Antiqua" w:cs="Arial"/>
        </w:rPr>
        <w:t>Dhanji</w:t>
      </w:r>
      <w:proofErr w:type="spellEnd"/>
      <w:r>
        <w:rPr>
          <w:rFonts w:ascii="Book Antiqua" w:hAnsi="Book Antiqua" w:cs="Arial"/>
        </w:rPr>
        <w:t xml:space="preserve"> drew strength</w:t>
      </w:r>
      <w:r w:rsidR="002E3E94">
        <w:rPr>
          <w:rFonts w:ascii="Book Antiqua" w:hAnsi="Book Antiqua" w:cs="Arial"/>
        </w:rPr>
        <w:t xml:space="preserve"> for his submissions</w:t>
      </w:r>
      <w:r>
        <w:rPr>
          <w:rFonts w:ascii="Book Antiqua" w:hAnsi="Book Antiqua" w:cs="Arial"/>
        </w:rPr>
        <w:t xml:space="preserve"> from the recent decision in </w:t>
      </w:r>
      <w:r w:rsidRPr="006B5E6C">
        <w:rPr>
          <w:rFonts w:ascii="Book Antiqua" w:hAnsi="Book Antiqua" w:cs="Arial"/>
          <w:b/>
          <w:u w:val="single"/>
        </w:rPr>
        <w:t>SR</w:t>
      </w:r>
      <w:r w:rsidRPr="006B5E6C">
        <w:rPr>
          <w:rFonts w:ascii="Book Antiqua" w:hAnsi="Book Antiqua" w:cs="Arial"/>
          <w:b/>
        </w:rPr>
        <w:t xml:space="preserve"> (subsisting parental relationship – </w:t>
      </w:r>
      <w:r w:rsidR="006B5E6C" w:rsidRPr="006B5E6C">
        <w:rPr>
          <w:rFonts w:ascii="Book Antiqua" w:hAnsi="Book Antiqua" w:cs="Arial"/>
          <w:b/>
        </w:rPr>
        <w:t>s</w:t>
      </w:r>
      <w:r w:rsidRPr="006B5E6C">
        <w:rPr>
          <w:rFonts w:ascii="Book Antiqua" w:hAnsi="Book Antiqua" w:cs="Arial"/>
          <w:b/>
        </w:rPr>
        <w:t>117</w:t>
      </w:r>
      <w:proofErr w:type="gramStart"/>
      <w:r w:rsidRPr="006B5E6C">
        <w:rPr>
          <w:rFonts w:ascii="Book Antiqua" w:hAnsi="Book Antiqua" w:cs="Arial"/>
          <w:b/>
        </w:rPr>
        <w:t>B(</w:t>
      </w:r>
      <w:proofErr w:type="gramEnd"/>
      <w:r w:rsidRPr="006B5E6C">
        <w:rPr>
          <w:rFonts w:ascii="Book Antiqua" w:hAnsi="Book Antiqua" w:cs="Arial"/>
          <w:b/>
        </w:rPr>
        <w:t>6)) Pakistan [2018] UKUT 334</w:t>
      </w:r>
      <w:r>
        <w:rPr>
          <w:rFonts w:ascii="Book Antiqua" w:hAnsi="Book Antiqua" w:cs="Arial"/>
        </w:rPr>
        <w:t>.  Here, the Upper Tribunal had stated that</w:t>
      </w:r>
      <w:r w:rsidR="006B5E6C">
        <w:rPr>
          <w:rFonts w:ascii="Book Antiqua" w:hAnsi="Book Antiqua" w:cs="Arial"/>
        </w:rPr>
        <w:t>,</w:t>
      </w:r>
      <w:r>
        <w:rPr>
          <w:rFonts w:ascii="Book Antiqua" w:hAnsi="Book Antiqua" w:cs="Arial"/>
        </w:rPr>
        <w:t xml:space="preserve"> </w:t>
      </w:r>
    </w:p>
    <w:p w:rsidR="006B5E6C" w:rsidRDefault="006B5E6C" w:rsidP="006B5E6C">
      <w:pPr>
        <w:spacing w:before="240"/>
        <w:ind w:left="1134"/>
        <w:jc w:val="both"/>
        <w:rPr>
          <w:rFonts w:ascii="Book Antiqua" w:hAnsi="Book Antiqua" w:cs="Arial"/>
        </w:rPr>
      </w:pPr>
      <w:r>
        <w:rPr>
          <w:rFonts w:ascii="Book Antiqua" w:hAnsi="Book Antiqua" w:cs="Arial"/>
        </w:rPr>
        <w:t xml:space="preserve">“The </w:t>
      </w:r>
      <w:r w:rsidR="001C7BCB">
        <w:rPr>
          <w:rFonts w:ascii="Book Antiqua" w:hAnsi="Book Antiqua" w:cs="Arial"/>
        </w:rPr>
        <w:t xml:space="preserve">question </w:t>
      </w:r>
      <w:r>
        <w:rPr>
          <w:rFonts w:ascii="Book Antiqua" w:hAnsi="Book Antiqua" w:cs="Arial"/>
        </w:rPr>
        <w:t xml:space="preserve">of </w:t>
      </w:r>
      <w:r w:rsidR="001C7BCB">
        <w:rPr>
          <w:rFonts w:ascii="Book Antiqua" w:hAnsi="Book Antiqua" w:cs="Arial"/>
        </w:rPr>
        <w:t>whether it would not be reasonable to expect a child to leave the United Kingdom in Section 117</w:t>
      </w:r>
      <w:proofErr w:type="gramStart"/>
      <w:r w:rsidR="001C7BCB">
        <w:rPr>
          <w:rFonts w:ascii="Book Antiqua" w:hAnsi="Book Antiqua" w:cs="Arial"/>
        </w:rPr>
        <w:t>B(</w:t>
      </w:r>
      <w:proofErr w:type="gramEnd"/>
      <w:r w:rsidR="001C7BCB">
        <w:rPr>
          <w:rFonts w:ascii="Book Antiqua" w:hAnsi="Book Antiqua" w:cs="Arial"/>
        </w:rPr>
        <w:t xml:space="preserve">6) of the 2002 Act does not necessarily require a consideration of </w:t>
      </w:r>
      <w:r>
        <w:rPr>
          <w:rFonts w:ascii="Book Antiqua" w:hAnsi="Book Antiqua" w:cs="Arial"/>
        </w:rPr>
        <w:t>whether</w:t>
      </w:r>
      <w:r w:rsidR="001C7BCB">
        <w:rPr>
          <w:rFonts w:ascii="Book Antiqua" w:hAnsi="Book Antiqua" w:cs="Arial"/>
        </w:rPr>
        <w:t xml:space="preserve"> the child will in fact</w:t>
      </w:r>
      <w:r>
        <w:rPr>
          <w:rFonts w:ascii="Book Antiqua" w:hAnsi="Book Antiqua" w:cs="Arial"/>
        </w:rPr>
        <w:t xml:space="preserve"> or in practice </w:t>
      </w:r>
      <w:r w:rsidR="001C7BCB">
        <w:rPr>
          <w:rFonts w:ascii="Book Antiqua" w:hAnsi="Book Antiqua" w:cs="Arial"/>
        </w:rPr>
        <w:t xml:space="preserve">leave the UK.  Rather, it poses a straightforward question: would it be reasonable ‘to expect’ the child to leave the UK?” (see head note 2).  </w:t>
      </w:r>
    </w:p>
    <w:p w:rsidR="001C7BCB" w:rsidRDefault="001C7BCB" w:rsidP="006B5E6C">
      <w:pPr>
        <w:spacing w:before="240"/>
        <w:ind w:left="567"/>
        <w:jc w:val="both"/>
        <w:rPr>
          <w:rFonts w:ascii="Book Antiqua" w:hAnsi="Book Antiqua" w:cs="Arial"/>
        </w:rPr>
      </w:pPr>
      <w:r>
        <w:rPr>
          <w:rFonts w:ascii="Book Antiqua" w:hAnsi="Book Antiqua" w:cs="Arial"/>
        </w:rPr>
        <w:t xml:space="preserve">This made it clear, submitted Mr Dhanji, that if the question was posed in these terms, which it was by the judge, and if it was answered in the affirmative, then the appeal should have been allowed. </w:t>
      </w:r>
    </w:p>
    <w:p w:rsidR="001C7BCB" w:rsidRPr="001C7BCB" w:rsidRDefault="001C7BCB" w:rsidP="001C7BCB">
      <w:pPr>
        <w:spacing w:before="240"/>
        <w:jc w:val="both"/>
        <w:rPr>
          <w:rFonts w:ascii="Book Antiqua" w:hAnsi="Book Antiqua" w:cs="Arial"/>
          <w:b/>
          <w:u w:val="single"/>
        </w:rPr>
      </w:pPr>
      <w:r>
        <w:rPr>
          <w:rFonts w:ascii="Book Antiqua" w:hAnsi="Book Antiqua" w:cs="Arial"/>
          <w:b/>
          <w:u w:val="single"/>
        </w:rPr>
        <w:t>Error of Law</w:t>
      </w:r>
    </w:p>
    <w:p w:rsidR="00902C12" w:rsidRDefault="001C7BCB" w:rsidP="001C7BCB">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w:t>
      </w:r>
      <w:r w:rsidR="006B5E6C">
        <w:rPr>
          <w:rFonts w:ascii="Book Antiqua" w:hAnsi="Book Antiqua" w:cs="Arial"/>
        </w:rPr>
        <w:t xml:space="preserve">Section </w:t>
      </w:r>
      <w:r>
        <w:rPr>
          <w:rFonts w:ascii="Book Antiqua" w:hAnsi="Book Antiqua" w:cs="Arial"/>
        </w:rPr>
        <w:t>12(1) of TCEA 2007) such that I should set aside the decision and re-make the decision.  My reasons are as follows.  This is a case where the judge has found the</w:t>
      </w:r>
      <w:r w:rsidR="006B5E6C">
        <w:rPr>
          <w:rFonts w:ascii="Book Antiqua" w:hAnsi="Book Antiqua" w:cs="Arial"/>
        </w:rPr>
        <w:t xml:space="preserve">re to be a </w:t>
      </w:r>
      <w:r>
        <w:rPr>
          <w:rFonts w:ascii="Book Antiqua" w:hAnsi="Book Antiqua" w:cs="Arial"/>
        </w:rPr>
        <w:t xml:space="preserve">genuine and parental relationship with a </w:t>
      </w:r>
      <w:r w:rsidR="006B5E6C">
        <w:rPr>
          <w:rFonts w:ascii="Book Antiqua" w:hAnsi="Book Antiqua" w:cs="Arial"/>
        </w:rPr>
        <w:t xml:space="preserve">British </w:t>
      </w:r>
      <w:r>
        <w:rPr>
          <w:rFonts w:ascii="Book Antiqua" w:hAnsi="Book Antiqua" w:cs="Arial"/>
        </w:rPr>
        <w:t>citizen child.  It is also a case where the judge has found it to be not reasonable for the child to leave the UK (paragraph 33).  In these circumstances, the requirements of the statutory provision in Section 117</w:t>
      </w:r>
      <w:proofErr w:type="gramStart"/>
      <w:r>
        <w:rPr>
          <w:rFonts w:ascii="Book Antiqua" w:hAnsi="Book Antiqua" w:cs="Arial"/>
        </w:rPr>
        <w:t>B(</w:t>
      </w:r>
      <w:proofErr w:type="gramEnd"/>
      <w:r>
        <w:rPr>
          <w:rFonts w:ascii="Book Antiqua" w:hAnsi="Book Antiqua" w:cs="Arial"/>
        </w:rPr>
        <w:t>6) were satisfied, and</w:t>
      </w:r>
      <w:r w:rsidR="00902C12">
        <w:rPr>
          <w:rFonts w:ascii="Book Antiqua" w:hAnsi="Book Antiqua" w:cs="Arial"/>
        </w:rPr>
        <w:t xml:space="preserve"> treating that provision as a self-contained and autonomous provision, which is the way in which Parliament had stipulated it, the public interest consideration did not apply.  That being so, the appeal should have been allowed.  </w:t>
      </w:r>
    </w:p>
    <w:p w:rsidR="00902C12" w:rsidRPr="00902C12" w:rsidRDefault="00902C12" w:rsidP="00902C12">
      <w:pPr>
        <w:spacing w:before="240"/>
        <w:jc w:val="both"/>
        <w:rPr>
          <w:rFonts w:ascii="Book Antiqua" w:hAnsi="Book Antiqua" w:cs="Arial"/>
          <w:b/>
          <w:u w:val="single"/>
        </w:rPr>
      </w:pPr>
      <w:r>
        <w:rPr>
          <w:rFonts w:ascii="Book Antiqua" w:hAnsi="Book Antiqua" w:cs="Arial"/>
          <w:b/>
          <w:u w:val="single"/>
        </w:rPr>
        <w:t xml:space="preserve">Re-making the Decision </w:t>
      </w:r>
    </w:p>
    <w:p w:rsidR="001C7BCB" w:rsidRPr="001C7BCB" w:rsidRDefault="00902C12" w:rsidP="001C7BCB">
      <w:pPr>
        <w:numPr>
          <w:ilvl w:val="0"/>
          <w:numId w:val="3"/>
        </w:numPr>
        <w:spacing w:before="240"/>
        <w:jc w:val="both"/>
        <w:rPr>
          <w:rFonts w:ascii="Book Antiqua" w:hAnsi="Book Antiqua" w:cs="Arial"/>
        </w:rPr>
      </w:pPr>
      <w:r>
        <w:rPr>
          <w:rFonts w:ascii="Book Antiqua" w:hAnsi="Book Antiqua" w:cs="Arial"/>
        </w:rPr>
        <w:t xml:space="preserve">I have re-made the decision </w:t>
      </w:r>
      <w:proofErr w:type="gramStart"/>
      <w:r>
        <w:rPr>
          <w:rFonts w:ascii="Book Antiqua" w:hAnsi="Book Antiqua" w:cs="Arial"/>
        </w:rPr>
        <w:t>on the basis of</w:t>
      </w:r>
      <w:proofErr w:type="gramEnd"/>
      <w:r>
        <w:rPr>
          <w:rFonts w:ascii="Book Antiqua" w:hAnsi="Book Antiqua" w:cs="Arial"/>
        </w:rPr>
        <w:t xml:space="preserve"> the findings of the original judge, the evidence before him, and the submissions that I have heard today.  For the reasons I have given above, this appeal is allowed.</w:t>
      </w:r>
      <w:r w:rsidR="001C7BCB">
        <w:rPr>
          <w:rFonts w:ascii="Book Antiqua" w:hAnsi="Book Antiqua" w:cs="Arial"/>
        </w:rPr>
        <w:t xml:space="preserve"> </w:t>
      </w:r>
    </w:p>
    <w:p w:rsidR="009F518E" w:rsidRPr="00902C12" w:rsidRDefault="009F518E" w:rsidP="00902C1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Default="009F518E" w:rsidP="00902C12">
      <w:pPr>
        <w:numPr>
          <w:ilvl w:val="0"/>
          <w:numId w:val="3"/>
        </w:numPr>
        <w:spacing w:before="240"/>
        <w:jc w:val="both"/>
        <w:rPr>
          <w:rFonts w:ascii="Book Antiqua" w:hAnsi="Book Antiqua" w:cs="Arial"/>
        </w:rPr>
      </w:pPr>
      <w:r w:rsidRPr="009F518E">
        <w:rPr>
          <w:rFonts w:ascii="Book Antiqua" w:hAnsi="Book Antiqua" w:cs="Arial"/>
        </w:rPr>
        <w:t>The</w:t>
      </w:r>
      <w:r w:rsidR="00902C12">
        <w:rPr>
          <w:rFonts w:ascii="Book Antiqua" w:hAnsi="Book Antiqua" w:cs="Arial"/>
        </w:rPr>
        <w:t xml:space="preserve"> decision of the First-tier Tribunal involved the making of an error on a point of law such that it falls to be set aside.  I set aside the decision of the original judge.  I re-make the decision as follows.  This </w:t>
      </w:r>
      <w:r w:rsidRPr="009F518E">
        <w:rPr>
          <w:rFonts w:ascii="Book Antiqua" w:hAnsi="Book Antiqua" w:cs="Arial"/>
        </w:rPr>
        <w:t xml:space="preserve">appeal is </w:t>
      </w:r>
      <w:r w:rsidR="00902C12">
        <w:rPr>
          <w:rFonts w:ascii="Book Antiqua" w:hAnsi="Book Antiqua" w:cs="Arial"/>
        </w:rPr>
        <w:t>allowed.</w:t>
      </w:r>
    </w:p>
    <w:p w:rsidR="00902C12" w:rsidRDefault="00902C12" w:rsidP="00902C12">
      <w:pPr>
        <w:numPr>
          <w:ilvl w:val="0"/>
          <w:numId w:val="3"/>
        </w:numPr>
        <w:spacing w:before="240"/>
        <w:jc w:val="both"/>
        <w:rPr>
          <w:rFonts w:ascii="Book Antiqua" w:hAnsi="Book Antiqua" w:cs="Arial"/>
        </w:rPr>
      </w:pPr>
      <w:r>
        <w:rPr>
          <w:rFonts w:ascii="Book Antiqua" w:hAnsi="Book Antiqua" w:cs="Arial"/>
        </w:rPr>
        <w:t>No anonymity direction is made.</w:t>
      </w:r>
    </w:p>
    <w:p w:rsidR="00902C12" w:rsidRPr="009F518E" w:rsidRDefault="00902C12" w:rsidP="00902C12">
      <w:pPr>
        <w:numPr>
          <w:ilvl w:val="0"/>
          <w:numId w:val="3"/>
        </w:numPr>
        <w:spacing w:before="240"/>
        <w:jc w:val="both"/>
        <w:rPr>
          <w:rFonts w:ascii="Book Antiqua" w:hAnsi="Book Antiqua" w:cs="Arial"/>
        </w:rPr>
      </w:pPr>
      <w:r>
        <w:rPr>
          <w:rFonts w:ascii="Book Antiqua" w:hAnsi="Book Antiqua" w:cs="Arial"/>
        </w:rPr>
        <w:t>This appeal is allowed.</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bookmarkStart w:id="0" w:name="_GoBack"/>
      <w:bookmarkEnd w:id="0"/>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2E3E94">
        <w:rPr>
          <w:rFonts w:ascii="Book Antiqua" w:hAnsi="Book Antiqua" w:cs="Arial"/>
        </w:rPr>
        <w:tab/>
      </w:r>
      <w:r w:rsidR="002E3E94">
        <w:rPr>
          <w:rFonts w:ascii="Book Antiqua" w:hAnsi="Book Antiqua" w:cs="Arial"/>
        </w:rPr>
        <w:tab/>
      </w:r>
      <w:r w:rsidR="002E3E94">
        <w:rPr>
          <w:rFonts w:ascii="Book Antiqua" w:hAnsi="Book Antiqua" w:cs="Arial"/>
        </w:rPr>
        <w:tab/>
      </w:r>
      <w:r w:rsidR="002E3E94">
        <w:rPr>
          <w:rFonts w:ascii="Book Antiqua" w:hAnsi="Book Antiqua" w:cs="Arial"/>
        </w:rPr>
        <w:tab/>
        <w:t>24</w:t>
      </w:r>
      <w:r w:rsidR="002E3E94" w:rsidRPr="002E3E94">
        <w:rPr>
          <w:rFonts w:ascii="Book Antiqua" w:hAnsi="Book Antiqua" w:cs="Arial"/>
          <w:vertAlign w:val="superscript"/>
        </w:rPr>
        <w:t>th</w:t>
      </w:r>
      <w:r w:rsidR="002E3E94">
        <w:rPr>
          <w:rFonts w:ascii="Book Antiqua" w:hAnsi="Book Antiqua" w:cs="Arial"/>
        </w:rPr>
        <w:t xml:space="preserve"> January 2019 </w:t>
      </w:r>
    </w:p>
    <w:sectPr w:rsidR="005B7789" w:rsidRPr="00F5664C" w:rsidSect="00412528">
      <w:headerReference w:type="default" r:id="rId9"/>
      <w:footerReference w:type="default" r:id="rId10"/>
      <w:headerReference w:type="first" r:id="rId11"/>
      <w:footerReference w:type="first" r:id="rId12"/>
      <w:pgSz w:w="11906" w:h="16838"/>
      <w:pgMar w:top="709"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317" w:rsidRDefault="007F1317">
      <w:r>
        <w:separator/>
      </w:r>
    </w:p>
  </w:endnote>
  <w:endnote w:type="continuationSeparator" w:id="0">
    <w:p w:rsidR="007F1317" w:rsidRDefault="007F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BCB" w:rsidRPr="00124D20" w:rsidRDefault="001C7BCB" w:rsidP="00593795">
    <w:pPr>
      <w:pStyle w:val="Footer"/>
      <w:jc w:val="center"/>
      <w:rPr>
        <w:rFonts w:ascii="Book Antiqua" w:hAnsi="Book Antiqua" w:cs="Arial"/>
      </w:rPr>
    </w:pPr>
    <w:r w:rsidRPr="00124D20">
      <w:rPr>
        <w:rStyle w:val="PageNumber"/>
        <w:rFonts w:ascii="Book Antiqua" w:hAnsi="Book Antiqua" w:cs="Arial"/>
      </w:rPr>
      <w:fldChar w:fldCharType="begin"/>
    </w:r>
    <w:r w:rsidRPr="00124D20">
      <w:rPr>
        <w:rStyle w:val="PageNumber"/>
        <w:rFonts w:ascii="Book Antiqua" w:hAnsi="Book Antiqua" w:cs="Arial"/>
      </w:rPr>
      <w:instrText xml:space="preserve"> PAGE </w:instrText>
    </w:r>
    <w:r w:rsidRPr="00124D20">
      <w:rPr>
        <w:rStyle w:val="PageNumber"/>
        <w:rFonts w:ascii="Book Antiqua" w:hAnsi="Book Antiqua" w:cs="Arial"/>
      </w:rPr>
      <w:fldChar w:fldCharType="separate"/>
    </w:r>
    <w:r w:rsidR="00A05099">
      <w:rPr>
        <w:rStyle w:val="PageNumber"/>
        <w:rFonts w:ascii="Book Antiqua" w:hAnsi="Book Antiqua" w:cs="Arial"/>
        <w:noProof/>
      </w:rPr>
      <w:t>4</w:t>
    </w:r>
    <w:r w:rsidRPr="00124D2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BCB" w:rsidRPr="00F5664C" w:rsidRDefault="001C7BC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317" w:rsidRDefault="007F1317">
      <w:r>
        <w:separator/>
      </w:r>
    </w:p>
  </w:footnote>
  <w:footnote w:type="continuationSeparator" w:id="0">
    <w:p w:rsidR="007F1317" w:rsidRDefault="007F1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BCB" w:rsidRDefault="001C7BC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HU/11671/2017</w:t>
    </w:r>
    <w:r w:rsidRPr="00F5664C">
      <w:rPr>
        <w:rFonts w:ascii="Book Antiqua" w:hAnsi="Book Antiqua" w:cs="Arial"/>
        <w:sz w:val="16"/>
        <w:szCs w:val="16"/>
      </w:rPr>
      <w:t xml:space="preserve"> </w:t>
    </w:r>
  </w:p>
  <w:p w:rsidR="00124D20" w:rsidRPr="00F5664C" w:rsidRDefault="00124D2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BCB" w:rsidRPr="00F5664C" w:rsidRDefault="001C7BC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54"/>
    <w:rsid w:val="00000621"/>
    <w:rsid w:val="000036C2"/>
    <w:rsid w:val="00016A4C"/>
    <w:rsid w:val="00033D3D"/>
    <w:rsid w:val="000369F5"/>
    <w:rsid w:val="00071A7E"/>
    <w:rsid w:val="000746C0"/>
    <w:rsid w:val="00074D1D"/>
    <w:rsid w:val="00077227"/>
    <w:rsid w:val="00092580"/>
    <w:rsid w:val="000A5ADA"/>
    <w:rsid w:val="000D01C9"/>
    <w:rsid w:val="000D5D94"/>
    <w:rsid w:val="000E0CD7"/>
    <w:rsid w:val="00114F8B"/>
    <w:rsid w:val="001165A7"/>
    <w:rsid w:val="00124D20"/>
    <w:rsid w:val="00151BB7"/>
    <w:rsid w:val="00167D3A"/>
    <w:rsid w:val="00172A08"/>
    <w:rsid w:val="001A1E2C"/>
    <w:rsid w:val="001C7BCB"/>
    <w:rsid w:val="001D2414"/>
    <w:rsid w:val="001E6D6D"/>
    <w:rsid w:val="001F2716"/>
    <w:rsid w:val="0020133A"/>
    <w:rsid w:val="00207617"/>
    <w:rsid w:val="00246E34"/>
    <w:rsid w:val="00255071"/>
    <w:rsid w:val="00283659"/>
    <w:rsid w:val="002C4E73"/>
    <w:rsid w:val="002D5A7F"/>
    <w:rsid w:val="002D68BF"/>
    <w:rsid w:val="002E3E94"/>
    <w:rsid w:val="002E75DE"/>
    <w:rsid w:val="0030070F"/>
    <w:rsid w:val="00304E77"/>
    <w:rsid w:val="00336CBF"/>
    <w:rsid w:val="003546C8"/>
    <w:rsid w:val="003A1C13"/>
    <w:rsid w:val="003A7CF2"/>
    <w:rsid w:val="003C5CE5"/>
    <w:rsid w:val="003E267B"/>
    <w:rsid w:val="003E7CD1"/>
    <w:rsid w:val="00402B9E"/>
    <w:rsid w:val="004061C2"/>
    <w:rsid w:val="00412528"/>
    <w:rsid w:val="0041360E"/>
    <w:rsid w:val="00423932"/>
    <w:rsid w:val="004249CB"/>
    <w:rsid w:val="00440687"/>
    <w:rsid w:val="0044127D"/>
    <w:rsid w:val="004448DB"/>
    <w:rsid w:val="00446C9A"/>
    <w:rsid w:val="00477193"/>
    <w:rsid w:val="004A1848"/>
    <w:rsid w:val="00507FEC"/>
    <w:rsid w:val="00510F0E"/>
    <w:rsid w:val="00514F42"/>
    <w:rsid w:val="00530854"/>
    <w:rsid w:val="00530B04"/>
    <w:rsid w:val="00532E7D"/>
    <w:rsid w:val="00542DB1"/>
    <w:rsid w:val="005479E1"/>
    <w:rsid w:val="005570FD"/>
    <w:rsid w:val="005575EA"/>
    <w:rsid w:val="0057790C"/>
    <w:rsid w:val="00593795"/>
    <w:rsid w:val="005A75FF"/>
    <w:rsid w:val="005B7789"/>
    <w:rsid w:val="00615E76"/>
    <w:rsid w:val="0065791C"/>
    <w:rsid w:val="006803E1"/>
    <w:rsid w:val="00690B8A"/>
    <w:rsid w:val="006B5E6C"/>
    <w:rsid w:val="006D1DFA"/>
    <w:rsid w:val="006D506B"/>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D43F8"/>
    <w:rsid w:val="007F1317"/>
    <w:rsid w:val="008303B8"/>
    <w:rsid w:val="00833DCE"/>
    <w:rsid w:val="00842418"/>
    <w:rsid w:val="008533CF"/>
    <w:rsid w:val="008634DB"/>
    <w:rsid w:val="00871D34"/>
    <w:rsid w:val="008B270C"/>
    <w:rsid w:val="008C3D3D"/>
    <w:rsid w:val="008D4131"/>
    <w:rsid w:val="008F1932"/>
    <w:rsid w:val="008F294D"/>
    <w:rsid w:val="00902C12"/>
    <w:rsid w:val="00921062"/>
    <w:rsid w:val="0092618D"/>
    <w:rsid w:val="0093083E"/>
    <w:rsid w:val="0093333B"/>
    <w:rsid w:val="00966ECF"/>
    <w:rsid w:val="00967081"/>
    <w:rsid w:val="009702D9"/>
    <w:rsid w:val="009727A3"/>
    <w:rsid w:val="00987774"/>
    <w:rsid w:val="009A11E8"/>
    <w:rsid w:val="009E4E62"/>
    <w:rsid w:val="009F518E"/>
    <w:rsid w:val="009F5220"/>
    <w:rsid w:val="009F7C4D"/>
    <w:rsid w:val="00A05099"/>
    <w:rsid w:val="00A15234"/>
    <w:rsid w:val="00A201AB"/>
    <w:rsid w:val="00A31C8B"/>
    <w:rsid w:val="00A75965"/>
    <w:rsid w:val="00A845DC"/>
    <w:rsid w:val="00A97AEE"/>
    <w:rsid w:val="00AC5CF6"/>
    <w:rsid w:val="00B144FA"/>
    <w:rsid w:val="00B16F58"/>
    <w:rsid w:val="00B30648"/>
    <w:rsid w:val="00B31956"/>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6032"/>
    <w:rsid w:val="00C265B0"/>
    <w:rsid w:val="00C321B5"/>
    <w:rsid w:val="00C345E1"/>
    <w:rsid w:val="00C36A07"/>
    <w:rsid w:val="00C543AF"/>
    <w:rsid w:val="00C977BA"/>
    <w:rsid w:val="00CB32C8"/>
    <w:rsid w:val="00CB6E35"/>
    <w:rsid w:val="00CE1A46"/>
    <w:rsid w:val="00CE26B2"/>
    <w:rsid w:val="00CE6AFA"/>
    <w:rsid w:val="00CF01A8"/>
    <w:rsid w:val="00CF253F"/>
    <w:rsid w:val="00CF56B4"/>
    <w:rsid w:val="00D20F09"/>
    <w:rsid w:val="00D22636"/>
    <w:rsid w:val="00D22FA8"/>
    <w:rsid w:val="00D24A9C"/>
    <w:rsid w:val="00D40FD9"/>
    <w:rsid w:val="00D42BD4"/>
    <w:rsid w:val="00D53769"/>
    <w:rsid w:val="00D562ED"/>
    <w:rsid w:val="00D63446"/>
    <w:rsid w:val="00D647F9"/>
    <w:rsid w:val="00D65912"/>
    <w:rsid w:val="00D85C13"/>
    <w:rsid w:val="00D91BE3"/>
    <w:rsid w:val="00D94AFC"/>
    <w:rsid w:val="00DB70AE"/>
    <w:rsid w:val="00DB7231"/>
    <w:rsid w:val="00DD5071"/>
    <w:rsid w:val="00DD5C39"/>
    <w:rsid w:val="00DE26AF"/>
    <w:rsid w:val="00DE7DB7"/>
    <w:rsid w:val="00DF5678"/>
    <w:rsid w:val="00E00A0A"/>
    <w:rsid w:val="00E07F57"/>
    <w:rsid w:val="00E1040E"/>
    <w:rsid w:val="00E50BCE"/>
    <w:rsid w:val="00E61292"/>
    <w:rsid w:val="00E76309"/>
    <w:rsid w:val="00E77C4D"/>
    <w:rsid w:val="00E81D01"/>
    <w:rsid w:val="00E90291"/>
    <w:rsid w:val="00EA161D"/>
    <w:rsid w:val="00EE45D8"/>
    <w:rsid w:val="00F004CD"/>
    <w:rsid w:val="00F22A22"/>
    <w:rsid w:val="00F22EDA"/>
    <w:rsid w:val="00F3224D"/>
    <w:rsid w:val="00F33E0E"/>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5B300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2E3E94"/>
    <w:pPr>
      <w:spacing w:before="100" w:beforeAutospacing="1" w:after="100" w:afterAutospacing="1"/>
    </w:pPr>
    <w:rPr>
      <w:lang w:eastAsia="en-US"/>
    </w:rPr>
  </w:style>
  <w:style w:type="paragraph" w:styleId="ListParagraph">
    <w:name w:val="List Paragraph"/>
    <w:basedOn w:val="Normal"/>
    <w:uiPriority w:val="34"/>
    <w:qFormat/>
    <w:rsid w:val="002E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53194-623C-4FD2-B125-DEDE0E4D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1625</Words>
  <Characters>7926</Characters>
  <Application>Microsoft Office Word</Application>
  <DocSecurity>0</DocSecurity>
  <Lines>66</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2019-03-11T13:07:00Z</dcterms:created>
  <dcterms:modified xsi:type="dcterms:W3CDTF">2019-03-11T13:07:00Z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