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9CE9D" w14:textId="77777777" w:rsidR="00D94AFC" w:rsidRPr="00A544A8" w:rsidRDefault="00D94AFC">
      <w:pPr>
        <w:rPr>
          <w:rFonts w:ascii="Sylfaen" w:hAnsi="Sylfaen" w:cs="Arial"/>
          <w:color w:val="000000"/>
          <w:sz w:val="16"/>
          <w:szCs w:val="16"/>
        </w:rPr>
      </w:pPr>
    </w:p>
    <w:p w14:paraId="0318062D" w14:textId="77777777" w:rsidR="00F97703" w:rsidRPr="00A544A8" w:rsidRDefault="00476DD6" w:rsidP="00E56B84">
      <w:pPr>
        <w:rPr>
          <w:rFonts w:ascii="Sylfaen" w:hAnsi="Sylfaen" w:cs="Arial"/>
          <w:color w:val="000000"/>
        </w:rPr>
      </w:pPr>
      <w:r>
        <w:rPr>
          <w:noProof/>
        </w:rPr>
        <w:drawing>
          <wp:anchor distT="0" distB="0" distL="114300" distR="114300" simplePos="0" relativeHeight="251657728" behindDoc="0" locked="0" layoutInCell="1" allowOverlap="1" wp14:anchorId="474E1282" wp14:editId="1928CFB5">
            <wp:simplePos x="0" y="0"/>
            <wp:positionH relativeFrom="column">
              <wp:posOffset>2446020</wp:posOffset>
            </wp:positionH>
            <wp:positionV relativeFrom="paragraph">
              <wp:posOffset>0</wp:posOffset>
            </wp:positionV>
            <wp:extent cx="1501140" cy="1135380"/>
            <wp:effectExtent l="0" t="0" r="0" b="0"/>
            <wp:wrapSquare wrapText="right"/>
            <wp:docPr id="2" name="Picture 2"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B1951C" w14:textId="77777777" w:rsidR="00476DD6" w:rsidRDefault="00476DD6" w:rsidP="00780F86">
      <w:pPr>
        <w:tabs>
          <w:tab w:val="right" w:pos="9720"/>
        </w:tabs>
        <w:ind w:right="-82"/>
        <w:rPr>
          <w:rFonts w:ascii="Sylfaen" w:hAnsi="Sylfaen" w:cs="Arial"/>
          <w:b/>
          <w:color w:val="000000"/>
        </w:rPr>
      </w:pPr>
    </w:p>
    <w:p w14:paraId="76B225D1" w14:textId="77777777" w:rsidR="00476DD6" w:rsidRDefault="00476DD6" w:rsidP="00780F86">
      <w:pPr>
        <w:tabs>
          <w:tab w:val="right" w:pos="9720"/>
        </w:tabs>
        <w:ind w:right="-82"/>
        <w:rPr>
          <w:rFonts w:ascii="Sylfaen" w:hAnsi="Sylfaen" w:cs="Arial"/>
          <w:b/>
          <w:color w:val="000000"/>
        </w:rPr>
      </w:pPr>
    </w:p>
    <w:p w14:paraId="2B61C12E" w14:textId="77777777" w:rsidR="00476DD6" w:rsidRDefault="00476DD6" w:rsidP="00780F86">
      <w:pPr>
        <w:tabs>
          <w:tab w:val="right" w:pos="9720"/>
        </w:tabs>
        <w:ind w:right="-82"/>
        <w:rPr>
          <w:rFonts w:ascii="Sylfaen" w:hAnsi="Sylfaen" w:cs="Arial"/>
          <w:b/>
          <w:color w:val="000000"/>
        </w:rPr>
      </w:pPr>
    </w:p>
    <w:p w14:paraId="603CDE19" w14:textId="77777777" w:rsidR="00476DD6" w:rsidRDefault="00476DD6" w:rsidP="00780F86">
      <w:pPr>
        <w:tabs>
          <w:tab w:val="right" w:pos="9720"/>
        </w:tabs>
        <w:ind w:right="-82"/>
        <w:rPr>
          <w:rFonts w:ascii="Sylfaen" w:hAnsi="Sylfaen" w:cs="Arial"/>
          <w:b/>
          <w:color w:val="000000"/>
        </w:rPr>
      </w:pPr>
    </w:p>
    <w:p w14:paraId="1A213D80" w14:textId="77777777" w:rsidR="00476DD6" w:rsidRDefault="00476DD6" w:rsidP="00780F86">
      <w:pPr>
        <w:tabs>
          <w:tab w:val="right" w:pos="9720"/>
        </w:tabs>
        <w:ind w:right="-82"/>
        <w:rPr>
          <w:rFonts w:ascii="Sylfaen" w:hAnsi="Sylfaen" w:cs="Arial"/>
          <w:b/>
          <w:color w:val="000000"/>
        </w:rPr>
      </w:pPr>
    </w:p>
    <w:p w14:paraId="084117DE" w14:textId="77777777" w:rsidR="00476DD6" w:rsidRPr="00476DD6" w:rsidRDefault="00476DD6" w:rsidP="00476DD6">
      <w:pPr>
        <w:tabs>
          <w:tab w:val="right" w:pos="9720"/>
        </w:tabs>
        <w:ind w:right="-82"/>
        <w:rPr>
          <w:rFonts w:ascii="Sylfaen" w:hAnsi="Sylfaen" w:cs="Arial"/>
          <w:b/>
          <w:color w:val="000000"/>
        </w:rPr>
      </w:pPr>
      <w:r w:rsidRPr="00476DD6">
        <w:rPr>
          <w:rFonts w:ascii="Sylfaen" w:hAnsi="Sylfaen" w:cs="Arial"/>
          <w:b/>
          <w:color w:val="000000"/>
        </w:rPr>
        <w:t xml:space="preserve">Upper Tribunal </w:t>
      </w:r>
    </w:p>
    <w:p w14:paraId="443D5440" w14:textId="77777777" w:rsidR="007B0824" w:rsidRDefault="00476DD6" w:rsidP="00476DD6">
      <w:pPr>
        <w:tabs>
          <w:tab w:val="right" w:pos="9720"/>
        </w:tabs>
        <w:ind w:right="-82"/>
        <w:rPr>
          <w:rFonts w:ascii="Sylfaen" w:hAnsi="Sylfaen" w:cs="Arial"/>
          <w:b/>
          <w:caps/>
          <w:color w:val="000000"/>
        </w:rPr>
      </w:pPr>
      <w:r w:rsidRPr="00476DD6">
        <w:rPr>
          <w:rFonts w:ascii="Sylfaen" w:hAnsi="Sylfaen" w:cs="Arial"/>
          <w:b/>
          <w:color w:val="000000"/>
        </w:rPr>
        <w:t>(Immigration and Asylum Chamber)</w:t>
      </w:r>
      <w:r w:rsidR="00DB70AE" w:rsidRPr="00A544A8">
        <w:rPr>
          <w:rFonts w:ascii="Sylfaen" w:hAnsi="Sylfaen" w:cs="Arial"/>
          <w:b/>
          <w:color w:val="000000"/>
        </w:rPr>
        <w:tab/>
      </w:r>
      <w:r w:rsidR="00B3524D" w:rsidRPr="00A544A8">
        <w:rPr>
          <w:rFonts w:ascii="Sylfaen" w:hAnsi="Sylfaen" w:cs="Arial"/>
          <w:color w:val="000000"/>
        </w:rPr>
        <w:t>Appeal</w:t>
      </w:r>
      <w:r w:rsidR="00BD3A9C">
        <w:rPr>
          <w:rFonts w:ascii="Sylfaen" w:hAnsi="Sylfaen" w:cs="Arial"/>
          <w:color w:val="000000"/>
        </w:rPr>
        <w:t xml:space="preserve"> no</w:t>
      </w:r>
      <w:r w:rsidR="00D53769" w:rsidRPr="00A544A8">
        <w:rPr>
          <w:rFonts w:ascii="Sylfaen" w:hAnsi="Sylfaen" w:cs="Arial"/>
          <w:color w:val="000000"/>
        </w:rPr>
        <w:t>:</w:t>
      </w:r>
      <w:r w:rsidR="00B3524D" w:rsidRPr="00A544A8">
        <w:rPr>
          <w:rFonts w:ascii="Sylfaen" w:hAnsi="Sylfaen" w:cs="Arial"/>
          <w:color w:val="000000"/>
        </w:rPr>
        <w:t xml:space="preserve"> </w:t>
      </w:r>
      <w:r w:rsidR="00430D6B">
        <w:rPr>
          <w:rFonts w:ascii="Sylfaen" w:hAnsi="Sylfaen" w:cs="Arial"/>
          <w:b/>
          <w:caps/>
          <w:color w:val="000000"/>
        </w:rPr>
        <w:t>H</w:t>
      </w:r>
      <w:bookmarkStart w:id="0" w:name="_GoBack"/>
      <w:bookmarkEnd w:id="0"/>
      <w:r w:rsidR="00430D6B">
        <w:rPr>
          <w:rFonts w:ascii="Sylfaen" w:hAnsi="Sylfaen" w:cs="Arial"/>
          <w:b/>
          <w:caps/>
          <w:color w:val="000000"/>
        </w:rPr>
        <w:t>U</w:t>
      </w:r>
      <w:r w:rsidR="00E5636F">
        <w:rPr>
          <w:rFonts w:ascii="Sylfaen" w:hAnsi="Sylfaen" w:cs="Arial"/>
          <w:b/>
          <w:caps/>
          <w:color w:val="000000"/>
        </w:rPr>
        <w:t>/12158/20</w:t>
      </w:r>
      <w:r w:rsidR="00430D6B">
        <w:rPr>
          <w:rFonts w:ascii="Sylfaen" w:hAnsi="Sylfaen" w:cs="Arial"/>
          <w:b/>
          <w:caps/>
          <w:color w:val="000000"/>
        </w:rPr>
        <w:t>16</w:t>
      </w:r>
    </w:p>
    <w:p w14:paraId="7FD5E25A" w14:textId="77777777" w:rsidR="00476DD6" w:rsidRPr="00A544A8" w:rsidRDefault="00476DD6" w:rsidP="00476DD6">
      <w:pPr>
        <w:tabs>
          <w:tab w:val="right" w:pos="9720"/>
        </w:tabs>
        <w:ind w:right="-82"/>
        <w:rPr>
          <w:rFonts w:ascii="Sylfaen" w:hAnsi="Sylfaen" w:cs="Arial"/>
          <w:color w:val="000000"/>
        </w:rPr>
      </w:pPr>
    </w:p>
    <w:p w14:paraId="4B59A55C" w14:textId="77777777" w:rsidR="00C345E1" w:rsidRPr="00A544A8" w:rsidRDefault="00C345E1" w:rsidP="00C345E1">
      <w:pPr>
        <w:jc w:val="center"/>
        <w:rPr>
          <w:rFonts w:ascii="Sylfaen" w:hAnsi="Sylfaen" w:cs="Arial"/>
          <w:color w:val="000000"/>
        </w:rPr>
      </w:pPr>
    </w:p>
    <w:p w14:paraId="49298E44" w14:textId="77777777" w:rsidR="00C345E1" w:rsidRPr="00A544A8" w:rsidRDefault="00C345E1" w:rsidP="00C345E1">
      <w:pPr>
        <w:jc w:val="center"/>
        <w:rPr>
          <w:rFonts w:ascii="Sylfaen" w:hAnsi="Sylfaen" w:cs="Arial"/>
          <w:b/>
          <w:color w:val="000000"/>
          <w:u w:val="single"/>
        </w:rPr>
      </w:pPr>
      <w:r w:rsidRPr="00A544A8">
        <w:rPr>
          <w:rFonts w:ascii="Sylfaen" w:hAnsi="Sylfaen" w:cs="Arial"/>
          <w:b/>
          <w:color w:val="000000"/>
          <w:u w:val="single"/>
        </w:rPr>
        <w:t>THE IMMIGRATION ACTS</w:t>
      </w:r>
    </w:p>
    <w:p w14:paraId="5A43AA5B" w14:textId="77777777" w:rsidR="00C345E1" w:rsidRPr="00A544A8" w:rsidRDefault="00C345E1" w:rsidP="00C345E1">
      <w:pPr>
        <w:jc w:val="center"/>
        <w:rPr>
          <w:rFonts w:ascii="Sylfaen" w:hAnsi="Sylfaen" w:cs="Arial"/>
          <w:b/>
          <w:u w:val="single"/>
        </w:rPr>
      </w:pPr>
    </w:p>
    <w:tbl>
      <w:tblPr>
        <w:tblW w:w="0" w:type="auto"/>
        <w:tblLook w:val="01E0" w:firstRow="1" w:lastRow="1" w:firstColumn="1" w:lastColumn="1" w:noHBand="0" w:noVBand="0"/>
      </w:tblPr>
      <w:tblGrid>
        <w:gridCol w:w="5098"/>
        <w:gridCol w:w="4730"/>
      </w:tblGrid>
      <w:tr w:rsidR="00D22636" w:rsidRPr="004258F6" w14:paraId="758A00E0" w14:textId="77777777" w:rsidTr="00FC4F57">
        <w:tc>
          <w:tcPr>
            <w:tcW w:w="5098" w:type="dxa"/>
            <w:shd w:val="clear" w:color="auto" w:fill="auto"/>
          </w:tcPr>
          <w:p w14:paraId="70EB5539" w14:textId="77777777" w:rsidR="00D22636" w:rsidRPr="004258F6" w:rsidRDefault="00D17F02" w:rsidP="004258F6">
            <w:pPr>
              <w:ind w:left="540" w:hanging="540"/>
              <w:jc w:val="both"/>
              <w:rPr>
                <w:rFonts w:ascii="Sylfaen" w:hAnsi="Sylfaen" w:cs="Arial"/>
                <w:b/>
              </w:rPr>
            </w:pPr>
            <w:r>
              <w:rPr>
                <w:rFonts w:ascii="Sylfaen" w:hAnsi="Sylfaen" w:cs="Arial"/>
              </w:rPr>
              <w:t xml:space="preserve">  Heard a</w:t>
            </w:r>
            <w:r w:rsidR="00BD3A9C" w:rsidRPr="004258F6">
              <w:rPr>
                <w:rFonts w:ascii="Sylfaen" w:hAnsi="Sylfaen" w:cs="Arial"/>
              </w:rPr>
              <w:t>t</w:t>
            </w:r>
            <w:bookmarkStart w:id="1" w:name="Dropdown5"/>
            <w:r>
              <w:rPr>
                <w:rFonts w:ascii="Sylfaen" w:hAnsi="Sylfaen" w:cs="Arial"/>
                <w:b/>
              </w:rPr>
              <w:t xml:space="preserve"> </w:t>
            </w:r>
            <w:r w:rsidR="00206F6B" w:rsidRPr="00D17F02">
              <w:rPr>
                <w:rFonts w:ascii="Sylfaen" w:hAnsi="Sylfaen" w:cs="Arial"/>
              </w:rPr>
              <w:fldChar w:fldCharType="begin">
                <w:ffData>
                  <w:name w:val="Dropdown5"/>
                  <w:enabled/>
                  <w:calcOnExit w:val="0"/>
                  <w:ddList>
                    <w:listEntry w:val="Field House"/>
                    <w:listEntry w:val="Newport"/>
                    <w:listEntry w:val="Harmondsworth"/>
                    <w:listEntry w:val="Royal Courts of Justice"/>
                  </w:ddList>
                </w:ffData>
              </w:fldChar>
            </w:r>
            <w:r w:rsidR="00206F6B" w:rsidRPr="00D17F02">
              <w:rPr>
                <w:rFonts w:ascii="Sylfaen" w:hAnsi="Sylfaen" w:cs="Arial"/>
              </w:rPr>
              <w:instrText xml:space="preserve"> FORMDROPDOWN </w:instrText>
            </w:r>
            <w:r w:rsidR="00DB7DC9">
              <w:rPr>
                <w:rFonts w:ascii="Sylfaen" w:hAnsi="Sylfaen" w:cs="Arial"/>
              </w:rPr>
            </w:r>
            <w:r w:rsidR="00DB7DC9">
              <w:rPr>
                <w:rFonts w:ascii="Sylfaen" w:hAnsi="Sylfaen" w:cs="Arial"/>
              </w:rPr>
              <w:fldChar w:fldCharType="separate"/>
            </w:r>
            <w:r w:rsidR="00206F6B" w:rsidRPr="00D17F02">
              <w:rPr>
                <w:rFonts w:ascii="Sylfaen" w:hAnsi="Sylfaen" w:cs="Arial"/>
              </w:rPr>
              <w:fldChar w:fldCharType="end"/>
            </w:r>
            <w:bookmarkEnd w:id="1"/>
          </w:p>
        </w:tc>
        <w:tc>
          <w:tcPr>
            <w:tcW w:w="4730" w:type="dxa"/>
            <w:shd w:val="clear" w:color="auto" w:fill="auto"/>
          </w:tcPr>
          <w:p w14:paraId="0F3168B1" w14:textId="77777777" w:rsidR="00D22636" w:rsidRPr="004258F6" w:rsidRDefault="00476DD6" w:rsidP="004258F6">
            <w:pPr>
              <w:ind w:left="1872" w:hanging="1872"/>
              <w:jc w:val="both"/>
              <w:rPr>
                <w:rFonts w:ascii="Sylfaen" w:hAnsi="Sylfaen" w:cs="Arial"/>
                <w:b/>
                <w:color w:val="000000"/>
              </w:rPr>
            </w:pPr>
            <w:r>
              <w:rPr>
                <w:rFonts w:ascii="Sylfaen" w:hAnsi="Sylfaen" w:cs="Arial"/>
                <w:color w:val="000000"/>
              </w:rPr>
              <w:t xml:space="preserve">Decision and Reasons Promulgated </w:t>
            </w:r>
          </w:p>
        </w:tc>
      </w:tr>
      <w:tr w:rsidR="00D22636" w:rsidRPr="004258F6" w14:paraId="16B9B9CC" w14:textId="77777777" w:rsidTr="00FC4F57">
        <w:tc>
          <w:tcPr>
            <w:tcW w:w="5098" w:type="dxa"/>
            <w:shd w:val="clear" w:color="auto" w:fill="auto"/>
          </w:tcPr>
          <w:p w14:paraId="4A508284" w14:textId="77777777" w:rsidR="00D22636" w:rsidRPr="004258F6" w:rsidRDefault="00D17F02" w:rsidP="004258F6">
            <w:pPr>
              <w:jc w:val="both"/>
              <w:rPr>
                <w:rFonts w:ascii="Sylfaen" w:hAnsi="Sylfaen" w:cs="Arial"/>
                <w:b/>
              </w:rPr>
            </w:pPr>
            <w:r>
              <w:rPr>
                <w:rFonts w:ascii="Sylfaen" w:hAnsi="Sylfaen" w:cs="Arial"/>
              </w:rPr>
              <w:t xml:space="preserve">  O</w:t>
            </w:r>
            <w:r w:rsidR="00BD3A9C" w:rsidRPr="004258F6">
              <w:rPr>
                <w:rFonts w:ascii="Sylfaen" w:hAnsi="Sylfaen" w:cs="Arial"/>
              </w:rPr>
              <w:t>n</w:t>
            </w:r>
            <w:r>
              <w:rPr>
                <w:rFonts w:ascii="Sylfaen" w:hAnsi="Sylfaen" w:cs="Arial"/>
                <w:b/>
              </w:rPr>
              <w:t xml:space="preserve"> </w:t>
            </w:r>
            <w:r w:rsidRPr="00D17F02">
              <w:rPr>
                <w:rFonts w:ascii="Sylfaen" w:hAnsi="Sylfaen" w:cs="Arial"/>
              </w:rPr>
              <w:t xml:space="preserve">21 May </w:t>
            </w:r>
            <w:r w:rsidR="00430D6B" w:rsidRPr="00D17F02">
              <w:rPr>
                <w:rFonts w:ascii="Sylfaen" w:hAnsi="Sylfaen" w:cs="Arial"/>
              </w:rPr>
              <w:t>2018</w:t>
            </w:r>
          </w:p>
        </w:tc>
        <w:tc>
          <w:tcPr>
            <w:tcW w:w="4730" w:type="dxa"/>
            <w:shd w:val="clear" w:color="auto" w:fill="auto"/>
          </w:tcPr>
          <w:p w14:paraId="0DABE696" w14:textId="77777777" w:rsidR="00D22636" w:rsidRPr="004258F6" w:rsidRDefault="00476DD6" w:rsidP="004258F6">
            <w:pPr>
              <w:ind w:left="1872" w:hanging="1872"/>
              <w:jc w:val="both"/>
              <w:rPr>
                <w:rFonts w:ascii="Sylfaen" w:hAnsi="Sylfaen" w:cs="Arial"/>
                <w:b/>
              </w:rPr>
            </w:pPr>
            <w:r>
              <w:rPr>
                <w:rFonts w:ascii="Sylfaen" w:hAnsi="Sylfaen" w:cs="Arial"/>
                <w:color w:val="000000"/>
              </w:rPr>
              <w:t xml:space="preserve">On 24 May 2018 </w:t>
            </w:r>
          </w:p>
        </w:tc>
      </w:tr>
    </w:tbl>
    <w:p w14:paraId="6E198E83" w14:textId="77777777" w:rsidR="00F07170" w:rsidRDefault="00F07170" w:rsidP="00BD3A9C">
      <w:pPr>
        <w:rPr>
          <w:rFonts w:ascii="Sylfaen" w:hAnsi="Sylfaen" w:cs="Arial"/>
          <w:b/>
        </w:rPr>
      </w:pPr>
    </w:p>
    <w:p w14:paraId="657D3BC3" w14:textId="77777777" w:rsidR="00A15234" w:rsidRPr="003860CF" w:rsidRDefault="00207617" w:rsidP="00BD3A9C">
      <w:pPr>
        <w:rPr>
          <w:rFonts w:ascii="Sylfaen" w:hAnsi="Sylfaen" w:cs="Arial"/>
        </w:rPr>
      </w:pPr>
      <w:r w:rsidRPr="003860CF">
        <w:rPr>
          <w:rFonts w:ascii="Sylfaen" w:hAnsi="Sylfaen" w:cs="Arial"/>
        </w:rPr>
        <w:t>Befo</w:t>
      </w:r>
      <w:r w:rsidR="00A15234" w:rsidRPr="003860CF">
        <w:rPr>
          <w:rFonts w:ascii="Sylfaen" w:hAnsi="Sylfaen" w:cs="Arial"/>
        </w:rPr>
        <w:t>re</w:t>
      </w:r>
      <w:r w:rsidR="00BD3A9C" w:rsidRPr="003860CF">
        <w:rPr>
          <w:rFonts w:ascii="Sylfaen" w:hAnsi="Sylfaen" w:cs="Arial"/>
        </w:rPr>
        <w:t>:</w:t>
      </w:r>
    </w:p>
    <w:p w14:paraId="106A9191" w14:textId="77777777" w:rsidR="00D20757" w:rsidRPr="003860CF" w:rsidRDefault="00BA334F" w:rsidP="00A15234">
      <w:pPr>
        <w:jc w:val="center"/>
        <w:rPr>
          <w:rFonts w:ascii="Sylfaen" w:hAnsi="Sylfaen" w:cs="Arial"/>
          <w:color w:val="000000"/>
        </w:rPr>
      </w:pPr>
      <w:smartTag w:uri="urn:schemas-microsoft-com:office:smarttags" w:element="PersonName">
        <w:r>
          <w:rPr>
            <w:rFonts w:ascii="Sylfaen" w:hAnsi="Sylfaen" w:cs="Arial"/>
            <w:color w:val="000000"/>
          </w:rPr>
          <w:t>Upper Tribunal</w:t>
        </w:r>
      </w:smartTag>
      <w:r>
        <w:rPr>
          <w:rFonts w:ascii="Sylfaen" w:hAnsi="Sylfaen" w:cs="Arial"/>
          <w:color w:val="000000"/>
        </w:rPr>
        <w:t xml:space="preserve"> Ju</w:t>
      </w:r>
      <w:r w:rsidRPr="003860CF">
        <w:rPr>
          <w:rFonts w:ascii="Sylfaen" w:hAnsi="Sylfaen" w:cs="Arial"/>
          <w:color w:val="000000"/>
        </w:rPr>
        <w:t xml:space="preserve">dge </w:t>
      </w:r>
    </w:p>
    <w:p w14:paraId="635F2677" w14:textId="77777777" w:rsidR="00A544A8" w:rsidRPr="00A544A8" w:rsidRDefault="00A544A8" w:rsidP="00A544A8">
      <w:pPr>
        <w:jc w:val="center"/>
        <w:rPr>
          <w:rFonts w:ascii="Sylfaen" w:hAnsi="Sylfaen" w:cs="Arial"/>
          <w:b/>
          <w:color w:val="000000"/>
        </w:rPr>
      </w:pPr>
      <w:r w:rsidRPr="00A544A8">
        <w:rPr>
          <w:rFonts w:ascii="Sylfaen" w:hAnsi="Sylfaen" w:cs="Arial"/>
          <w:b/>
          <w:color w:val="000000"/>
        </w:rPr>
        <w:t>John FREEMAN</w:t>
      </w:r>
    </w:p>
    <w:p w14:paraId="54538550" w14:textId="77777777" w:rsidR="00A845DC" w:rsidRPr="003860CF" w:rsidRDefault="00A845DC" w:rsidP="00BD3A9C">
      <w:pPr>
        <w:rPr>
          <w:rFonts w:ascii="Sylfaen" w:hAnsi="Sylfaen" w:cs="Arial"/>
        </w:rPr>
      </w:pPr>
      <w:r w:rsidRPr="003860CF">
        <w:rPr>
          <w:rFonts w:ascii="Sylfaen" w:hAnsi="Sylfaen" w:cs="Arial"/>
        </w:rPr>
        <w:t>Between</w:t>
      </w:r>
      <w:r w:rsidR="00BD3A9C" w:rsidRPr="003860CF">
        <w:rPr>
          <w:rFonts w:ascii="Sylfaen" w:hAnsi="Sylfaen" w:cs="Arial"/>
        </w:rPr>
        <w:t>:</w:t>
      </w:r>
    </w:p>
    <w:p w14:paraId="232E1EFD" w14:textId="77777777" w:rsidR="00704B61" w:rsidRPr="00A544A8" w:rsidRDefault="005E3BB2" w:rsidP="00A15234">
      <w:pPr>
        <w:jc w:val="center"/>
        <w:rPr>
          <w:rFonts w:ascii="Sylfaen" w:hAnsi="Sylfaen" w:cs="Arial"/>
          <w:b/>
        </w:rPr>
      </w:pPr>
      <w:r>
        <w:rPr>
          <w:rFonts w:ascii="Sylfaen" w:hAnsi="Sylfaen" w:cs="Arial"/>
          <w:b/>
          <w:caps/>
        </w:rPr>
        <w:t>RAJWANT KAUR</w:t>
      </w:r>
    </w:p>
    <w:p w14:paraId="3B6789FB" w14:textId="77777777" w:rsidR="00704B61" w:rsidRPr="003860CF" w:rsidRDefault="00BD3A9C" w:rsidP="00704B61">
      <w:pPr>
        <w:jc w:val="right"/>
        <w:rPr>
          <w:rFonts w:ascii="Sylfaen" w:hAnsi="Sylfaen" w:cs="Arial"/>
        </w:rPr>
      </w:pPr>
      <w:r w:rsidRPr="003860CF">
        <w:rPr>
          <w:rFonts w:ascii="Sylfaen" w:hAnsi="Sylfaen" w:cs="Arial"/>
        </w:rPr>
        <w:t>appellant</w:t>
      </w:r>
    </w:p>
    <w:p w14:paraId="0E253342" w14:textId="77777777" w:rsidR="00704B61" w:rsidRPr="00A544A8" w:rsidRDefault="00DD5071" w:rsidP="00704B61">
      <w:pPr>
        <w:jc w:val="center"/>
        <w:rPr>
          <w:rFonts w:ascii="Sylfaen" w:hAnsi="Sylfaen" w:cs="Arial"/>
          <w:b/>
        </w:rPr>
      </w:pPr>
      <w:r w:rsidRPr="00A544A8">
        <w:rPr>
          <w:rFonts w:ascii="Sylfaen" w:hAnsi="Sylfaen" w:cs="Arial"/>
          <w:b/>
        </w:rPr>
        <w:t>and</w:t>
      </w:r>
    </w:p>
    <w:p w14:paraId="442C32FC" w14:textId="77777777" w:rsidR="00DD5071" w:rsidRPr="00A544A8" w:rsidRDefault="00DD5071" w:rsidP="00704B61">
      <w:pPr>
        <w:jc w:val="center"/>
        <w:rPr>
          <w:rFonts w:ascii="Sylfaen" w:hAnsi="Sylfaen" w:cs="Arial"/>
          <w:b/>
        </w:rPr>
      </w:pPr>
    </w:p>
    <w:bookmarkStart w:id="2" w:name="Dropdown1"/>
    <w:p w14:paraId="6EACB660" w14:textId="77777777" w:rsidR="00DD5071" w:rsidRPr="00A544A8" w:rsidRDefault="00A544A8" w:rsidP="00704B61">
      <w:pPr>
        <w:jc w:val="center"/>
        <w:rPr>
          <w:rFonts w:ascii="Sylfaen" w:hAnsi="Sylfaen" w:cs="Arial"/>
          <w:b/>
        </w:rPr>
      </w:pPr>
      <w:r w:rsidRPr="00A544A8">
        <w:rPr>
          <w:rFonts w:ascii="Sylfaen" w:hAnsi="Sylfaen" w:cs="Arial"/>
          <w:b/>
        </w:rPr>
        <w:fldChar w:fldCharType="begin">
          <w:ffData>
            <w:name w:val="Dropdown1"/>
            <w:enabled/>
            <w:calcOnExit w:val="0"/>
            <w:ddList>
              <w:listEntry w:val="Secretary of State for the Home Department"/>
              <w:listEntry w:val="Entry Clearance Officer,"/>
              <w:listEntry w:val="Immigration Officer, "/>
            </w:ddList>
          </w:ffData>
        </w:fldChar>
      </w:r>
      <w:r w:rsidRPr="00A544A8">
        <w:rPr>
          <w:rFonts w:ascii="Sylfaen" w:hAnsi="Sylfaen" w:cs="Arial"/>
          <w:b/>
        </w:rPr>
        <w:instrText xml:space="preserve"> FORMDROPDOWN </w:instrText>
      </w:r>
      <w:r w:rsidR="00DB7DC9">
        <w:rPr>
          <w:rFonts w:ascii="Sylfaen" w:hAnsi="Sylfaen" w:cs="Arial"/>
          <w:b/>
        </w:rPr>
      </w:r>
      <w:r w:rsidR="00DB7DC9">
        <w:rPr>
          <w:rFonts w:ascii="Sylfaen" w:hAnsi="Sylfaen" w:cs="Arial"/>
          <w:b/>
        </w:rPr>
        <w:fldChar w:fldCharType="separate"/>
      </w:r>
      <w:r w:rsidRPr="00A544A8">
        <w:rPr>
          <w:rFonts w:ascii="Sylfaen" w:hAnsi="Sylfaen" w:cs="Arial"/>
          <w:b/>
        </w:rPr>
        <w:fldChar w:fldCharType="end"/>
      </w:r>
      <w:bookmarkEnd w:id="2"/>
    </w:p>
    <w:p w14:paraId="72DD6FFE" w14:textId="77777777" w:rsidR="00DD5071" w:rsidRPr="003860CF" w:rsidRDefault="00BD3A9C" w:rsidP="00DD5071">
      <w:pPr>
        <w:jc w:val="right"/>
        <w:rPr>
          <w:rFonts w:ascii="Sylfaen" w:hAnsi="Sylfaen" w:cs="Arial"/>
        </w:rPr>
      </w:pPr>
      <w:r w:rsidRPr="003860CF">
        <w:rPr>
          <w:rFonts w:ascii="Sylfaen" w:hAnsi="Sylfaen" w:cs="Arial"/>
        </w:rPr>
        <w:t>respondent</w:t>
      </w:r>
    </w:p>
    <w:p w14:paraId="341E4B80" w14:textId="77777777" w:rsidR="00DD5071" w:rsidRPr="003860CF" w:rsidRDefault="00DE7DB7" w:rsidP="00DD5071">
      <w:pPr>
        <w:rPr>
          <w:rFonts w:ascii="Sylfaen" w:hAnsi="Sylfaen" w:cs="Arial"/>
        </w:rPr>
      </w:pPr>
      <w:r w:rsidRPr="003860CF">
        <w:rPr>
          <w:rFonts w:ascii="Sylfaen" w:hAnsi="Sylfaen" w:cs="Arial"/>
          <w:u w:val="single"/>
        </w:rPr>
        <w:t>Representation</w:t>
      </w:r>
      <w:r w:rsidRPr="003860CF">
        <w:rPr>
          <w:rFonts w:ascii="Sylfaen" w:hAnsi="Sylfaen" w:cs="Arial"/>
        </w:rPr>
        <w:t>:</w:t>
      </w:r>
    </w:p>
    <w:p w14:paraId="09433A74" w14:textId="77777777" w:rsidR="00DE7DB7" w:rsidRPr="00A544A8" w:rsidRDefault="00DE7DB7" w:rsidP="00DE7DB7">
      <w:pPr>
        <w:tabs>
          <w:tab w:val="left" w:pos="2520"/>
        </w:tabs>
        <w:rPr>
          <w:rFonts w:ascii="Sylfaen" w:hAnsi="Sylfaen" w:cs="Arial"/>
        </w:rPr>
      </w:pPr>
      <w:r w:rsidRPr="00A544A8">
        <w:rPr>
          <w:rFonts w:ascii="Sylfaen" w:hAnsi="Sylfaen" w:cs="Arial"/>
        </w:rPr>
        <w:t xml:space="preserve">For the </w:t>
      </w:r>
      <w:r w:rsidR="00A544A8" w:rsidRPr="00A544A8">
        <w:rPr>
          <w:rFonts w:ascii="Sylfaen" w:hAnsi="Sylfaen" w:cs="Arial"/>
        </w:rPr>
        <w:t>appellant</w:t>
      </w:r>
      <w:r w:rsidRPr="00A544A8">
        <w:rPr>
          <w:rFonts w:ascii="Sylfaen" w:hAnsi="Sylfaen" w:cs="Arial"/>
        </w:rPr>
        <w:t>:</w:t>
      </w:r>
      <w:r w:rsidRPr="00A544A8">
        <w:rPr>
          <w:rFonts w:ascii="Sylfaen" w:hAnsi="Sylfaen" w:cs="Arial"/>
        </w:rPr>
        <w:tab/>
      </w:r>
      <w:r w:rsidR="00C6225C" w:rsidRPr="00C6225C">
        <w:rPr>
          <w:rFonts w:ascii="Sylfaen" w:hAnsi="Sylfaen" w:cs="Arial"/>
          <w:i/>
        </w:rPr>
        <w:t>Charlotte Fletcher</w:t>
      </w:r>
      <w:r w:rsidR="00C6225C">
        <w:rPr>
          <w:rFonts w:ascii="Sylfaen" w:hAnsi="Sylfaen" w:cs="Arial"/>
        </w:rPr>
        <w:t xml:space="preserve"> (counsel </w:t>
      </w:r>
      <w:r w:rsidR="00C6225C" w:rsidRPr="00C6225C">
        <w:rPr>
          <w:rFonts w:ascii="Sylfaen" w:hAnsi="Sylfaen" w:cs="Arial"/>
        </w:rPr>
        <w:t>instructed by</w:t>
      </w:r>
      <w:r w:rsidR="00C6225C">
        <w:rPr>
          <w:rFonts w:ascii="Sylfaen" w:hAnsi="Sylfaen" w:cs="Arial"/>
        </w:rPr>
        <w:t xml:space="preserve"> Charles Simmons, Ilford)</w:t>
      </w:r>
    </w:p>
    <w:p w14:paraId="73263C85" w14:textId="77777777" w:rsidR="00DE7DB7" w:rsidRPr="00A544A8" w:rsidRDefault="00DE7DB7" w:rsidP="00DE7DB7">
      <w:pPr>
        <w:tabs>
          <w:tab w:val="left" w:pos="2520"/>
        </w:tabs>
        <w:rPr>
          <w:rFonts w:ascii="Sylfaen" w:hAnsi="Sylfaen" w:cs="Arial"/>
        </w:rPr>
      </w:pPr>
      <w:r w:rsidRPr="00A544A8">
        <w:rPr>
          <w:rFonts w:ascii="Sylfaen" w:hAnsi="Sylfaen" w:cs="Arial"/>
        </w:rPr>
        <w:t xml:space="preserve">For the </w:t>
      </w:r>
      <w:r w:rsidR="00A544A8" w:rsidRPr="00A544A8">
        <w:rPr>
          <w:rFonts w:ascii="Sylfaen" w:hAnsi="Sylfaen" w:cs="Arial"/>
        </w:rPr>
        <w:t>respondent</w:t>
      </w:r>
      <w:r w:rsidRPr="00A544A8">
        <w:rPr>
          <w:rFonts w:ascii="Sylfaen" w:hAnsi="Sylfaen" w:cs="Arial"/>
        </w:rPr>
        <w:t>:</w:t>
      </w:r>
      <w:r w:rsidRPr="00A544A8">
        <w:rPr>
          <w:rFonts w:ascii="Sylfaen" w:hAnsi="Sylfaen" w:cs="Arial"/>
        </w:rPr>
        <w:tab/>
      </w:r>
      <w:r w:rsidR="000F530F">
        <w:rPr>
          <w:rFonts w:ascii="Sylfaen" w:hAnsi="Sylfaen" w:cs="Arial"/>
        </w:rPr>
        <w:t>Mr Ian Jarvis</w:t>
      </w:r>
    </w:p>
    <w:p w14:paraId="1CECA5FE" w14:textId="77777777" w:rsidR="00DE7DB7" w:rsidRPr="00A544A8" w:rsidRDefault="00DE7DB7" w:rsidP="00402B9E">
      <w:pPr>
        <w:tabs>
          <w:tab w:val="left" w:pos="2520"/>
        </w:tabs>
        <w:jc w:val="center"/>
        <w:rPr>
          <w:rFonts w:ascii="Sylfaen" w:hAnsi="Sylfaen" w:cs="Arial"/>
        </w:rPr>
      </w:pPr>
    </w:p>
    <w:p w14:paraId="3DA8B580" w14:textId="77777777" w:rsidR="00DE7DB7" w:rsidRPr="00A544A8" w:rsidRDefault="001401BB" w:rsidP="00BD3A9C">
      <w:pPr>
        <w:tabs>
          <w:tab w:val="left" w:pos="2520"/>
        </w:tabs>
        <w:spacing w:after="120"/>
        <w:jc w:val="center"/>
        <w:rPr>
          <w:rFonts w:ascii="Sylfaen" w:hAnsi="Sylfaen" w:cs="Arial"/>
        </w:rPr>
      </w:pPr>
      <w:r>
        <w:rPr>
          <w:rFonts w:ascii="Sylfaen" w:hAnsi="Sylfaen" w:cs="Arial"/>
          <w:b/>
          <w:u w:val="single"/>
        </w:rPr>
        <w:t>DECISION</w:t>
      </w:r>
      <w:r w:rsidR="00402B9E" w:rsidRPr="00A544A8">
        <w:rPr>
          <w:rFonts w:ascii="Sylfaen" w:hAnsi="Sylfaen" w:cs="Arial"/>
          <w:b/>
          <w:u w:val="single"/>
        </w:rPr>
        <w:t xml:space="preserve"> AND REASONS</w:t>
      </w:r>
    </w:p>
    <w:p w14:paraId="0C47BA22" w14:textId="77777777" w:rsidR="00BF23BB" w:rsidRPr="00A544A8" w:rsidRDefault="00402B9E" w:rsidP="00BD3A9C">
      <w:pPr>
        <w:tabs>
          <w:tab w:val="left" w:pos="567"/>
        </w:tabs>
        <w:spacing w:after="120"/>
        <w:ind w:left="567" w:hanging="567"/>
        <w:jc w:val="both"/>
        <w:rPr>
          <w:rFonts w:ascii="Sylfaen" w:hAnsi="Sylfaen" w:cs="Arial"/>
        </w:rPr>
      </w:pPr>
      <w:r w:rsidRPr="00A544A8">
        <w:rPr>
          <w:rFonts w:ascii="Sylfaen" w:hAnsi="Sylfaen" w:cs="Arial"/>
        </w:rPr>
        <w:tab/>
      </w:r>
      <w:r w:rsidR="00FE4D99">
        <w:rPr>
          <w:rFonts w:ascii="Sylfaen" w:hAnsi="Sylfaen" w:cs="Arial"/>
        </w:rPr>
        <w:t>This is an appeal</w:t>
      </w:r>
      <w:r w:rsidR="00DF392C">
        <w:rPr>
          <w:rFonts w:ascii="Sylfaen" w:hAnsi="Sylfaen" w:cs="Arial"/>
        </w:rPr>
        <w:t>,</w:t>
      </w:r>
      <w:r w:rsidR="00FE4D99">
        <w:rPr>
          <w:rFonts w:ascii="Sylfaen" w:hAnsi="Sylfaen" w:cs="Arial"/>
        </w:rPr>
        <w:t xml:space="preserve"> by</w:t>
      </w:r>
      <w:r w:rsidR="00DE20CE">
        <w:rPr>
          <w:rFonts w:ascii="Sylfaen" w:hAnsi="Sylfaen" w:cs="Arial"/>
        </w:rPr>
        <w:t xml:space="preserve"> the </w:t>
      </w:r>
      <w:r w:rsidR="000F530F">
        <w:rPr>
          <w:rFonts w:ascii="Sylfaen" w:hAnsi="Sylfaen" w:cs="Arial"/>
        </w:rPr>
        <w:fldChar w:fldCharType="begin">
          <w:ffData>
            <w:name w:val="Dropdown4"/>
            <w:enabled/>
            <w:calcOnExit w:val="0"/>
            <w:ddList>
              <w:listEntry w:val="respondent to the original appeal"/>
              <w:listEntry w:val="appellant"/>
              <w:listEntry w:val="appellants"/>
            </w:ddList>
          </w:ffData>
        </w:fldChar>
      </w:r>
      <w:bookmarkStart w:id="3" w:name="Dropdown4"/>
      <w:r w:rsidR="000F530F">
        <w:rPr>
          <w:rFonts w:ascii="Sylfaen" w:hAnsi="Sylfaen" w:cs="Arial"/>
        </w:rPr>
        <w:instrText xml:space="preserve"> FORMDROPDOWN </w:instrText>
      </w:r>
      <w:r w:rsidR="00DB7DC9">
        <w:rPr>
          <w:rFonts w:ascii="Sylfaen" w:hAnsi="Sylfaen" w:cs="Arial"/>
        </w:rPr>
      </w:r>
      <w:r w:rsidR="00DB7DC9">
        <w:rPr>
          <w:rFonts w:ascii="Sylfaen" w:hAnsi="Sylfaen" w:cs="Arial"/>
        </w:rPr>
        <w:fldChar w:fldCharType="separate"/>
      </w:r>
      <w:r w:rsidR="000F530F">
        <w:rPr>
          <w:rFonts w:ascii="Sylfaen" w:hAnsi="Sylfaen" w:cs="Arial"/>
        </w:rPr>
        <w:fldChar w:fldCharType="end"/>
      </w:r>
      <w:bookmarkEnd w:id="3"/>
      <w:r w:rsidR="00DF392C">
        <w:rPr>
          <w:rFonts w:ascii="Sylfaen" w:hAnsi="Sylfaen" w:cs="Arial"/>
        </w:rPr>
        <w:t>,</w:t>
      </w:r>
      <w:r w:rsidR="00FE4D99">
        <w:rPr>
          <w:rFonts w:ascii="Sylfaen" w:hAnsi="Sylfaen" w:cs="Arial"/>
        </w:rPr>
        <w:t xml:space="preserve"> against the decision of </w:t>
      </w:r>
      <w:r w:rsidR="00194E6E">
        <w:rPr>
          <w:rFonts w:ascii="Sylfaen" w:hAnsi="Sylfaen" w:cs="Arial"/>
        </w:rPr>
        <w:t>the First-tier Tribunal</w:t>
      </w:r>
      <w:r w:rsidR="00FE4D99">
        <w:rPr>
          <w:rFonts w:ascii="Sylfaen" w:hAnsi="Sylfaen" w:cs="Arial"/>
        </w:rPr>
        <w:t xml:space="preserve"> </w:t>
      </w:r>
      <w:r w:rsidR="00194E6E">
        <w:rPr>
          <w:rFonts w:ascii="Sylfaen" w:hAnsi="Sylfaen" w:cs="Arial"/>
        </w:rPr>
        <w:t>(</w:t>
      </w:r>
      <w:r w:rsidR="00FE4D99">
        <w:rPr>
          <w:rFonts w:ascii="Sylfaen" w:hAnsi="Sylfaen" w:cs="Arial"/>
        </w:rPr>
        <w:t xml:space="preserve">Judge </w:t>
      </w:r>
      <w:r w:rsidR="000F530F">
        <w:rPr>
          <w:rFonts w:ascii="Sylfaen" w:hAnsi="Sylfaen" w:cs="Arial"/>
        </w:rPr>
        <w:t xml:space="preserve">Alastair </w:t>
      </w:r>
      <w:proofErr w:type="spellStart"/>
      <w:r w:rsidR="000F530F">
        <w:rPr>
          <w:rFonts w:ascii="Sylfaen" w:hAnsi="Sylfaen" w:cs="Arial"/>
        </w:rPr>
        <w:t>Trevaskis</w:t>
      </w:r>
      <w:proofErr w:type="spellEnd"/>
      <w:r w:rsidR="00194E6E">
        <w:rPr>
          <w:rFonts w:ascii="Sylfaen" w:hAnsi="Sylfaen" w:cs="Arial"/>
        </w:rPr>
        <w:t>)</w:t>
      </w:r>
      <w:r w:rsidR="00FE4D99">
        <w:rPr>
          <w:rFonts w:ascii="Sylfaen" w:hAnsi="Sylfaen" w:cs="Arial"/>
        </w:rPr>
        <w:t xml:space="preserve">, sitting at </w:t>
      </w:r>
      <w:smartTag w:uri="urn:schemas-microsoft-com:office:smarttags" w:element="City">
        <w:r w:rsidR="000F530F">
          <w:rPr>
            <w:rFonts w:ascii="Sylfaen" w:hAnsi="Sylfaen" w:cs="Arial"/>
          </w:rPr>
          <w:t>Newport</w:t>
        </w:r>
      </w:smartTag>
      <w:r w:rsidR="00FE4D99">
        <w:rPr>
          <w:rFonts w:ascii="Sylfaen" w:hAnsi="Sylfaen" w:cs="Arial"/>
        </w:rPr>
        <w:t xml:space="preserve"> on </w:t>
      </w:r>
      <w:r w:rsidR="000F530F">
        <w:rPr>
          <w:rFonts w:ascii="Sylfaen" w:hAnsi="Sylfaen" w:cs="Arial"/>
        </w:rPr>
        <w:t>26 May 2017</w:t>
      </w:r>
      <w:r w:rsidR="00FE4D99">
        <w:rPr>
          <w:rFonts w:ascii="Sylfaen" w:hAnsi="Sylfaen" w:cs="Arial"/>
        </w:rPr>
        <w:t xml:space="preserve">, to </w:t>
      </w:r>
      <w:r w:rsidR="000F530F">
        <w:rPr>
          <w:rFonts w:ascii="Sylfaen" w:hAnsi="Sylfaen" w:cs="Arial"/>
        </w:rPr>
        <w:fldChar w:fldCharType="begin">
          <w:ffData>
            <w:name w:val="Dropdown2"/>
            <w:enabled/>
            <w:calcOnExit w:val="0"/>
            <w:ddList>
              <w:listEntry w:val="allow"/>
              <w:listEntry w:val="dismiss"/>
            </w:ddList>
          </w:ffData>
        </w:fldChar>
      </w:r>
      <w:bookmarkStart w:id="4" w:name="Dropdown2"/>
      <w:r w:rsidR="000F530F">
        <w:rPr>
          <w:rFonts w:ascii="Sylfaen" w:hAnsi="Sylfaen" w:cs="Arial"/>
        </w:rPr>
        <w:instrText xml:space="preserve"> FORMDROPDOWN </w:instrText>
      </w:r>
      <w:r w:rsidR="00DB7DC9">
        <w:rPr>
          <w:rFonts w:ascii="Sylfaen" w:hAnsi="Sylfaen" w:cs="Arial"/>
        </w:rPr>
      </w:r>
      <w:r w:rsidR="00DB7DC9">
        <w:rPr>
          <w:rFonts w:ascii="Sylfaen" w:hAnsi="Sylfaen" w:cs="Arial"/>
        </w:rPr>
        <w:fldChar w:fldCharType="separate"/>
      </w:r>
      <w:r w:rsidR="000F530F">
        <w:rPr>
          <w:rFonts w:ascii="Sylfaen" w:hAnsi="Sylfaen" w:cs="Arial"/>
        </w:rPr>
        <w:fldChar w:fldCharType="end"/>
      </w:r>
      <w:bookmarkEnd w:id="4"/>
      <w:r w:rsidR="00FE4D99">
        <w:rPr>
          <w:rFonts w:ascii="Sylfaen" w:hAnsi="Sylfaen" w:cs="Arial"/>
        </w:rPr>
        <w:t xml:space="preserve"> </w:t>
      </w:r>
      <w:r w:rsidR="000F530F">
        <w:rPr>
          <w:rFonts w:ascii="Sylfaen" w:hAnsi="Sylfaen" w:cs="Arial"/>
        </w:rPr>
        <w:t>an ETS</w:t>
      </w:r>
      <w:r w:rsidR="00FE4D99">
        <w:rPr>
          <w:rFonts w:ascii="Sylfaen" w:hAnsi="Sylfaen" w:cs="Arial"/>
        </w:rPr>
        <w:t xml:space="preserve"> appeal by a citizen of </w:t>
      </w:r>
      <w:smartTag w:uri="urn:schemas-microsoft-com:office:smarttags" w:element="country-region">
        <w:smartTag w:uri="urn:schemas-microsoft-com:office:smarttags" w:element="place">
          <w:r w:rsidR="000F530F">
            <w:rPr>
              <w:rFonts w:ascii="Sylfaen" w:hAnsi="Sylfaen" w:cs="Arial"/>
            </w:rPr>
            <w:t>India</w:t>
          </w:r>
        </w:smartTag>
      </w:smartTag>
      <w:r w:rsidR="00102EBC">
        <w:rPr>
          <w:rFonts w:ascii="Sylfaen" w:hAnsi="Sylfaen" w:cs="Arial"/>
        </w:rPr>
        <w:t xml:space="preserve">, born </w:t>
      </w:r>
      <w:r w:rsidR="000F530F">
        <w:rPr>
          <w:rFonts w:ascii="Sylfaen" w:hAnsi="Sylfaen" w:cs="Arial"/>
        </w:rPr>
        <w:t>1986</w:t>
      </w:r>
      <w:r w:rsidR="00FE4D99">
        <w:rPr>
          <w:rFonts w:ascii="Sylfaen" w:hAnsi="Sylfaen" w:cs="Arial"/>
        </w:rPr>
        <w:t>.</w:t>
      </w:r>
      <w:r w:rsidR="000F530F">
        <w:rPr>
          <w:rFonts w:ascii="Sylfaen" w:hAnsi="Sylfaen" w:cs="Arial"/>
        </w:rPr>
        <w:t xml:space="preserve"> Permission was given on the basis that the judge had put too much weight on the appellant’s English-speaking skills, contrary to what had been said in </w:t>
      </w:r>
      <w:hyperlink r:id="rId8" w:history="1">
        <w:r w:rsidR="000F530F" w:rsidRPr="000F530F">
          <w:rPr>
            <w:rStyle w:val="Hyperlink"/>
            <w:rFonts w:ascii="Sylfaen" w:hAnsi="Sylfaen" w:cs="Arial"/>
            <w:i/>
            <w:color w:val="000000"/>
            <w:u w:val="none"/>
          </w:rPr>
          <w:t>MA</w:t>
        </w:r>
        <w:r w:rsidR="000F530F" w:rsidRPr="000F530F">
          <w:rPr>
            <w:rStyle w:val="Hyperlink"/>
            <w:rFonts w:ascii="Sylfaen" w:hAnsi="Sylfaen" w:cs="Arial"/>
            <w:color w:val="000000"/>
            <w:u w:val="none"/>
          </w:rPr>
          <w:t xml:space="preserve"> (ETS – TOEIC testing)[2016] UKUT 450 (IAC)</w:t>
        </w:r>
      </w:hyperlink>
      <w:r w:rsidR="000F530F">
        <w:rPr>
          <w:rFonts w:ascii="Sylfaen" w:hAnsi="Sylfaen" w:cs="Arial"/>
          <w:color w:val="000000"/>
        </w:rPr>
        <w:t>: see below.</w:t>
      </w:r>
    </w:p>
    <w:p w14:paraId="36BC5A88" w14:textId="77777777" w:rsidR="004617F0" w:rsidRDefault="000F530F" w:rsidP="00BD3A9C">
      <w:pPr>
        <w:numPr>
          <w:ilvl w:val="0"/>
          <w:numId w:val="1"/>
        </w:numPr>
        <w:tabs>
          <w:tab w:val="clear" w:pos="757"/>
        </w:tabs>
        <w:spacing w:after="120"/>
        <w:ind w:left="540" w:hanging="540"/>
        <w:jc w:val="both"/>
        <w:rPr>
          <w:rFonts w:ascii="Sylfaen" w:hAnsi="Sylfaen" w:cs="Arial"/>
        </w:rPr>
      </w:pPr>
      <w:r>
        <w:rPr>
          <w:rFonts w:ascii="Sylfaen" w:hAnsi="Sylfaen" w:cs="Arial"/>
        </w:rPr>
        <w:t>This appellant had been here with leave as a student from 2010 to 2012, when on 19 May she took an ETS English-language test at New London College</w:t>
      </w:r>
      <w:r w:rsidR="006E2F1E">
        <w:rPr>
          <w:rFonts w:ascii="Sylfaen" w:hAnsi="Sylfaen" w:cs="Arial"/>
        </w:rPr>
        <w:t xml:space="preserve"> {NLC]</w:t>
      </w:r>
      <w:r>
        <w:rPr>
          <w:rFonts w:ascii="Sylfaen" w:hAnsi="Sylfaen" w:cs="Arial"/>
        </w:rPr>
        <w:t xml:space="preserve">, on the strength of which she got further leave till 2013, and eventually, as the wife of a settled person, till </w:t>
      </w:r>
      <w:r w:rsidR="00171EF3">
        <w:rPr>
          <w:rFonts w:ascii="Sylfaen" w:hAnsi="Sylfaen" w:cs="Arial"/>
        </w:rPr>
        <w:t>22 April 2016. On the 20</w:t>
      </w:r>
      <w:r w:rsidR="00171EF3" w:rsidRPr="00171EF3">
        <w:rPr>
          <w:rFonts w:ascii="Sylfaen" w:hAnsi="Sylfaen" w:cs="Arial"/>
          <w:vertAlign w:val="superscript"/>
        </w:rPr>
        <w:t>th</w:t>
      </w:r>
      <w:r w:rsidR="00171EF3">
        <w:rPr>
          <w:rFonts w:ascii="Sylfaen" w:hAnsi="Sylfaen" w:cs="Arial"/>
        </w:rPr>
        <w:t xml:space="preserve"> she applied for further leave; but on the 26</w:t>
      </w:r>
      <w:r w:rsidR="00171EF3" w:rsidRPr="00171EF3">
        <w:rPr>
          <w:rFonts w:ascii="Sylfaen" w:hAnsi="Sylfaen" w:cs="Arial"/>
          <w:vertAlign w:val="superscript"/>
        </w:rPr>
        <w:t>th</w:t>
      </w:r>
      <w:r w:rsidR="00171EF3">
        <w:rPr>
          <w:rFonts w:ascii="Sylfaen" w:hAnsi="Sylfaen" w:cs="Arial"/>
        </w:rPr>
        <w:t xml:space="preserve"> this was refused, partly on suitability grounds, as it was said she had had the 2012 test taken by a proxy.</w:t>
      </w:r>
    </w:p>
    <w:p w14:paraId="72E9E560" w14:textId="77777777" w:rsidR="00240B69" w:rsidRPr="006E2F1E" w:rsidRDefault="006E2F1E" w:rsidP="00BD3A9C">
      <w:pPr>
        <w:numPr>
          <w:ilvl w:val="0"/>
          <w:numId w:val="1"/>
        </w:numPr>
        <w:tabs>
          <w:tab w:val="clear" w:pos="757"/>
        </w:tabs>
        <w:spacing w:after="120"/>
        <w:ind w:left="540" w:hanging="540"/>
        <w:jc w:val="both"/>
        <w:rPr>
          <w:rFonts w:ascii="Sylfaen" w:hAnsi="Sylfaen" w:cs="Arial"/>
        </w:rPr>
      </w:pPr>
      <w:r>
        <w:rPr>
          <w:rFonts w:ascii="Sylfaen" w:hAnsi="Sylfaen" w:cs="Arial"/>
        </w:rPr>
        <w:br w:type="page"/>
      </w:r>
      <w:r w:rsidR="00240B69">
        <w:rPr>
          <w:rFonts w:ascii="Sylfaen" w:hAnsi="Sylfaen" w:cs="Arial"/>
        </w:rPr>
        <w:lastRenderedPageBreak/>
        <w:t xml:space="preserve">The judge accepted the appellant’s oral evidence about taking the test herself, </w:t>
      </w:r>
      <w:r>
        <w:rPr>
          <w:rFonts w:ascii="Sylfaen" w:hAnsi="Sylfaen" w:cs="Arial"/>
        </w:rPr>
        <w:t xml:space="preserve">and found her English was good enough for her to have got the scores she did. He noted the statement in </w:t>
      </w:r>
      <w:hyperlink r:id="rId9" w:history="1">
        <w:r w:rsidRPr="006E2F1E">
          <w:rPr>
            <w:rStyle w:val="Hyperlink"/>
            <w:rFonts w:ascii="Sylfaen" w:hAnsi="Sylfaen" w:cs="Arial"/>
            <w:bCs/>
            <w:i/>
            <w:color w:val="000000"/>
            <w:u w:val="none"/>
          </w:rPr>
          <w:t xml:space="preserve">SM and </w:t>
        </w:r>
        <w:proofErr w:type="spellStart"/>
        <w:r w:rsidRPr="006E2F1E">
          <w:rPr>
            <w:rStyle w:val="Hyperlink"/>
            <w:rFonts w:ascii="Sylfaen" w:hAnsi="Sylfaen" w:cs="Arial"/>
            <w:bCs/>
            <w:i/>
            <w:color w:val="000000"/>
            <w:u w:val="none"/>
          </w:rPr>
          <w:t>Qadir</w:t>
        </w:r>
        <w:proofErr w:type="spellEnd"/>
        <w:r w:rsidRPr="006E2F1E">
          <w:rPr>
            <w:rStyle w:val="Hyperlink"/>
            <w:rFonts w:ascii="Sylfaen" w:hAnsi="Sylfaen" w:cs="Arial"/>
            <w:bCs/>
            <w:color w:val="000000"/>
            <w:u w:val="none"/>
          </w:rPr>
          <w:t xml:space="preserve"> (ETS - Evidence - Burden of Proof) [2016] UKUT 229 (IAC)</w:t>
        </w:r>
      </w:hyperlink>
      <w:r>
        <w:rPr>
          <w:rFonts w:ascii="Sylfaen" w:hAnsi="Sylfaen" w:cs="Arial"/>
          <w:bCs/>
          <w:color w:val="000000"/>
        </w:rPr>
        <w:t xml:space="preserve"> that the software used by the Home Office to analyse the readings gave 30% false positives. (This was contrary to later generic evidence, by Professor French; but since there is nothing to show that </w:t>
      </w:r>
      <w:r w:rsidR="005E3BB2">
        <w:rPr>
          <w:rFonts w:ascii="Sylfaen" w:hAnsi="Sylfaen" w:cs="Arial"/>
          <w:bCs/>
          <w:color w:val="000000"/>
        </w:rPr>
        <w:t xml:space="preserve">this </w:t>
      </w:r>
      <w:r>
        <w:rPr>
          <w:rFonts w:ascii="Sylfaen" w:hAnsi="Sylfaen" w:cs="Arial"/>
          <w:bCs/>
          <w:color w:val="000000"/>
        </w:rPr>
        <w:t>was put before the judge, he can</w:t>
      </w:r>
      <w:r w:rsidR="005E3BB2">
        <w:rPr>
          <w:rFonts w:ascii="Sylfaen" w:hAnsi="Sylfaen" w:cs="Arial"/>
          <w:bCs/>
          <w:color w:val="000000"/>
        </w:rPr>
        <w:t xml:space="preserve"> hardly</w:t>
      </w:r>
      <w:r>
        <w:rPr>
          <w:rFonts w:ascii="Sylfaen" w:hAnsi="Sylfaen" w:cs="Arial"/>
          <w:bCs/>
          <w:color w:val="000000"/>
        </w:rPr>
        <w:t xml:space="preserve"> be blamed for that</w:t>
      </w:r>
      <w:r w:rsidR="005E3BB2">
        <w:rPr>
          <w:rFonts w:ascii="Sylfaen" w:hAnsi="Sylfaen" w:cs="Arial"/>
          <w:bCs/>
          <w:color w:val="000000"/>
        </w:rPr>
        <w:t>)</w:t>
      </w:r>
      <w:r>
        <w:rPr>
          <w:rFonts w:ascii="Sylfaen" w:hAnsi="Sylfaen" w:cs="Arial"/>
          <w:bCs/>
          <w:color w:val="000000"/>
        </w:rPr>
        <w:t>.</w:t>
      </w:r>
    </w:p>
    <w:p w14:paraId="12118924" w14:textId="77777777" w:rsidR="006E2F1E" w:rsidRDefault="006E2F1E" w:rsidP="00BD3A9C">
      <w:pPr>
        <w:numPr>
          <w:ilvl w:val="0"/>
          <w:numId w:val="1"/>
        </w:numPr>
        <w:tabs>
          <w:tab w:val="clear" w:pos="757"/>
        </w:tabs>
        <w:spacing w:after="120"/>
        <w:ind w:left="540" w:hanging="540"/>
        <w:jc w:val="both"/>
        <w:rPr>
          <w:rFonts w:ascii="Sylfaen" w:hAnsi="Sylfaen" w:cs="Arial"/>
        </w:rPr>
      </w:pPr>
      <w:r>
        <w:rPr>
          <w:rFonts w:ascii="Sylfaen" w:hAnsi="Sylfaen" w:cs="Arial"/>
        </w:rPr>
        <w:t xml:space="preserve">One reason the judge gave (at 25) for accepting the appellant’s evidence about taking the test herself was what she had said about having to produce her passport and have her picture taken before she did so. Another (at 26) was based on his understanding that the NLC’s results over the 14 months including the date in question were found to be 74% invalid. While this was right so far, </w:t>
      </w:r>
      <w:r w:rsidR="00E2039F">
        <w:rPr>
          <w:rFonts w:ascii="Sylfaen" w:hAnsi="Sylfaen" w:cs="Arial"/>
        </w:rPr>
        <w:t>the judge does not seem to have appreciated the status of the remaining 26%.</w:t>
      </w:r>
    </w:p>
    <w:p w14:paraId="45C6E7E5" w14:textId="77777777" w:rsidR="00E2039F" w:rsidRDefault="00E2039F" w:rsidP="00BD3A9C">
      <w:pPr>
        <w:numPr>
          <w:ilvl w:val="0"/>
          <w:numId w:val="1"/>
        </w:numPr>
        <w:tabs>
          <w:tab w:val="clear" w:pos="757"/>
        </w:tabs>
        <w:spacing w:after="120"/>
        <w:ind w:left="540" w:hanging="540"/>
        <w:jc w:val="both"/>
        <w:rPr>
          <w:rFonts w:ascii="Sylfaen" w:hAnsi="Sylfaen" w:cs="Arial"/>
        </w:rPr>
      </w:pPr>
      <w:r>
        <w:rPr>
          <w:rFonts w:ascii="Sylfaen" w:hAnsi="Sylfaen" w:cs="Arial"/>
        </w:rPr>
        <w:t>The crucial piece of evidence, which was before, the judge was a statement by Kelvin Hibbs of the Home Office, signed 25 May 2017: attached to it were</w:t>
      </w:r>
    </w:p>
    <w:p w14:paraId="7ABB1068" w14:textId="77777777" w:rsidR="00E34543" w:rsidRDefault="00E34543" w:rsidP="00E34543">
      <w:pPr>
        <w:numPr>
          <w:ilvl w:val="0"/>
          <w:numId w:val="3"/>
        </w:numPr>
        <w:tabs>
          <w:tab w:val="left" w:pos="2268"/>
        </w:tabs>
        <w:spacing w:after="120"/>
        <w:ind w:hanging="644"/>
        <w:jc w:val="both"/>
        <w:rPr>
          <w:rFonts w:ascii="Sylfaen" w:hAnsi="Sylfaen" w:cs="Arial"/>
        </w:rPr>
      </w:pPr>
      <w:r>
        <w:rPr>
          <w:rFonts w:ascii="Sylfaen" w:hAnsi="Sylfaen" w:cs="Arial"/>
        </w:rPr>
        <w:t>a print-out of the appellant’s own test results;</w:t>
      </w:r>
    </w:p>
    <w:p w14:paraId="75716C46" w14:textId="77777777" w:rsidR="00E34543" w:rsidRDefault="00E34543" w:rsidP="00E34543">
      <w:pPr>
        <w:tabs>
          <w:tab w:val="left" w:pos="2268"/>
        </w:tabs>
        <w:spacing w:after="120"/>
        <w:ind w:left="567"/>
        <w:jc w:val="both"/>
        <w:rPr>
          <w:rFonts w:ascii="Sylfaen" w:hAnsi="Sylfaen" w:cs="Arial"/>
        </w:rPr>
      </w:pPr>
      <w:r>
        <w:rPr>
          <w:rFonts w:ascii="Sylfaen" w:hAnsi="Sylfaen" w:cs="Arial"/>
        </w:rPr>
        <w:t xml:space="preserve">(AA)  </w:t>
      </w:r>
      <w:r>
        <w:rPr>
          <w:rFonts w:ascii="Sylfaen" w:hAnsi="Sylfaen" w:cs="Arial"/>
        </w:rPr>
        <w:tab/>
        <w:t>one of all the NLC’s results for the day in question</w:t>
      </w:r>
      <w:r w:rsidR="004F3E61">
        <w:rPr>
          <w:rFonts w:ascii="Sylfaen" w:hAnsi="Sylfaen" w:cs="Arial"/>
        </w:rPr>
        <w:t xml:space="preserve">, and </w:t>
      </w:r>
      <w:r w:rsidR="005E3BB2">
        <w:rPr>
          <w:rFonts w:ascii="Sylfaen" w:hAnsi="Sylfaen" w:cs="Arial"/>
        </w:rPr>
        <w:t xml:space="preserve">for </w:t>
      </w:r>
      <w:r w:rsidR="004F3E61">
        <w:rPr>
          <w:rFonts w:ascii="Sylfaen" w:hAnsi="Sylfaen" w:cs="Arial"/>
        </w:rPr>
        <w:t>another day</w:t>
      </w:r>
      <w:r>
        <w:rPr>
          <w:rFonts w:ascii="Sylfaen" w:hAnsi="Sylfaen" w:cs="Arial"/>
        </w:rPr>
        <w:t>; and</w:t>
      </w:r>
    </w:p>
    <w:p w14:paraId="1B53BB6F" w14:textId="77777777" w:rsidR="00E2039F" w:rsidRDefault="00E34543" w:rsidP="00E34543">
      <w:pPr>
        <w:tabs>
          <w:tab w:val="left" w:pos="2268"/>
        </w:tabs>
        <w:spacing w:after="120"/>
        <w:ind w:left="567"/>
        <w:jc w:val="both"/>
        <w:rPr>
          <w:rFonts w:ascii="Sylfaen" w:hAnsi="Sylfaen" w:cs="Arial"/>
        </w:rPr>
      </w:pPr>
      <w:r>
        <w:rPr>
          <w:rFonts w:ascii="Sylfaen" w:hAnsi="Sylfaen" w:cs="Arial"/>
        </w:rPr>
        <w:t>(unnumbered)</w:t>
      </w:r>
      <w:r>
        <w:rPr>
          <w:rFonts w:ascii="Sylfaen" w:hAnsi="Sylfaen" w:cs="Arial"/>
        </w:rPr>
        <w:tab/>
      </w:r>
      <w:r w:rsidR="00E2039F">
        <w:rPr>
          <w:rFonts w:ascii="Sylfaen" w:hAnsi="Sylfaen" w:cs="Arial"/>
        </w:rPr>
        <w:t>a report on ‘Project Façade’</w:t>
      </w:r>
      <w:r>
        <w:rPr>
          <w:rFonts w:ascii="Sylfaen" w:hAnsi="Sylfaen" w:cs="Arial"/>
        </w:rPr>
        <w:t>.</w:t>
      </w:r>
    </w:p>
    <w:p w14:paraId="764A4A7E" w14:textId="77777777" w:rsidR="00E2039F" w:rsidRDefault="00E34543" w:rsidP="00BD3A9C">
      <w:pPr>
        <w:numPr>
          <w:ilvl w:val="0"/>
          <w:numId w:val="1"/>
        </w:numPr>
        <w:tabs>
          <w:tab w:val="clear" w:pos="757"/>
        </w:tabs>
        <w:spacing w:after="120"/>
        <w:ind w:left="540" w:hanging="540"/>
        <w:jc w:val="both"/>
        <w:rPr>
          <w:rFonts w:ascii="Sylfaen" w:hAnsi="Sylfaen" w:cs="Arial"/>
        </w:rPr>
      </w:pPr>
      <w:r>
        <w:rPr>
          <w:rFonts w:ascii="Sylfaen" w:hAnsi="Sylfaen" w:cs="Arial"/>
        </w:rPr>
        <w:t xml:space="preserve">The judge took in the details given at </w:t>
      </w:r>
      <w:r>
        <w:rPr>
          <w:rFonts w:ascii="Sylfaen" w:hAnsi="Sylfaen" w:cs="Arial"/>
          <w:b/>
        </w:rPr>
        <w:t xml:space="preserve">3 </w:t>
      </w:r>
      <w:r w:rsidR="004F3E61">
        <w:rPr>
          <w:rFonts w:ascii="Sylfaen" w:hAnsi="Sylfaen" w:cs="Arial"/>
          <w:b/>
        </w:rPr>
        <w:t>–</w:t>
      </w:r>
      <w:r>
        <w:rPr>
          <w:rFonts w:ascii="Sylfaen" w:hAnsi="Sylfaen" w:cs="Arial"/>
          <w:b/>
        </w:rPr>
        <w:t xml:space="preserve"> 4</w:t>
      </w:r>
      <w:r w:rsidR="004F3E61">
        <w:rPr>
          <w:rFonts w:ascii="Sylfaen" w:hAnsi="Sylfaen" w:cs="Arial"/>
        </w:rPr>
        <w:t>; but he does not seem to have taken in, from the Façade report, that the 14-month sample showed the following results:</w:t>
      </w:r>
    </w:p>
    <w:p w14:paraId="1B18B451" w14:textId="77777777" w:rsidR="004F3E61" w:rsidRDefault="004F3E61" w:rsidP="004F3E61">
      <w:pPr>
        <w:ind w:left="3402" w:hanging="2835"/>
        <w:jc w:val="both"/>
        <w:rPr>
          <w:rFonts w:ascii="Sylfaen" w:hAnsi="Sylfaen" w:cs="Arial"/>
        </w:rPr>
      </w:pPr>
      <w:r>
        <w:rPr>
          <w:rFonts w:ascii="Sylfaen" w:hAnsi="Sylfaen" w:cs="Arial"/>
        </w:rPr>
        <w:t xml:space="preserve">Total </w:t>
      </w:r>
      <w:r>
        <w:rPr>
          <w:rFonts w:ascii="Sylfaen" w:hAnsi="Sylfaen" w:cs="Arial"/>
        </w:rPr>
        <w:tab/>
        <w:t>1423</w:t>
      </w:r>
    </w:p>
    <w:p w14:paraId="1DCA5AAC" w14:textId="77777777" w:rsidR="004F3E61" w:rsidRDefault="004F3E61" w:rsidP="004F3E61">
      <w:pPr>
        <w:ind w:left="2835" w:hanging="2268"/>
        <w:jc w:val="both"/>
        <w:rPr>
          <w:rFonts w:ascii="Sylfaen" w:hAnsi="Sylfaen" w:cs="Arial"/>
        </w:rPr>
      </w:pPr>
      <w:r>
        <w:rPr>
          <w:rFonts w:ascii="Sylfaen" w:hAnsi="Sylfaen" w:cs="Arial"/>
        </w:rPr>
        <w:t>Invalid</w:t>
      </w:r>
      <w:r>
        <w:rPr>
          <w:rFonts w:ascii="Sylfaen" w:hAnsi="Sylfaen" w:cs="Arial"/>
        </w:rPr>
        <w:tab/>
      </w:r>
      <w:r>
        <w:rPr>
          <w:rFonts w:ascii="Sylfaen" w:hAnsi="Sylfaen" w:cs="Arial"/>
        </w:rPr>
        <w:tab/>
        <w:t>1055 (74%)</w:t>
      </w:r>
    </w:p>
    <w:p w14:paraId="77054AC1" w14:textId="77777777" w:rsidR="004F3E61" w:rsidRDefault="004F3E61" w:rsidP="004F3E61">
      <w:pPr>
        <w:ind w:left="2835" w:hanging="2268"/>
        <w:jc w:val="both"/>
        <w:rPr>
          <w:rFonts w:ascii="Sylfaen" w:hAnsi="Sylfaen" w:cs="Arial"/>
        </w:rPr>
      </w:pPr>
      <w:r>
        <w:rPr>
          <w:rFonts w:ascii="Sylfaen" w:hAnsi="Sylfaen" w:cs="Arial"/>
        </w:rPr>
        <w:t xml:space="preserve">Questionable </w:t>
      </w:r>
      <w:r>
        <w:rPr>
          <w:rFonts w:ascii="Sylfaen" w:hAnsi="Sylfaen" w:cs="Arial"/>
        </w:rPr>
        <w:tab/>
      </w:r>
      <w:r>
        <w:rPr>
          <w:rFonts w:ascii="Sylfaen" w:hAnsi="Sylfaen" w:cs="Arial"/>
        </w:rPr>
        <w:tab/>
        <w:t xml:space="preserve">  368</w:t>
      </w:r>
    </w:p>
    <w:p w14:paraId="2111B8E3" w14:textId="77777777" w:rsidR="004F3E61" w:rsidRDefault="004F3E61" w:rsidP="00DB0B2B">
      <w:pPr>
        <w:spacing w:after="120"/>
        <w:ind w:left="2835" w:hanging="2268"/>
        <w:jc w:val="both"/>
        <w:rPr>
          <w:rFonts w:ascii="Sylfaen" w:hAnsi="Sylfaen" w:cs="Arial"/>
        </w:rPr>
      </w:pPr>
      <w:r>
        <w:rPr>
          <w:rFonts w:ascii="Sylfaen" w:hAnsi="Sylfaen" w:cs="Arial"/>
        </w:rPr>
        <w:t>No evidence of invalidity</w:t>
      </w:r>
      <w:r>
        <w:rPr>
          <w:rFonts w:ascii="Sylfaen" w:hAnsi="Sylfaen" w:cs="Arial"/>
        </w:rPr>
        <w:tab/>
        <w:t xml:space="preserve">      0</w:t>
      </w:r>
    </w:p>
    <w:p w14:paraId="3FEEB029" w14:textId="77777777" w:rsidR="004F3E61" w:rsidRDefault="00DB0B2B" w:rsidP="00DB0B2B">
      <w:pPr>
        <w:spacing w:after="120"/>
        <w:ind w:left="567"/>
        <w:jc w:val="both"/>
        <w:rPr>
          <w:rFonts w:ascii="Sylfaen" w:hAnsi="Sylfaen" w:cs="Arial"/>
        </w:rPr>
      </w:pPr>
      <w:r>
        <w:rPr>
          <w:rFonts w:ascii="Sylfaen" w:hAnsi="Sylfaen" w:cs="Arial"/>
        </w:rPr>
        <w:t xml:space="preserve">It might have been helpful if the report had spelt out that the ‘questionable’ results amounted to the whole of the ‘missing’’ 26% (to the nearest whole number); but the evidence was there. </w:t>
      </w:r>
      <w:r w:rsidR="00EF7AA8">
        <w:rPr>
          <w:rFonts w:ascii="Sylfaen" w:hAnsi="Sylfaen" w:cs="Arial"/>
        </w:rPr>
        <w:t>However the judge did no more than to note that there was no direct evidence of this appellant cheating.</w:t>
      </w:r>
    </w:p>
    <w:p w14:paraId="42E8EA9D" w14:textId="77777777" w:rsidR="00DB0B2B" w:rsidRDefault="00DB0B2B" w:rsidP="00BD3A9C">
      <w:pPr>
        <w:numPr>
          <w:ilvl w:val="0"/>
          <w:numId w:val="1"/>
        </w:numPr>
        <w:tabs>
          <w:tab w:val="clear" w:pos="757"/>
        </w:tabs>
        <w:spacing w:after="120"/>
        <w:ind w:left="540" w:hanging="540"/>
        <w:jc w:val="both"/>
        <w:rPr>
          <w:rFonts w:ascii="Sylfaen" w:hAnsi="Sylfaen" w:cs="Arial"/>
        </w:rPr>
      </w:pPr>
      <w:r>
        <w:rPr>
          <w:rFonts w:ascii="Sylfaen" w:hAnsi="Sylfaen" w:cs="Arial"/>
        </w:rPr>
        <w:t>The other important part of the report is at paragraph 17: it deals with NLC’s own role.</w:t>
      </w:r>
      <w:r>
        <w:rPr>
          <w:rFonts w:ascii="Sylfaen" w:hAnsi="Sylfaen" w:cs="Arial"/>
        </w:rPr>
        <w:tab/>
      </w:r>
    </w:p>
    <w:p w14:paraId="7C7D5B14" w14:textId="77777777" w:rsidR="00DB0B2B" w:rsidRPr="00DB0B2B" w:rsidRDefault="00DB0B2B" w:rsidP="00DB0B2B">
      <w:pPr>
        <w:spacing w:after="120"/>
        <w:ind w:left="851"/>
        <w:jc w:val="both"/>
        <w:rPr>
          <w:rFonts w:ascii="Sylfaen" w:hAnsi="Sylfaen" w:cs="Arial"/>
          <w:sz w:val="22"/>
          <w:szCs w:val="22"/>
        </w:rPr>
      </w:pPr>
      <w:r w:rsidRPr="00DB0B2B">
        <w:rPr>
          <w:rFonts w:ascii="Sylfaen" w:hAnsi="Sylfaen" w:cs="Arial"/>
          <w:sz w:val="22"/>
          <w:szCs w:val="22"/>
        </w:rPr>
        <w:t xml:space="preserve">Documents relating to [ETS tests] were  </w:t>
      </w:r>
      <w:r>
        <w:rPr>
          <w:rFonts w:ascii="Sylfaen" w:hAnsi="Sylfaen" w:cs="Arial"/>
          <w:sz w:val="22"/>
          <w:szCs w:val="22"/>
        </w:rPr>
        <w:t>found within IT seized from the directors’ home addresses that were searched on 17/07/2014. These documents list each of the test dates for the entire testing period alongside the candidate names, the name of the “pilot” [</w:t>
      </w:r>
      <w:r>
        <w:rPr>
          <w:rFonts w:ascii="Sylfaen" w:hAnsi="Sylfaen" w:cs="Arial"/>
          <w:i/>
          <w:sz w:val="22"/>
          <w:szCs w:val="22"/>
        </w:rPr>
        <w:t>proxy</w:t>
      </w:r>
      <w:r>
        <w:rPr>
          <w:rFonts w:ascii="Sylfaen" w:hAnsi="Sylfaen" w:cs="Arial"/>
          <w:sz w:val="22"/>
          <w:szCs w:val="22"/>
        </w:rPr>
        <w:t>] …</w:t>
      </w:r>
    </w:p>
    <w:p w14:paraId="701C0A7E" w14:textId="77777777" w:rsidR="00DB0B2B" w:rsidRDefault="00DB0B2B" w:rsidP="00DB0B2B">
      <w:pPr>
        <w:spacing w:after="120"/>
        <w:ind w:left="567" w:hanging="27"/>
        <w:jc w:val="both"/>
        <w:rPr>
          <w:rFonts w:ascii="Sylfaen" w:hAnsi="Sylfaen" w:cs="Arial"/>
        </w:rPr>
      </w:pPr>
      <w:r>
        <w:rPr>
          <w:rFonts w:ascii="Sylfaen" w:hAnsi="Sylfaen" w:cs="Arial"/>
        </w:rPr>
        <w:t>This was clear evidence of complicity on the part of NLC, which the judge needed to take in, before he accepted the appellant’s evidence about being passported and photographed as showing that all was above board there.</w:t>
      </w:r>
    </w:p>
    <w:p w14:paraId="7ECB8A44" w14:textId="77777777" w:rsidR="00EF7AA8" w:rsidRDefault="00EF7AA8" w:rsidP="00BD3A9C">
      <w:pPr>
        <w:numPr>
          <w:ilvl w:val="0"/>
          <w:numId w:val="1"/>
        </w:numPr>
        <w:tabs>
          <w:tab w:val="clear" w:pos="757"/>
        </w:tabs>
        <w:spacing w:after="120"/>
        <w:ind w:left="540" w:hanging="540"/>
        <w:jc w:val="both"/>
        <w:rPr>
          <w:rFonts w:ascii="Sylfaen" w:hAnsi="Sylfaen" w:cs="Arial"/>
        </w:rPr>
      </w:pPr>
      <w:r>
        <w:rPr>
          <w:rFonts w:ascii="Sylfaen" w:hAnsi="Sylfaen" w:cs="Arial"/>
        </w:rPr>
        <w:t>The result is that, although the judge was fully entitled to reach his own view of the appellant’s credibility, he did so on a number of false premises:</w:t>
      </w:r>
    </w:p>
    <w:p w14:paraId="618454B4" w14:textId="77777777" w:rsidR="00EF7AA8" w:rsidRPr="00EF7AA8" w:rsidRDefault="00EF7AA8" w:rsidP="00EF7AA8">
      <w:pPr>
        <w:numPr>
          <w:ilvl w:val="0"/>
          <w:numId w:val="4"/>
        </w:numPr>
        <w:spacing w:after="120"/>
        <w:ind w:left="1134" w:hanging="567"/>
        <w:jc w:val="both"/>
        <w:rPr>
          <w:rFonts w:ascii="Sylfaen" w:hAnsi="Sylfaen" w:cs="Arial"/>
        </w:rPr>
      </w:pPr>
      <w:r>
        <w:rPr>
          <w:rFonts w:ascii="Sylfaen" w:hAnsi="Sylfaen" w:cs="Arial"/>
        </w:rPr>
        <w:t xml:space="preserve"> </w:t>
      </w:r>
      <w:r>
        <w:rPr>
          <w:rFonts w:ascii="Sylfaen" w:hAnsi="Sylfaen" w:cs="Arial"/>
        </w:rPr>
        <w:tab/>
        <w:t xml:space="preserve">the appellant’s own English skills were enough to give her no good reason to cheat; but see </w:t>
      </w:r>
      <w:hyperlink r:id="rId10" w:history="1">
        <w:r w:rsidRPr="00EF7AA8">
          <w:rPr>
            <w:rStyle w:val="Hyperlink"/>
            <w:rFonts w:ascii="Sylfaen" w:hAnsi="Sylfaen" w:cs="Arial"/>
            <w:i/>
            <w:color w:val="000000"/>
            <w:u w:val="none"/>
          </w:rPr>
          <w:t>MA</w:t>
        </w:r>
        <w:r w:rsidRPr="00EF7AA8">
          <w:rPr>
            <w:rStyle w:val="Hyperlink"/>
            <w:rFonts w:ascii="Sylfaen" w:hAnsi="Sylfaen" w:cs="Arial"/>
            <w:color w:val="000000"/>
            <w:u w:val="none"/>
          </w:rPr>
          <w:t xml:space="preserve"> (ETS – TOEIC testing)</w:t>
        </w:r>
        <w:r w:rsidR="005E3BB2">
          <w:rPr>
            <w:rStyle w:val="Hyperlink"/>
            <w:rFonts w:ascii="Sylfaen" w:hAnsi="Sylfaen" w:cs="Arial"/>
            <w:color w:val="000000"/>
            <w:u w:val="none"/>
          </w:rPr>
          <w:t>,</w:t>
        </w:r>
      </w:hyperlink>
      <w:r w:rsidR="005E3BB2">
        <w:rPr>
          <w:rFonts w:ascii="Sylfaen" w:hAnsi="Sylfaen" w:cs="Arial"/>
          <w:color w:val="000000"/>
        </w:rPr>
        <w:t xml:space="preserve"> </w:t>
      </w:r>
      <w:r>
        <w:rPr>
          <w:rFonts w:ascii="Sylfaen" w:hAnsi="Sylfaen" w:cs="Arial"/>
          <w:color w:val="000000"/>
        </w:rPr>
        <w:t>, at 57:</w:t>
      </w:r>
    </w:p>
    <w:p w14:paraId="2CB25CED" w14:textId="77777777" w:rsidR="00EF7AA8" w:rsidRPr="00EF7AA8" w:rsidRDefault="00EF7AA8" w:rsidP="00EF7AA8">
      <w:pPr>
        <w:spacing w:after="120"/>
        <w:ind w:left="1702"/>
        <w:jc w:val="both"/>
        <w:rPr>
          <w:rFonts w:ascii="Sylfaen" w:hAnsi="Sylfaen" w:cs="Arial"/>
          <w:sz w:val="22"/>
          <w:szCs w:val="22"/>
        </w:rPr>
      </w:pPr>
      <w:r w:rsidRPr="00EF7AA8">
        <w:rPr>
          <w:rFonts w:ascii="Sylfaen" w:hAnsi="Sylfaen" w:cs="Arial"/>
          <w:sz w:val="22"/>
          <w:szCs w:val="22"/>
        </w:rPr>
        <w:t xml:space="preserve">In the abstract, of course, there is a range of reasons why persons proficient in English may engage in TOEIC fraud.  These include, </w:t>
      </w:r>
      <w:proofErr w:type="spellStart"/>
      <w:r w:rsidRPr="00EF7AA8">
        <w:rPr>
          <w:rFonts w:ascii="Sylfaen" w:hAnsi="Sylfaen" w:cs="Arial"/>
          <w:sz w:val="22"/>
          <w:szCs w:val="22"/>
        </w:rPr>
        <w:t>inexhaustively</w:t>
      </w:r>
      <w:proofErr w:type="spellEnd"/>
      <w:r w:rsidRPr="00EF7AA8">
        <w:rPr>
          <w:rFonts w:ascii="Sylfaen" w:hAnsi="Sylfaen" w:cs="Arial"/>
          <w:sz w:val="22"/>
          <w:szCs w:val="22"/>
        </w:rPr>
        <w:t xml:space="preserve">, lack of confidence, fear of failure, </w:t>
      </w:r>
      <w:r w:rsidRPr="00EF7AA8">
        <w:rPr>
          <w:rFonts w:ascii="Sylfaen" w:hAnsi="Sylfaen" w:cs="Arial"/>
          <w:sz w:val="22"/>
          <w:szCs w:val="22"/>
        </w:rPr>
        <w:lastRenderedPageBreak/>
        <w:t>lack of time and commitment and contempt for the immigration system.  These reasons could conceivably overlap in individual cases and there is scope for other explanations for deceitful conduct in this sphere.</w:t>
      </w:r>
    </w:p>
    <w:p w14:paraId="51A3BA47" w14:textId="77777777" w:rsidR="00EF7AA8" w:rsidRDefault="00EF7AA8" w:rsidP="00EF7AA8">
      <w:pPr>
        <w:numPr>
          <w:ilvl w:val="0"/>
          <w:numId w:val="4"/>
        </w:numPr>
        <w:spacing w:after="120"/>
        <w:ind w:left="1134" w:hanging="567"/>
        <w:jc w:val="both"/>
        <w:rPr>
          <w:rFonts w:ascii="Sylfaen" w:hAnsi="Sylfaen" w:cs="Arial"/>
        </w:rPr>
      </w:pPr>
      <w:r>
        <w:rPr>
          <w:rFonts w:ascii="Sylfaen" w:hAnsi="Sylfaen" w:cs="Arial"/>
        </w:rPr>
        <w:t xml:space="preserve"> </w:t>
      </w:r>
      <w:r>
        <w:rPr>
          <w:rFonts w:ascii="Sylfaen" w:hAnsi="Sylfaen" w:cs="Arial"/>
        </w:rPr>
        <w:tab/>
        <w:t>the lack of any direct evidence of this appellant cheating did not mean that there was no evidence against her, simply on the basis of being someone who had taken her ETS test at NLC at the time in question; and</w:t>
      </w:r>
    </w:p>
    <w:p w14:paraId="112E08E4" w14:textId="77777777" w:rsidR="00EF7AA8" w:rsidRDefault="00EF7AA8" w:rsidP="00EF7AA8">
      <w:pPr>
        <w:numPr>
          <w:ilvl w:val="0"/>
          <w:numId w:val="4"/>
        </w:numPr>
        <w:spacing w:after="120"/>
        <w:ind w:left="1134" w:hanging="567"/>
        <w:jc w:val="both"/>
        <w:rPr>
          <w:rFonts w:ascii="Sylfaen" w:hAnsi="Sylfaen" w:cs="Arial"/>
        </w:rPr>
      </w:pPr>
      <w:r>
        <w:rPr>
          <w:rFonts w:ascii="Sylfaen" w:hAnsi="Sylfaen" w:cs="Arial"/>
        </w:rPr>
        <w:t xml:space="preserve"> </w:t>
      </w:r>
      <w:r>
        <w:rPr>
          <w:rFonts w:ascii="Sylfaen" w:hAnsi="Sylfaen" w:cs="Arial"/>
        </w:rPr>
        <w:tab/>
        <w:t>the</w:t>
      </w:r>
      <w:r w:rsidR="00430D6B">
        <w:rPr>
          <w:rFonts w:ascii="Sylfaen" w:hAnsi="Sylfaen" w:cs="Arial"/>
        </w:rPr>
        <w:t xml:space="preserve"> evidence of direct involvement in cheating by NLC management tended to negate any point that could be made about the appellant having been passported and photographed.</w:t>
      </w:r>
      <w:r>
        <w:rPr>
          <w:rFonts w:ascii="Sylfaen" w:hAnsi="Sylfaen" w:cs="Arial"/>
        </w:rPr>
        <w:t xml:space="preserve"> </w:t>
      </w:r>
    </w:p>
    <w:p w14:paraId="2E17D72A" w14:textId="77777777" w:rsidR="009F5220" w:rsidRPr="00430D6B" w:rsidRDefault="005E3BB2" w:rsidP="00780F86">
      <w:pPr>
        <w:numPr>
          <w:ilvl w:val="0"/>
          <w:numId w:val="1"/>
        </w:numPr>
        <w:tabs>
          <w:tab w:val="clear" w:pos="757"/>
        </w:tabs>
        <w:spacing w:after="120"/>
        <w:ind w:left="540" w:hanging="540"/>
        <w:jc w:val="both"/>
        <w:rPr>
          <w:rFonts w:ascii="Sylfaen" w:hAnsi="Sylfaen" w:cs="Arial"/>
        </w:rPr>
      </w:pPr>
      <w:r>
        <w:rPr>
          <w:rFonts w:ascii="Sylfaen" w:hAnsi="Sylfaen" w:cs="Arial"/>
        </w:rPr>
        <w:t>The appellant’s use, or not, of a proxy</w:t>
      </w:r>
      <w:r w:rsidR="00430D6B" w:rsidRPr="00430D6B">
        <w:rPr>
          <w:rFonts w:ascii="Sylfaen" w:hAnsi="Sylfaen" w:cs="Arial"/>
        </w:rPr>
        <w:t xml:space="preserve"> remains a credibility point for the judge who is to decide it; since Judge </w:t>
      </w:r>
      <w:proofErr w:type="spellStart"/>
      <w:r w:rsidR="00430D6B" w:rsidRPr="00430D6B">
        <w:rPr>
          <w:rFonts w:ascii="Sylfaen" w:hAnsi="Sylfaen" w:cs="Arial"/>
        </w:rPr>
        <w:t>Trevaskis</w:t>
      </w:r>
      <w:proofErr w:type="spellEnd"/>
      <w:r w:rsidR="00430D6B" w:rsidRPr="00430D6B">
        <w:rPr>
          <w:rFonts w:ascii="Sylfaen" w:hAnsi="Sylfaen" w:cs="Arial"/>
        </w:rPr>
        <w:t xml:space="preserve"> also seems to have gone wrong (though no-one seems to have mentioned this point to him, or to me) in dealing with an appeal against a decision made at the date in question solely on a Rules, rather than a human rights basis, the best solution will be a fresh hearing of the appellant’s human rights appeal, of course through the lens of the Rules.</w:t>
      </w:r>
      <w:r w:rsidR="00430D6B">
        <w:rPr>
          <w:rFonts w:ascii="Sylfaen" w:hAnsi="Sylfaen" w:cs="Arial"/>
        </w:rPr>
        <w:t xml:space="preserve"> Since he lives near Uxbridge, that will take place at Hatton Cross.</w:t>
      </w:r>
    </w:p>
    <w:p w14:paraId="63A632E8" w14:textId="77777777" w:rsidR="009F5220" w:rsidRDefault="00430D6B" w:rsidP="00780F86">
      <w:pPr>
        <w:ind w:left="540" w:hanging="540"/>
        <w:jc w:val="both"/>
        <w:rPr>
          <w:rFonts w:ascii="Sylfaen" w:hAnsi="Sylfaen" w:cs="Arial"/>
          <w:b/>
        </w:rPr>
      </w:pPr>
      <w:r>
        <w:rPr>
          <w:rFonts w:ascii="Sylfaen" w:hAnsi="Sylfaen" w:cs="Arial"/>
          <w:b/>
        </w:rPr>
        <w:t xml:space="preserve">Home Office appeal </w:t>
      </w:r>
      <w:r>
        <w:rPr>
          <w:rFonts w:ascii="Sylfaen" w:hAnsi="Sylfaen" w:cs="Arial"/>
          <w:b/>
        </w:rPr>
        <w:fldChar w:fldCharType="begin">
          <w:ffData>
            <w:name w:val="Dropdown3"/>
            <w:enabled/>
            <w:calcOnExit w:val="0"/>
            <w:ddList>
              <w:listEntry w:val="allowed"/>
              <w:listEntry w:val="dismissed"/>
            </w:ddList>
          </w:ffData>
        </w:fldChar>
      </w:r>
      <w:bookmarkStart w:id="5" w:name="Dropdown3"/>
      <w:r>
        <w:rPr>
          <w:rFonts w:ascii="Sylfaen" w:hAnsi="Sylfaen" w:cs="Arial"/>
          <w:b/>
        </w:rPr>
        <w:instrText xml:space="preserve"> FORMDROPDOWN </w:instrText>
      </w:r>
      <w:r w:rsidR="00DB7DC9">
        <w:rPr>
          <w:rFonts w:ascii="Sylfaen" w:hAnsi="Sylfaen" w:cs="Arial"/>
          <w:b/>
        </w:rPr>
      </w:r>
      <w:r w:rsidR="00DB7DC9">
        <w:rPr>
          <w:rFonts w:ascii="Sylfaen" w:hAnsi="Sylfaen" w:cs="Arial"/>
          <w:b/>
        </w:rPr>
        <w:fldChar w:fldCharType="separate"/>
      </w:r>
      <w:r>
        <w:rPr>
          <w:rFonts w:ascii="Sylfaen" w:hAnsi="Sylfaen" w:cs="Arial"/>
          <w:b/>
        </w:rPr>
        <w:fldChar w:fldCharType="end"/>
      </w:r>
      <w:bookmarkEnd w:id="5"/>
      <w:r>
        <w:rPr>
          <w:rFonts w:ascii="Sylfaen" w:hAnsi="Sylfaen" w:cs="Arial"/>
          <w:b/>
        </w:rPr>
        <w:t>: first-tier decision set aside</w:t>
      </w:r>
    </w:p>
    <w:p w14:paraId="79FBE783" w14:textId="77777777" w:rsidR="00430D6B" w:rsidRPr="008F23F4" w:rsidRDefault="00430D6B" w:rsidP="00780F86">
      <w:pPr>
        <w:ind w:left="540" w:hanging="540"/>
        <w:jc w:val="both"/>
        <w:rPr>
          <w:rFonts w:ascii="Sylfaen" w:hAnsi="Sylfaen" w:cs="Arial"/>
          <w:b/>
        </w:rPr>
      </w:pPr>
      <w:r>
        <w:rPr>
          <w:rFonts w:ascii="Sylfaen" w:hAnsi="Sylfaen" w:cs="Arial"/>
          <w:b/>
        </w:rPr>
        <w:t xml:space="preserve">Direction for fresh hearing at Hatton Cross, not before Judge </w:t>
      </w:r>
      <w:proofErr w:type="spellStart"/>
      <w:r>
        <w:rPr>
          <w:rFonts w:ascii="Sylfaen" w:hAnsi="Sylfaen" w:cs="Arial"/>
          <w:b/>
        </w:rPr>
        <w:t>Trevaskis</w:t>
      </w:r>
      <w:proofErr w:type="spellEnd"/>
    </w:p>
    <w:p w14:paraId="4FED88BF" w14:textId="77777777" w:rsidR="00B95326" w:rsidRDefault="00476DD6" w:rsidP="00430D6B">
      <w:pPr>
        <w:tabs>
          <w:tab w:val="left" w:pos="4820"/>
        </w:tabs>
        <w:ind w:left="4508" w:hanging="539"/>
        <w:rPr>
          <w:rFonts w:ascii="Sylfaen" w:hAnsi="Sylfaen" w:cs="Arial"/>
          <w:color w:val="000000"/>
        </w:rPr>
      </w:pPr>
      <w:r w:rsidRPr="00A544A8">
        <w:rPr>
          <w:rFonts w:ascii="Sylfaen" w:hAnsi="Sylfaen" w:cs="Arial"/>
          <w:b/>
          <w:noProof/>
        </w:rPr>
        <w:drawing>
          <wp:inline distT="0" distB="0" distL="0" distR="0" wp14:anchorId="4DB51B5C" wp14:editId="37E772A3">
            <wp:extent cx="2143125" cy="1038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1038225"/>
                    </a:xfrm>
                    <a:prstGeom prst="rect">
                      <a:avLst/>
                    </a:prstGeom>
                    <a:noFill/>
                    <a:ln>
                      <a:noFill/>
                    </a:ln>
                  </pic:spPr>
                </pic:pic>
              </a:graphicData>
            </a:graphic>
          </wp:inline>
        </w:drawing>
      </w:r>
      <w:r w:rsidR="00A544A8">
        <w:rPr>
          <w:rFonts w:ascii="Sylfaen" w:hAnsi="Sylfaen" w:cs="Arial"/>
        </w:rPr>
        <w:t xml:space="preserve"> </w:t>
      </w:r>
      <w:r w:rsidR="00780F86" w:rsidRPr="00A544A8">
        <w:rPr>
          <w:rFonts w:ascii="Sylfaen" w:hAnsi="Sylfaen" w:cs="Arial"/>
        </w:rPr>
        <w:tab/>
      </w:r>
      <w:r w:rsidR="00780F86" w:rsidRPr="00A544A8">
        <w:rPr>
          <w:rFonts w:ascii="Sylfaen" w:hAnsi="Sylfaen" w:cs="Arial"/>
        </w:rPr>
        <w:tab/>
      </w:r>
      <w:r w:rsidR="00780F86" w:rsidRPr="00A544A8">
        <w:rPr>
          <w:rFonts w:ascii="Sylfaen" w:hAnsi="Sylfaen" w:cs="Arial"/>
        </w:rPr>
        <w:tab/>
      </w:r>
      <w:r w:rsidR="00780F86" w:rsidRPr="00A544A8">
        <w:rPr>
          <w:rFonts w:ascii="Sylfaen" w:hAnsi="Sylfaen" w:cs="Arial"/>
        </w:rPr>
        <w:tab/>
      </w:r>
      <w:r w:rsidR="00780F86" w:rsidRPr="00A544A8">
        <w:rPr>
          <w:rFonts w:ascii="Sylfaen" w:hAnsi="Sylfaen" w:cs="Arial"/>
        </w:rPr>
        <w:tab/>
      </w:r>
      <w:r w:rsidR="00D9111A" w:rsidRPr="00A544A8">
        <w:rPr>
          <w:rFonts w:ascii="Sylfaen" w:hAnsi="Sylfaen" w:cs="Arial"/>
          <w:color w:val="000000"/>
        </w:rPr>
        <w:t xml:space="preserve"> </w:t>
      </w:r>
      <w:r w:rsidR="00A544A8">
        <w:rPr>
          <w:rFonts w:ascii="Sylfaen" w:hAnsi="Sylfaen" w:cs="Arial"/>
          <w:color w:val="000000"/>
        </w:rPr>
        <w:t xml:space="preserve">(a </w:t>
      </w:r>
      <w:r w:rsidR="00A544A8" w:rsidRPr="00A544A8">
        <w:rPr>
          <w:rFonts w:ascii="Sylfaen" w:hAnsi="Sylfaen" w:cs="Arial"/>
          <w:color w:val="000000"/>
        </w:rPr>
        <w:t xml:space="preserve">judge </w:t>
      </w:r>
      <w:r w:rsidR="00A544A8">
        <w:rPr>
          <w:rFonts w:ascii="Sylfaen" w:hAnsi="Sylfaen" w:cs="Arial"/>
          <w:color w:val="000000"/>
        </w:rPr>
        <w:t xml:space="preserve">of the </w:t>
      </w:r>
      <w:smartTag w:uri="urn:schemas-microsoft-com:office:smarttags" w:element="PersonName">
        <w:r w:rsidR="00A544A8">
          <w:rPr>
            <w:rFonts w:ascii="Sylfaen" w:hAnsi="Sylfaen" w:cs="Arial"/>
            <w:color w:val="000000"/>
          </w:rPr>
          <w:t>Upper Tribunal</w:t>
        </w:r>
      </w:smartTag>
      <w:r w:rsidR="00A544A8">
        <w:rPr>
          <w:rFonts w:ascii="Sylfaen" w:hAnsi="Sylfaen" w:cs="Arial"/>
          <w:color w:val="000000"/>
        </w:rPr>
        <w:t>)</w:t>
      </w:r>
    </w:p>
    <w:p w14:paraId="66A3E079" w14:textId="77777777" w:rsidR="00476DD6" w:rsidRDefault="00476DD6" w:rsidP="00430D6B">
      <w:pPr>
        <w:tabs>
          <w:tab w:val="left" w:pos="4820"/>
        </w:tabs>
        <w:ind w:left="4508" w:hanging="539"/>
        <w:rPr>
          <w:rFonts w:ascii="Sylfaen" w:hAnsi="Sylfaen" w:cs="Arial"/>
        </w:rPr>
      </w:pPr>
    </w:p>
    <w:p w14:paraId="37E78109" w14:textId="77777777" w:rsidR="00476DD6" w:rsidRPr="00A544A8" w:rsidRDefault="00476DD6" w:rsidP="00430D6B">
      <w:pPr>
        <w:tabs>
          <w:tab w:val="left" w:pos="4820"/>
        </w:tabs>
        <w:ind w:left="4508" w:hanging="539"/>
        <w:rPr>
          <w:rFonts w:ascii="Sylfaen" w:hAnsi="Sylfaen" w:cs="Arial"/>
          <w:color w:val="000000"/>
        </w:rPr>
      </w:pPr>
      <w:r>
        <w:rPr>
          <w:rFonts w:ascii="Sylfaen" w:hAnsi="Sylfaen" w:cs="Arial"/>
        </w:rPr>
        <w:t xml:space="preserve">                    Dated </w:t>
      </w:r>
      <w:r w:rsidRPr="00476DD6">
        <w:rPr>
          <w:rFonts w:ascii="Sylfaen" w:hAnsi="Sylfaen" w:cs="Arial"/>
        </w:rPr>
        <w:t>23 May 2018</w:t>
      </w:r>
      <w:r>
        <w:rPr>
          <w:rFonts w:ascii="Sylfaen" w:hAnsi="Sylfaen" w:cs="Arial"/>
        </w:rPr>
        <w:t xml:space="preserve">   </w:t>
      </w:r>
    </w:p>
    <w:sectPr w:rsidR="00476DD6" w:rsidRPr="00A544A8" w:rsidSect="00E34543">
      <w:headerReference w:type="default" r:id="rId12"/>
      <w:footerReference w:type="default" r:id="rId13"/>
      <w:footerReference w:type="first" r:id="rId14"/>
      <w:pgSz w:w="11906" w:h="16838"/>
      <w:pgMar w:top="1440" w:right="1134" w:bottom="1440" w:left="70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AF4B8" w14:textId="77777777" w:rsidR="00DB7DC9" w:rsidRDefault="00DB7DC9">
      <w:r>
        <w:separator/>
      </w:r>
    </w:p>
  </w:endnote>
  <w:endnote w:type="continuationSeparator" w:id="0">
    <w:p w14:paraId="648DCCC2" w14:textId="77777777" w:rsidR="00DB7DC9" w:rsidRDefault="00DB7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EF69F" w14:textId="77777777" w:rsidR="00374981" w:rsidRPr="006B058B" w:rsidRDefault="00374981" w:rsidP="00593795">
    <w:pPr>
      <w:pStyle w:val="Footer"/>
      <w:jc w:val="center"/>
      <w:rPr>
        <w:rFonts w:ascii="Sylfaen" w:hAnsi="Sylfaen" w:cs="Arial"/>
        <w:sz w:val="22"/>
        <w:szCs w:val="22"/>
      </w:rPr>
    </w:pPr>
    <w:r w:rsidRPr="006B058B">
      <w:rPr>
        <w:rStyle w:val="PageNumber"/>
        <w:rFonts w:ascii="Sylfaen" w:hAnsi="Sylfaen" w:cs="Arial"/>
        <w:sz w:val="22"/>
        <w:szCs w:val="22"/>
      </w:rPr>
      <w:fldChar w:fldCharType="begin"/>
    </w:r>
    <w:r w:rsidRPr="006B058B">
      <w:rPr>
        <w:rStyle w:val="PageNumber"/>
        <w:rFonts w:ascii="Sylfaen" w:hAnsi="Sylfaen" w:cs="Arial"/>
        <w:sz w:val="22"/>
        <w:szCs w:val="22"/>
      </w:rPr>
      <w:instrText xml:space="preserve"> PAGE </w:instrText>
    </w:r>
    <w:r w:rsidRPr="006B058B">
      <w:rPr>
        <w:rStyle w:val="PageNumber"/>
        <w:rFonts w:ascii="Sylfaen" w:hAnsi="Sylfaen" w:cs="Arial"/>
        <w:sz w:val="22"/>
        <w:szCs w:val="22"/>
      </w:rPr>
      <w:fldChar w:fldCharType="separate"/>
    </w:r>
    <w:r w:rsidR="00582D15">
      <w:rPr>
        <w:rStyle w:val="PageNumber"/>
        <w:rFonts w:ascii="Sylfaen" w:hAnsi="Sylfaen" w:cs="Arial"/>
        <w:noProof/>
        <w:sz w:val="22"/>
        <w:szCs w:val="22"/>
      </w:rPr>
      <w:t>3</w:t>
    </w:r>
    <w:r w:rsidRPr="006B058B">
      <w:rPr>
        <w:rStyle w:val="PageNumber"/>
        <w:rFonts w:ascii="Sylfaen" w:hAnsi="Sylfaen" w:cs="Arial"/>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FACA3" w14:textId="77777777" w:rsidR="00C45496" w:rsidRPr="00686C0C" w:rsidRDefault="00C45496" w:rsidP="00FF5012">
    <w:pPr>
      <w:ind w:left="720" w:hanging="720"/>
      <w:jc w:val="both"/>
      <w:rPr>
        <w:rFonts w:ascii="Sylfaen" w:hAnsi="Sylfaen" w:cs="Arial"/>
        <w:i/>
        <w:spacing w:val="-6"/>
        <w:sz w:val="22"/>
        <w:szCs w:val="22"/>
      </w:rPr>
    </w:pPr>
    <w:r w:rsidRPr="00686C0C">
      <w:rPr>
        <w:rFonts w:ascii="Sylfaen" w:hAnsi="Sylfaen" w:cs="Arial"/>
        <w:i/>
        <w:spacing w:val="-6"/>
        <w:sz w:val="22"/>
        <w:szCs w:val="22"/>
        <w:u w:val="single"/>
      </w:rPr>
      <w:t>NOTE</w:t>
    </w:r>
    <w:r w:rsidRPr="00686C0C">
      <w:rPr>
        <w:rFonts w:ascii="Sylfaen" w:hAnsi="Sylfaen" w:cs="Arial"/>
        <w:i/>
        <w:spacing w:val="-6"/>
        <w:sz w:val="22"/>
        <w:szCs w:val="22"/>
      </w:rPr>
      <w:t xml:space="preserve">: </w:t>
    </w:r>
    <w:r w:rsidR="00D50A21">
      <w:rPr>
        <w:rFonts w:ascii="Sylfaen" w:hAnsi="Sylfaen" w:cs="Arial"/>
        <w:i/>
        <w:spacing w:val="-6"/>
        <w:sz w:val="22"/>
        <w:szCs w:val="22"/>
      </w:rPr>
      <w:tab/>
      <w:t>(1)</w:t>
    </w:r>
    <w:r w:rsidR="00D50A21">
      <w:rPr>
        <w:rFonts w:ascii="Sylfaen" w:hAnsi="Sylfaen" w:cs="Arial"/>
        <w:i/>
        <w:spacing w:val="-6"/>
        <w:sz w:val="22"/>
        <w:szCs w:val="22"/>
      </w:rPr>
      <w:tab/>
    </w:r>
    <w:r w:rsidRPr="00686C0C">
      <w:rPr>
        <w:rFonts w:ascii="Sylfaen" w:hAnsi="Sylfaen" w:cs="Arial"/>
        <w:i/>
        <w:spacing w:val="-6"/>
        <w:sz w:val="22"/>
        <w:szCs w:val="22"/>
      </w:rPr>
      <w:t xml:space="preserve">no anonymity direction made at first instance </w:t>
    </w:r>
    <w:r w:rsidR="007B67B0">
      <w:rPr>
        <w:rFonts w:ascii="Sylfaen" w:hAnsi="Sylfaen" w:cs="Arial"/>
        <w:i/>
        <w:spacing w:val="-6"/>
        <w:sz w:val="22"/>
        <w:szCs w:val="22"/>
      </w:rPr>
      <w:t xml:space="preserve">will continue, unless extended </w:t>
    </w:r>
    <w:r w:rsidR="00742454" w:rsidRPr="00686C0C">
      <w:rPr>
        <w:rFonts w:ascii="Sylfaen" w:hAnsi="Sylfaen" w:cs="Arial"/>
        <w:i/>
        <w:spacing w:val="-6"/>
        <w:sz w:val="22"/>
        <w:szCs w:val="22"/>
      </w:rPr>
      <w:t>by me</w:t>
    </w:r>
    <w:r w:rsidR="00FF5012" w:rsidRPr="00686C0C">
      <w:rPr>
        <w:rFonts w:ascii="Sylfaen" w:hAnsi="Sylfaen" w:cs="Arial"/>
        <w:i/>
        <w:spacing w:val="-6"/>
        <w:sz w:val="22"/>
        <w:szCs w:val="22"/>
      </w:rPr>
      <w:t>.</w:t>
    </w:r>
  </w:p>
  <w:p w14:paraId="3ABEB591" w14:textId="77777777" w:rsidR="00686C0C" w:rsidRPr="00686C0C" w:rsidRDefault="00D50A21" w:rsidP="00FF5012">
    <w:pPr>
      <w:ind w:left="720" w:hanging="720"/>
      <w:jc w:val="both"/>
      <w:rPr>
        <w:rFonts w:ascii="Sylfaen" w:hAnsi="Sylfaen" w:cs="Arial"/>
        <w:i/>
        <w:spacing w:val="-6"/>
        <w:sz w:val="22"/>
        <w:szCs w:val="22"/>
      </w:rPr>
    </w:pPr>
    <w:r>
      <w:rPr>
        <w:rFonts w:ascii="Sylfaen" w:hAnsi="Sylfaen" w:cs="Arial"/>
        <w:i/>
        <w:spacing w:val="-6"/>
        <w:sz w:val="22"/>
        <w:szCs w:val="22"/>
      </w:rPr>
      <w:tab/>
      <w:t>(2)</w:t>
    </w:r>
    <w:r>
      <w:rPr>
        <w:rFonts w:ascii="Sylfaen" w:hAnsi="Sylfaen" w:cs="Arial"/>
        <w:i/>
        <w:spacing w:val="-6"/>
        <w:sz w:val="22"/>
        <w:szCs w:val="22"/>
      </w:rPr>
      <w:tab/>
      <w:t>persons under 18 are referred to by initials, and must not be further identified.</w:t>
    </w:r>
  </w:p>
  <w:p w14:paraId="41485909" w14:textId="77777777" w:rsidR="00374981" w:rsidRPr="00686C0C" w:rsidRDefault="00374981" w:rsidP="00090CF9">
    <w:pPr>
      <w:jc w:val="center"/>
      <w:rPr>
        <w:rFonts w:ascii="Sylfaen" w:hAnsi="Sylfaen" w:cs="Arial"/>
        <w:i/>
        <w:sz w:val="22"/>
        <w:szCs w:val="22"/>
      </w:rPr>
    </w:pPr>
    <w:r w:rsidRPr="00686C0C">
      <w:rPr>
        <w:rFonts w:ascii="Sylfaen" w:hAnsi="Sylfaen" w:cs="Arial"/>
        <w:i/>
        <w:spacing w:val="-6"/>
        <w:sz w:val="22"/>
        <w:szCs w:val="22"/>
      </w:rPr>
      <w:t>©</w:t>
    </w:r>
    <w:r w:rsidRPr="00686C0C">
      <w:rPr>
        <w:rFonts w:ascii="Sylfaen" w:hAnsi="Sylfaen" w:cs="Arial"/>
        <w:i/>
        <w:sz w:val="22"/>
        <w:szCs w:val="22"/>
      </w:rPr>
      <w:t xml:space="preserve"> CROWN COPYRIGHT 201</w:t>
    </w:r>
    <w:r w:rsidR="008849A6">
      <w:rPr>
        <w:rFonts w:ascii="Sylfaen" w:hAnsi="Sylfaen" w:cs="Arial"/>
        <w:i/>
        <w:sz w:val="22"/>
        <w:szCs w:val="22"/>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D2C88D" w14:textId="77777777" w:rsidR="00DB7DC9" w:rsidRDefault="00DB7DC9">
      <w:r>
        <w:separator/>
      </w:r>
    </w:p>
  </w:footnote>
  <w:footnote w:type="continuationSeparator" w:id="0">
    <w:p w14:paraId="5FE6BF68" w14:textId="77777777" w:rsidR="00DB7DC9" w:rsidRDefault="00DB7D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4E5C5" w14:textId="77777777" w:rsidR="008849A6" w:rsidRPr="00FE56EB" w:rsidRDefault="00476DD6" w:rsidP="00FE56EB">
    <w:pPr>
      <w:pStyle w:val="Header"/>
      <w:jc w:val="right"/>
      <w:rPr>
        <w:sz w:val="20"/>
        <w:szCs w:val="20"/>
      </w:rPr>
    </w:pPr>
    <w:r>
      <w:rPr>
        <w:sz w:val="20"/>
        <w:szCs w:val="20"/>
      </w:rPr>
      <w:t xml:space="preserve">Appeal number: </w:t>
    </w:r>
    <w:r w:rsidR="00FE56EB" w:rsidRPr="00FE56EB">
      <w:rPr>
        <w:sz w:val="20"/>
        <w:szCs w:val="20"/>
      </w:rPr>
      <w:t>HU/12158/2016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80E67"/>
    <w:multiLevelType w:val="hybridMultilevel"/>
    <w:tmpl w:val="42C61A28"/>
    <w:lvl w:ilvl="0" w:tplc="CE900F66">
      <w:start w:val="1"/>
      <w:numFmt w:val="upperLetter"/>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 w15:restartNumberingAfterBreak="0">
    <w:nsid w:val="38BD726E"/>
    <w:multiLevelType w:val="hybridMultilevel"/>
    <w:tmpl w:val="786C61CE"/>
    <w:lvl w:ilvl="0" w:tplc="A4386342">
      <w:start w:val="1"/>
      <w:numFmt w:val="lowerLetter"/>
      <w:lvlText w:val="(%1)"/>
      <w:lvlJc w:val="left"/>
      <w:pPr>
        <w:ind w:left="2347" w:hanging="360"/>
      </w:pPr>
      <w:rPr>
        <w:rFonts w:hint="default"/>
      </w:rPr>
    </w:lvl>
    <w:lvl w:ilvl="1" w:tplc="08090019">
      <w:start w:val="1"/>
      <w:numFmt w:val="lowerLetter"/>
      <w:lvlText w:val="%2."/>
      <w:lvlJc w:val="left"/>
      <w:pPr>
        <w:ind w:left="3067" w:hanging="360"/>
      </w:pPr>
    </w:lvl>
    <w:lvl w:ilvl="2" w:tplc="0809001B" w:tentative="1">
      <w:start w:val="1"/>
      <w:numFmt w:val="lowerRoman"/>
      <w:lvlText w:val="%3."/>
      <w:lvlJc w:val="right"/>
      <w:pPr>
        <w:ind w:left="3787" w:hanging="180"/>
      </w:pPr>
    </w:lvl>
    <w:lvl w:ilvl="3" w:tplc="0809000F" w:tentative="1">
      <w:start w:val="1"/>
      <w:numFmt w:val="decimal"/>
      <w:lvlText w:val="%4."/>
      <w:lvlJc w:val="left"/>
      <w:pPr>
        <w:ind w:left="4507" w:hanging="360"/>
      </w:pPr>
    </w:lvl>
    <w:lvl w:ilvl="4" w:tplc="08090019" w:tentative="1">
      <w:start w:val="1"/>
      <w:numFmt w:val="lowerLetter"/>
      <w:lvlText w:val="%5."/>
      <w:lvlJc w:val="left"/>
      <w:pPr>
        <w:ind w:left="5227" w:hanging="360"/>
      </w:pPr>
    </w:lvl>
    <w:lvl w:ilvl="5" w:tplc="0809001B" w:tentative="1">
      <w:start w:val="1"/>
      <w:numFmt w:val="lowerRoman"/>
      <w:lvlText w:val="%6."/>
      <w:lvlJc w:val="right"/>
      <w:pPr>
        <w:ind w:left="5947" w:hanging="180"/>
      </w:pPr>
    </w:lvl>
    <w:lvl w:ilvl="6" w:tplc="0809000F" w:tentative="1">
      <w:start w:val="1"/>
      <w:numFmt w:val="decimal"/>
      <w:lvlText w:val="%7."/>
      <w:lvlJc w:val="left"/>
      <w:pPr>
        <w:ind w:left="6667" w:hanging="360"/>
      </w:pPr>
    </w:lvl>
    <w:lvl w:ilvl="7" w:tplc="08090019" w:tentative="1">
      <w:start w:val="1"/>
      <w:numFmt w:val="lowerLetter"/>
      <w:lvlText w:val="%8."/>
      <w:lvlJc w:val="left"/>
      <w:pPr>
        <w:ind w:left="7387" w:hanging="360"/>
      </w:pPr>
    </w:lvl>
    <w:lvl w:ilvl="8" w:tplc="0809001B" w:tentative="1">
      <w:start w:val="1"/>
      <w:numFmt w:val="lowerRoman"/>
      <w:lvlText w:val="%9."/>
      <w:lvlJc w:val="right"/>
      <w:pPr>
        <w:ind w:left="8107" w:hanging="180"/>
      </w:pPr>
    </w:lvl>
  </w:abstractNum>
  <w:abstractNum w:abstractNumId="2" w15:restartNumberingAfterBreak="0">
    <w:nsid w:val="567C2D46"/>
    <w:multiLevelType w:val="hybridMultilevel"/>
    <w:tmpl w:val="8760021E"/>
    <w:lvl w:ilvl="0" w:tplc="0542F5A8">
      <w:start w:val="2"/>
      <w:numFmt w:val="decimal"/>
      <w:lvlText w:val="%1."/>
      <w:lvlJc w:val="left"/>
      <w:pPr>
        <w:tabs>
          <w:tab w:val="num" w:pos="757"/>
        </w:tabs>
        <w:ind w:left="757" w:hanging="397"/>
      </w:pPr>
      <w:rPr>
        <w:rFonts w:ascii="Sylfaen" w:hAnsi="Sylfaen" w:hint="default"/>
        <w:b/>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59252B96"/>
    <w:multiLevelType w:val="multilevel"/>
    <w:tmpl w:val="49B4DD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25C"/>
    <w:rsid w:val="00000621"/>
    <w:rsid w:val="000036C2"/>
    <w:rsid w:val="00033D3D"/>
    <w:rsid w:val="00057601"/>
    <w:rsid w:val="00062F02"/>
    <w:rsid w:val="00071A7E"/>
    <w:rsid w:val="000746C0"/>
    <w:rsid w:val="00074D1D"/>
    <w:rsid w:val="000857AF"/>
    <w:rsid w:val="00090CF9"/>
    <w:rsid w:val="00092580"/>
    <w:rsid w:val="00093D4D"/>
    <w:rsid w:val="000A1210"/>
    <w:rsid w:val="000B2183"/>
    <w:rsid w:val="000D5D94"/>
    <w:rsid w:val="000F1A0E"/>
    <w:rsid w:val="000F530F"/>
    <w:rsid w:val="00102EBC"/>
    <w:rsid w:val="001165A7"/>
    <w:rsid w:val="00117FD8"/>
    <w:rsid w:val="001401BB"/>
    <w:rsid w:val="001435AF"/>
    <w:rsid w:val="00167D3A"/>
    <w:rsid w:val="00171EF3"/>
    <w:rsid w:val="00184315"/>
    <w:rsid w:val="00194E6E"/>
    <w:rsid w:val="001A3082"/>
    <w:rsid w:val="001A5D86"/>
    <w:rsid w:val="001B186A"/>
    <w:rsid w:val="001B2F75"/>
    <w:rsid w:val="001E6DE8"/>
    <w:rsid w:val="001F114E"/>
    <w:rsid w:val="001F2716"/>
    <w:rsid w:val="00206F6B"/>
    <w:rsid w:val="00207617"/>
    <w:rsid w:val="0023134B"/>
    <w:rsid w:val="00240B69"/>
    <w:rsid w:val="0026015E"/>
    <w:rsid w:val="002667BE"/>
    <w:rsid w:val="00270E13"/>
    <w:rsid w:val="00283659"/>
    <w:rsid w:val="002B5149"/>
    <w:rsid w:val="002C6BD4"/>
    <w:rsid w:val="002D68BF"/>
    <w:rsid w:val="002F6B98"/>
    <w:rsid w:val="00310B90"/>
    <w:rsid w:val="00336CBF"/>
    <w:rsid w:val="00343FE3"/>
    <w:rsid w:val="003546C8"/>
    <w:rsid w:val="00355B39"/>
    <w:rsid w:val="00374981"/>
    <w:rsid w:val="003860CF"/>
    <w:rsid w:val="003A3DA7"/>
    <w:rsid w:val="003A7CF2"/>
    <w:rsid w:val="003C5CE5"/>
    <w:rsid w:val="003E267B"/>
    <w:rsid w:val="003E5773"/>
    <w:rsid w:val="003E7CD1"/>
    <w:rsid w:val="003F161C"/>
    <w:rsid w:val="003F2E3F"/>
    <w:rsid w:val="00402B9E"/>
    <w:rsid w:val="00420643"/>
    <w:rsid w:val="004249CB"/>
    <w:rsid w:val="004258F6"/>
    <w:rsid w:val="00430D6B"/>
    <w:rsid w:val="0044127D"/>
    <w:rsid w:val="004448DB"/>
    <w:rsid w:val="00446C9A"/>
    <w:rsid w:val="00452F2B"/>
    <w:rsid w:val="004617F0"/>
    <w:rsid w:val="00473EEA"/>
    <w:rsid w:val="00476DD6"/>
    <w:rsid w:val="00477193"/>
    <w:rsid w:val="00480D87"/>
    <w:rsid w:val="004A1848"/>
    <w:rsid w:val="004A6F4A"/>
    <w:rsid w:val="004C5C63"/>
    <w:rsid w:val="004E4717"/>
    <w:rsid w:val="004F3E61"/>
    <w:rsid w:val="005035E7"/>
    <w:rsid w:val="00507FEC"/>
    <w:rsid w:val="00510F0E"/>
    <w:rsid w:val="00531929"/>
    <w:rsid w:val="005479E1"/>
    <w:rsid w:val="00553E0A"/>
    <w:rsid w:val="005570FD"/>
    <w:rsid w:val="005575EA"/>
    <w:rsid w:val="00574E42"/>
    <w:rsid w:val="0057790C"/>
    <w:rsid w:val="005829AB"/>
    <w:rsid w:val="00582D15"/>
    <w:rsid w:val="00593795"/>
    <w:rsid w:val="00593821"/>
    <w:rsid w:val="00597008"/>
    <w:rsid w:val="00597623"/>
    <w:rsid w:val="005A549B"/>
    <w:rsid w:val="005A75FF"/>
    <w:rsid w:val="005C00CF"/>
    <w:rsid w:val="005D10AB"/>
    <w:rsid w:val="005D721A"/>
    <w:rsid w:val="005E3BB2"/>
    <w:rsid w:val="005F1F19"/>
    <w:rsid w:val="00601D8F"/>
    <w:rsid w:val="00611011"/>
    <w:rsid w:val="00653E97"/>
    <w:rsid w:val="00655341"/>
    <w:rsid w:val="00676204"/>
    <w:rsid w:val="00684A74"/>
    <w:rsid w:val="00686C0C"/>
    <w:rsid w:val="00690B8A"/>
    <w:rsid w:val="0069160E"/>
    <w:rsid w:val="00696018"/>
    <w:rsid w:val="00696D3B"/>
    <w:rsid w:val="006B058B"/>
    <w:rsid w:val="006E2F1E"/>
    <w:rsid w:val="006F2CF1"/>
    <w:rsid w:val="007038ED"/>
    <w:rsid w:val="00703BC3"/>
    <w:rsid w:val="00704B61"/>
    <w:rsid w:val="007334B3"/>
    <w:rsid w:val="00741157"/>
    <w:rsid w:val="007420F1"/>
    <w:rsid w:val="00742454"/>
    <w:rsid w:val="00750745"/>
    <w:rsid w:val="007552A9"/>
    <w:rsid w:val="00761858"/>
    <w:rsid w:val="00767D59"/>
    <w:rsid w:val="00776E97"/>
    <w:rsid w:val="00780F86"/>
    <w:rsid w:val="007912AD"/>
    <w:rsid w:val="007A37E8"/>
    <w:rsid w:val="007B0824"/>
    <w:rsid w:val="007B5D3C"/>
    <w:rsid w:val="007B67B0"/>
    <w:rsid w:val="00821B72"/>
    <w:rsid w:val="00823EF2"/>
    <w:rsid w:val="008303B8"/>
    <w:rsid w:val="00833DCE"/>
    <w:rsid w:val="00871D34"/>
    <w:rsid w:val="008849A6"/>
    <w:rsid w:val="008A414E"/>
    <w:rsid w:val="008B270C"/>
    <w:rsid w:val="008B382D"/>
    <w:rsid w:val="008B5078"/>
    <w:rsid w:val="008C3D3D"/>
    <w:rsid w:val="008D4131"/>
    <w:rsid w:val="008F0697"/>
    <w:rsid w:val="008F1932"/>
    <w:rsid w:val="008F23F4"/>
    <w:rsid w:val="00921062"/>
    <w:rsid w:val="00923B15"/>
    <w:rsid w:val="00925AB2"/>
    <w:rsid w:val="009722BC"/>
    <w:rsid w:val="009727A3"/>
    <w:rsid w:val="00977EB3"/>
    <w:rsid w:val="00987774"/>
    <w:rsid w:val="00996FBB"/>
    <w:rsid w:val="009A11E8"/>
    <w:rsid w:val="009C5F92"/>
    <w:rsid w:val="009E30EE"/>
    <w:rsid w:val="009F3381"/>
    <w:rsid w:val="009F5220"/>
    <w:rsid w:val="00A11F19"/>
    <w:rsid w:val="00A14A3C"/>
    <w:rsid w:val="00A15234"/>
    <w:rsid w:val="00A201AB"/>
    <w:rsid w:val="00A240AA"/>
    <w:rsid w:val="00A253BF"/>
    <w:rsid w:val="00A31C8B"/>
    <w:rsid w:val="00A509FA"/>
    <w:rsid w:val="00A544A8"/>
    <w:rsid w:val="00A845DC"/>
    <w:rsid w:val="00A8721C"/>
    <w:rsid w:val="00AE226C"/>
    <w:rsid w:val="00B20636"/>
    <w:rsid w:val="00B26AA2"/>
    <w:rsid w:val="00B3524D"/>
    <w:rsid w:val="00B40F69"/>
    <w:rsid w:val="00B46616"/>
    <w:rsid w:val="00B7040A"/>
    <w:rsid w:val="00B83391"/>
    <w:rsid w:val="00B95326"/>
    <w:rsid w:val="00BA334F"/>
    <w:rsid w:val="00BB3FC4"/>
    <w:rsid w:val="00BB7997"/>
    <w:rsid w:val="00BC481C"/>
    <w:rsid w:val="00BC4DE5"/>
    <w:rsid w:val="00BD2083"/>
    <w:rsid w:val="00BD3A9C"/>
    <w:rsid w:val="00BD4196"/>
    <w:rsid w:val="00BF22CA"/>
    <w:rsid w:val="00BF23BB"/>
    <w:rsid w:val="00C12F97"/>
    <w:rsid w:val="00C217AF"/>
    <w:rsid w:val="00C26032"/>
    <w:rsid w:val="00C345E1"/>
    <w:rsid w:val="00C43BFD"/>
    <w:rsid w:val="00C45496"/>
    <w:rsid w:val="00C6225C"/>
    <w:rsid w:val="00CB6E35"/>
    <w:rsid w:val="00CC0CC9"/>
    <w:rsid w:val="00CE1A46"/>
    <w:rsid w:val="00CF12BF"/>
    <w:rsid w:val="00D17F02"/>
    <w:rsid w:val="00D20757"/>
    <w:rsid w:val="00D22636"/>
    <w:rsid w:val="00D40FD9"/>
    <w:rsid w:val="00D50A21"/>
    <w:rsid w:val="00D53769"/>
    <w:rsid w:val="00D85C13"/>
    <w:rsid w:val="00D9111A"/>
    <w:rsid w:val="00D91BE3"/>
    <w:rsid w:val="00D94AFC"/>
    <w:rsid w:val="00DB0B2B"/>
    <w:rsid w:val="00DB1EA9"/>
    <w:rsid w:val="00DB70AE"/>
    <w:rsid w:val="00DB7DC9"/>
    <w:rsid w:val="00DD5071"/>
    <w:rsid w:val="00DD5C39"/>
    <w:rsid w:val="00DD6918"/>
    <w:rsid w:val="00DE20CE"/>
    <w:rsid w:val="00DE65C8"/>
    <w:rsid w:val="00DE7DB7"/>
    <w:rsid w:val="00DF2161"/>
    <w:rsid w:val="00DF392C"/>
    <w:rsid w:val="00E00A0A"/>
    <w:rsid w:val="00E024EB"/>
    <w:rsid w:val="00E066DE"/>
    <w:rsid w:val="00E07F57"/>
    <w:rsid w:val="00E2039F"/>
    <w:rsid w:val="00E30683"/>
    <w:rsid w:val="00E34543"/>
    <w:rsid w:val="00E418CE"/>
    <w:rsid w:val="00E453D8"/>
    <w:rsid w:val="00E50BCE"/>
    <w:rsid w:val="00E5636F"/>
    <w:rsid w:val="00E56B84"/>
    <w:rsid w:val="00E574BF"/>
    <w:rsid w:val="00E61292"/>
    <w:rsid w:val="00E74B5A"/>
    <w:rsid w:val="00E77C4D"/>
    <w:rsid w:val="00E80AD9"/>
    <w:rsid w:val="00E81D01"/>
    <w:rsid w:val="00E862ED"/>
    <w:rsid w:val="00EE43F3"/>
    <w:rsid w:val="00EE45D8"/>
    <w:rsid w:val="00EF7AA8"/>
    <w:rsid w:val="00F07170"/>
    <w:rsid w:val="00F118C6"/>
    <w:rsid w:val="00F22EDA"/>
    <w:rsid w:val="00F46745"/>
    <w:rsid w:val="00F556F2"/>
    <w:rsid w:val="00F97703"/>
    <w:rsid w:val="00FA48DC"/>
    <w:rsid w:val="00FC4F57"/>
    <w:rsid w:val="00FC5AE2"/>
    <w:rsid w:val="00FD79ED"/>
    <w:rsid w:val="00FE4D99"/>
    <w:rsid w:val="00FE56EB"/>
    <w:rsid w:val="00FF50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PersonName"/>
  <w:shapeDefaults>
    <o:shapedefaults v:ext="edit" spidmax="2049"/>
    <o:shapelayout v:ext="edit">
      <o:idmap v:ext="edit" data="1"/>
    </o:shapelayout>
  </w:shapeDefaults>
  <w:decimalSymbol w:val="."/>
  <w:listSeparator w:val=","/>
  <w14:docId w14:val="10D1C5C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ownfootnote">
    <w:name w:val="own footnote"/>
    <w:basedOn w:val="FootnoteText"/>
    <w:autoRedefine/>
    <w:rsid w:val="00DE65C8"/>
    <w:pPr>
      <w:ind w:left="540" w:hanging="540"/>
    </w:pPr>
    <w:rPr>
      <w:rFonts w:ascii="Sylfaen" w:hAnsi="Sylfaen"/>
      <w:sz w:val="22"/>
      <w:szCs w:val="22"/>
    </w:rPr>
  </w:style>
  <w:style w:type="paragraph" w:styleId="FootnoteText">
    <w:name w:val="footnote text"/>
    <w:basedOn w:val="Normal"/>
    <w:semiHidden/>
    <w:rsid w:val="00DE65C8"/>
    <w:rPr>
      <w:sz w:val="20"/>
      <w:szCs w:val="20"/>
    </w:rPr>
  </w:style>
  <w:style w:type="paragraph" w:customStyle="1" w:styleId="pedal">
    <w:name w:val="pedal"/>
    <w:basedOn w:val="Footer"/>
    <w:autoRedefine/>
    <w:rsid w:val="00E862ED"/>
    <w:pPr>
      <w:ind w:left="540" w:hanging="540"/>
    </w:pPr>
    <w:rPr>
      <w:rFonts w:ascii="Sylfaen" w:hAnsi="Sylfaen"/>
      <w:sz w:val="22"/>
      <w:szCs w:val="22"/>
    </w:rPr>
  </w:style>
  <w:style w:type="paragraph" w:customStyle="1" w:styleId="pedal1">
    <w:name w:val="pedal1"/>
    <w:basedOn w:val="pedal"/>
    <w:autoRedefine/>
    <w:rsid w:val="000B2183"/>
    <w:pPr>
      <w:ind w:left="539" w:hanging="539"/>
    </w:pPr>
  </w:style>
  <w:style w:type="paragraph" w:customStyle="1" w:styleId="pedal2">
    <w:name w:val="pedal2"/>
    <w:basedOn w:val="pedal"/>
    <w:autoRedefine/>
    <w:rsid w:val="000B2183"/>
    <w:pPr>
      <w:ind w:left="539" w:hanging="539"/>
      <w:jc w:val="both"/>
    </w:pPr>
  </w:style>
  <w:style w:type="paragraph" w:customStyle="1" w:styleId="foot-note">
    <w:name w:val="foot-note"/>
    <w:basedOn w:val="pedal2"/>
    <w:rsid w:val="003A3DA7"/>
  </w:style>
  <w:style w:type="paragraph" w:styleId="ListParagraph">
    <w:name w:val="List Paragraph"/>
    <w:basedOn w:val="Normal"/>
    <w:uiPriority w:val="34"/>
    <w:qFormat/>
    <w:rsid w:val="006E2F1E"/>
    <w:pPr>
      <w:ind w:left="720"/>
    </w:pPr>
  </w:style>
  <w:style w:type="character" w:styleId="FollowedHyperlink">
    <w:name w:val="FollowedHyperlink"/>
    <w:rsid w:val="00EF7AA8"/>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ailii.org/cgi-bin/format.cgi?doc=/uk/cases/UKUT/IAC/2016/450.html&amp;query=%28title:%28+MA+%29%29"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bailii.org/cgi-bin/format.cgi?doc=/uk/cases/UKUT/IAC/2016/450.html&amp;query=%28title:%28+MA+%29%29" TargetMode="External"/><Relationship Id="rId4" Type="http://schemas.openxmlformats.org/officeDocument/2006/relationships/webSettings" Target="webSettings.xml"/><Relationship Id="rId9" Type="http://schemas.openxmlformats.org/officeDocument/2006/relationships/hyperlink" Target="http://www.bailii.org/cgi-bin/format.cgi?doc=/uk/cases/UKUT/IAC/2016/229.html&amp;query=%28title:%28+qadir+%29%29"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895</Words>
  <Characters>5107</Characters>
  <Application>Microsoft Office Word</Application>
  <DocSecurity>0</DocSecurity>
  <Lines>42</Lines>
  <Paragraphs>11</Paragraphs>
  <ScaleCrop>false</ScaleCrop>
  <Company/>
  <LinksUpToDate>false</LinksUpToDate>
  <CharactersWithSpaces>5991</CharactersWithSpaces>
  <SharedDoc>false</SharedDoc>
  <HLinks>
    <vt:vector size="18" baseType="variant">
      <vt:variant>
        <vt:i4>3276857</vt:i4>
      </vt:variant>
      <vt:variant>
        <vt:i4>17</vt:i4>
      </vt:variant>
      <vt:variant>
        <vt:i4>0</vt:i4>
      </vt:variant>
      <vt:variant>
        <vt:i4>5</vt:i4>
      </vt:variant>
      <vt:variant>
        <vt:lpwstr>http://www.bailii.org/cgi-bin/format.cgi?doc=/uk/cases/UKUT/IAC/2016/450.html&amp;query=%28title:%28+MA+%29%29</vt:lpwstr>
      </vt:variant>
      <vt:variant>
        <vt:lpwstr/>
      </vt:variant>
      <vt:variant>
        <vt:i4>1835077</vt:i4>
      </vt:variant>
      <vt:variant>
        <vt:i4>14</vt:i4>
      </vt:variant>
      <vt:variant>
        <vt:i4>0</vt:i4>
      </vt:variant>
      <vt:variant>
        <vt:i4>5</vt:i4>
      </vt:variant>
      <vt:variant>
        <vt:lpwstr>http://www.bailii.org/cgi-bin/format.cgi?doc=/uk/cases/UKUT/IAC/2016/229.html&amp;query=%28title:%28+qadir+%29%29</vt:lpwstr>
      </vt:variant>
      <vt:variant>
        <vt:lpwstr/>
      </vt:variant>
      <vt:variant>
        <vt:i4>3276857</vt:i4>
      </vt:variant>
      <vt:variant>
        <vt:i4>11</vt:i4>
      </vt:variant>
      <vt:variant>
        <vt:i4>0</vt:i4>
      </vt:variant>
      <vt:variant>
        <vt:i4>5</vt:i4>
      </vt:variant>
      <vt:variant>
        <vt:lpwstr>http://www.bailii.org/cgi-bin/format.cgi?doc=/uk/cases/UKUT/IAC/2016/450.html&amp;query=%28title:%28+MA+%29%29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2018-06-15T16:14:00Z</dcterms:created>
  <dcterms:modified xsi:type="dcterms:W3CDTF">2018-06-15T16:15:00Z</dcterms:modified>
</cp:coreProperties>
</file>