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073A2B" w:rsidP="008A605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9B7433" w:rsidRDefault="00D94AFC">
      <w:pPr>
        <w:rPr>
          <w:rFonts w:ascii="Book Antiqua" w:hAnsi="Book Antiqua" w:cs="Arial"/>
          <w:color w:val="000000"/>
          <w:sz w:val="16"/>
          <w:szCs w:val="16"/>
        </w:rPr>
      </w:pP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F2710B">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DC2619">
        <w:rPr>
          <w:rFonts w:ascii="Book Antiqua" w:hAnsi="Book Antiqua" w:cs="Arial"/>
          <w:caps/>
          <w:color w:val="000000"/>
        </w:rPr>
        <w:t>HU/12528/2015</w:t>
      </w:r>
    </w:p>
    <w:p w:rsidR="00DC2619" w:rsidRPr="009B7433" w:rsidRDefault="00DC2619" w:rsidP="00CC5DC2">
      <w:pPr>
        <w:tabs>
          <w:tab w:val="right" w:pos="9720"/>
        </w:tabs>
        <w:ind w:right="-82"/>
        <w:jc w:val="right"/>
        <w:rPr>
          <w:rFonts w:ascii="Book Antiqua" w:hAnsi="Book Antiqua" w:cs="Arial"/>
          <w:color w:val="000000"/>
        </w:rPr>
      </w:pPr>
      <w:r>
        <w:rPr>
          <w:rFonts w:ascii="Book Antiqua" w:hAnsi="Book Antiqua" w:cs="Arial"/>
          <w:caps/>
          <w:color w:val="000000"/>
        </w:rPr>
        <w:t>HU/12530/2015</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C7B62" w:rsidTr="002C7B62">
        <w:tc>
          <w:tcPr>
            <w:tcW w:w="6048" w:type="dxa"/>
            <w:shd w:val="clear" w:color="auto" w:fill="auto"/>
          </w:tcPr>
          <w:p w:rsidR="00D22636" w:rsidRPr="002C7B62" w:rsidRDefault="00D22636" w:rsidP="002C7B62">
            <w:pPr>
              <w:jc w:val="both"/>
              <w:rPr>
                <w:rFonts w:ascii="Book Antiqua" w:hAnsi="Book Antiqua" w:cs="Arial"/>
                <w:b/>
              </w:rPr>
            </w:pPr>
            <w:r w:rsidRPr="002C7B62">
              <w:rPr>
                <w:rFonts w:ascii="Book Antiqua" w:hAnsi="Book Antiqua" w:cs="Arial"/>
                <w:b/>
              </w:rPr>
              <w:t xml:space="preserve">Heard at </w:t>
            </w:r>
            <w:r w:rsidR="00DC2619" w:rsidRPr="002C7B62">
              <w:rPr>
                <w:rFonts w:ascii="Book Antiqua" w:hAnsi="Book Antiqua" w:cs="Arial"/>
                <w:b/>
              </w:rPr>
              <w:t>Field House</w:t>
            </w:r>
          </w:p>
        </w:tc>
        <w:tc>
          <w:tcPr>
            <w:tcW w:w="3960" w:type="dxa"/>
            <w:shd w:val="clear" w:color="auto" w:fill="auto"/>
          </w:tcPr>
          <w:p w:rsidR="00D22636" w:rsidRPr="002C7B62" w:rsidRDefault="00D949B7" w:rsidP="002C7B62">
            <w:pPr>
              <w:jc w:val="both"/>
              <w:rPr>
                <w:rFonts w:ascii="Book Antiqua" w:hAnsi="Book Antiqua" w:cs="Arial"/>
                <w:b/>
                <w:color w:val="000000"/>
              </w:rPr>
            </w:pPr>
            <w:r w:rsidRPr="002C7B62">
              <w:rPr>
                <w:rFonts w:ascii="Book Antiqua" w:hAnsi="Book Antiqua" w:cs="Arial"/>
                <w:b/>
                <w:color w:val="000000"/>
              </w:rPr>
              <w:t>Decision &amp; Reasons</w:t>
            </w:r>
            <w:r w:rsidR="00283659" w:rsidRPr="002C7B62">
              <w:rPr>
                <w:rFonts w:ascii="Book Antiqua" w:hAnsi="Book Antiqua" w:cs="Arial"/>
                <w:b/>
                <w:color w:val="000000"/>
              </w:rPr>
              <w:t xml:space="preserve"> Promulgated</w:t>
            </w:r>
          </w:p>
        </w:tc>
      </w:tr>
      <w:tr w:rsidR="00D22636" w:rsidRPr="002C7B62" w:rsidTr="002C7B62">
        <w:tc>
          <w:tcPr>
            <w:tcW w:w="6048" w:type="dxa"/>
            <w:shd w:val="clear" w:color="auto" w:fill="auto"/>
          </w:tcPr>
          <w:p w:rsidR="00C352BE" w:rsidRPr="002C7B62" w:rsidRDefault="00C352BE" w:rsidP="002C7B62">
            <w:pPr>
              <w:jc w:val="both"/>
              <w:rPr>
                <w:rFonts w:ascii="Book Antiqua" w:hAnsi="Book Antiqua" w:cs="Arial"/>
                <w:b/>
              </w:rPr>
            </w:pPr>
            <w:r w:rsidRPr="002C7B62">
              <w:rPr>
                <w:rFonts w:ascii="Book Antiqua" w:hAnsi="Book Antiqua" w:cs="Arial"/>
                <w:b/>
              </w:rPr>
              <w:t>Oral determination given following hearing</w:t>
            </w:r>
          </w:p>
          <w:p w:rsidR="00D22636" w:rsidRPr="002C7B62" w:rsidRDefault="00D22636" w:rsidP="002C7B62">
            <w:pPr>
              <w:jc w:val="both"/>
              <w:rPr>
                <w:rFonts w:ascii="Book Antiqua" w:hAnsi="Book Antiqua" w:cs="Arial"/>
                <w:b/>
              </w:rPr>
            </w:pPr>
            <w:r w:rsidRPr="002C7B62">
              <w:rPr>
                <w:rFonts w:ascii="Book Antiqua" w:hAnsi="Book Antiqua" w:cs="Arial"/>
                <w:b/>
              </w:rPr>
              <w:t xml:space="preserve">On </w:t>
            </w:r>
            <w:r w:rsidR="00DC2619" w:rsidRPr="002C7B62">
              <w:rPr>
                <w:rFonts w:ascii="Book Antiqua" w:hAnsi="Book Antiqua" w:cs="Arial"/>
                <w:b/>
              </w:rPr>
              <w:t>6 April 2018</w:t>
            </w:r>
          </w:p>
        </w:tc>
        <w:tc>
          <w:tcPr>
            <w:tcW w:w="3960" w:type="dxa"/>
            <w:shd w:val="clear" w:color="auto" w:fill="auto"/>
          </w:tcPr>
          <w:p w:rsidR="00D22636" w:rsidRPr="002C7B62" w:rsidRDefault="00FE1616" w:rsidP="002C7B62">
            <w:pPr>
              <w:jc w:val="both"/>
              <w:rPr>
                <w:rFonts w:ascii="Book Antiqua" w:hAnsi="Book Antiqua" w:cs="Arial"/>
                <w:b/>
              </w:rPr>
            </w:pPr>
            <w:r>
              <w:rPr>
                <w:rFonts w:ascii="Book Antiqua" w:hAnsi="Book Antiqua" w:cs="Arial"/>
                <w:b/>
              </w:rPr>
              <w:t>On 18 May 2018</w:t>
            </w:r>
          </w:p>
        </w:tc>
      </w:tr>
      <w:tr w:rsidR="00D22636" w:rsidRPr="002C7B62" w:rsidTr="002C7B62">
        <w:tc>
          <w:tcPr>
            <w:tcW w:w="6048" w:type="dxa"/>
            <w:shd w:val="clear" w:color="auto" w:fill="auto"/>
          </w:tcPr>
          <w:p w:rsidR="00D22636" w:rsidRPr="002C7B62" w:rsidRDefault="00D22636" w:rsidP="002C7B62">
            <w:pPr>
              <w:jc w:val="both"/>
              <w:rPr>
                <w:rFonts w:ascii="Book Antiqua" w:hAnsi="Book Antiqua" w:cs="Arial"/>
                <w:b/>
              </w:rPr>
            </w:pPr>
          </w:p>
        </w:tc>
        <w:tc>
          <w:tcPr>
            <w:tcW w:w="3960" w:type="dxa"/>
            <w:shd w:val="clear" w:color="auto" w:fill="auto"/>
          </w:tcPr>
          <w:p w:rsidR="00D22636" w:rsidRPr="002C7B62" w:rsidRDefault="00D22636" w:rsidP="002C7B62">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C659D4">
        <w:rPr>
          <w:rFonts w:ascii="Book Antiqua" w:hAnsi="Book Antiqua" w:cs="Arial"/>
          <w:b/>
          <w:color w:val="000000"/>
        </w:rPr>
        <w:t>CRAIG</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DC2619" w:rsidP="00A15234">
      <w:pPr>
        <w:jc w:val="center"/>
        <w:rPr>
          <w:rFonts w:ascii="Book Antiqua" w:hAnsi="Book Antiqua" w:cs="Arial"/>
          <w:b/>
          <w:caps/>
        </w:rPr>
      </w:pPr>
      <w:r>
        <w:rPr>
          <w:rFonts w:ascii="Book Antiqua" w:hAnsi="Book Antiqua" w:cs="Arial"/>
          <w:b/>
          <w:caps/>
        </w:rPr>
        <w:t xml:space="preserve">entry clearance officer – </w:t>
      </w:r>
      <w:smartTag w:uri="urn:schemas-microsoft-com:office:smarttags" w:element="place">
        <w:smartTag w:uri="urn:schemas-microsoft-com:office:smarttags" w:element="City">
          <w:r>
            <w:rPr>
              <w:rFonts w:ascii="Book Antiqua" w:hAnsi="Book Antiqua" w:cs="Arial"/>
              <w:b/>
              <w:caps/>
            </w:rPr>
            <w:t>new delhi</w:t>
          </w:r>
        </w:smartTag>
      </w:smartTag>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Default="00DC2619" w:rsidP="00704B61">
      <w:pPr>
        <w:jc w:val="center"/>
        <w:rPr>
          <w:rFonts w:ascii="Book Antiqua" w:hAnsi="Book Antiqua" w:cs="Arial"/>
          <w:b/>
        </w:rPr>
      </w:pPr>
      <w:r>
        <w:rPr>
          <w:rFonts w:ascii="Book Antiqua" w:hAnsi="Book Antiqua" w:cs="Arial"/>
          <w:b/>
        </w:rPr>
        <w:t>MR TIRTHA RAJ SUNUWAR</w:t>
      </w:r>
    </w:p>
    <w:p w:rsidR="00DC2619" w:rsidRPr="009B7433" w:rsidRDefault="00DC2619" w:rsidP="00704B61">
      <w:pPr>
        <w:jc w:val="center"/>
        <w:rPr>
          <w:rFonts w:ascii="Book Antiqua" w:hAnsi="Book Antiqua" w:cs="Arial"/>
          <w:b/>
        </w:rPr>
      </w:pPr>
      <w:r>
        <w:rPr>
          <w:rFonts w:ascii="Book Antiqua" w:hAnsi="Book Antiqua" w:cs="Arial"/>
          <w:b/>
        </w:rPr>
        <w:t>MR KAUSHAL SUNUWAR</w:t>
      </w:r>
    </w:p>
    <w:p w:rsidR="00DC2619" w:rsidRDefault="00DC2619" w:rsidP="00DC2619">
      <w:pPr>
        <w:jc w:val="center"/>
        <w:rPr>
          <w:rFonts w:ascii="Book Antiqua" w:hAnsi="Book Antiqua" w:cs="Arial"/>
          <w:b/>
          <w:caps/>
        </w:rPr>
      </w:pPr>
      <w:r w:rsidRPr="00D949B7">
        <w:rPr>
          <w:rFonts w:ascii="Book Antiqua" w:hAnsi="Book Antiqua" w:cs="Arial"/>
          <w:b/>
          <w:caps/>
        </w:rPr>
        <w:t xml:space="preserve">(ANONYMITY DIRECTION </w:t>
      </w:r>
      <w:r w:rsidR="00C352BE">
        <w:rPr>
          <w:rFonts w:ascii="Book Antiqua" w:hAnsi="Book Antiqua" w:cs="Arial"/>
          <w:b/>
          <w:caps/>
        </w:rPr>
        <w:t>NOT MADE</w:t>
      </w:r>
      <w:r w:rsidRPr="00D949B7">
        <w:rPr>
          <w:rFonts w:ascii="Book Antiqua" w:hAnsi="Book Antiqua" w:cs="Arial"/>
          <w:b/>
          <w:caps/>
        </w:rPr>
        <w: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r w:rsidR="00DC2619">
        <w:rPr>
          <w:rFonts w:ascii="Book Antiqua" w:hAnsi="Book Antiqua" w:cs="Arial"/>
          <w:u w:val="single"/>
        </w:rPr>
        <w:t>s</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C2619" w:rsidRDefault="00DE7DB7" w:rsidP="00DC2619">
      <w:pPr>
        <w:tabs>
          <w:tab w:val="left" w:pos="2700"/>
        </w:tabs>
        <w:rPr>
          <w:rFonts w:ascii="Book Antiqua" w:hAnsi="Book Antiqua" w:cs="Arial"/>
        </w:rPr>
      </w:pPr>
      <w:r w:rsidRPr="009B7433">
        <w:rPr>
          <w:rFonts w:ascii="Book Antiqua" w:hAnsi="Book Antiqua" w:cs="Arial"/>
        </w:rPr>
        <w:t>For the Appellant</w:t>
      </w:r>
      <w:r w:rsidR="00DC2619">
        <w:rPr>
          <w:rFonts w:ascii="Book Antiqua" w:hAnsi="Book Antiqua" w:cs="Arial"/>
        </w:rPr>
        <w:tab/>
        <w:t xml:space="preserve"> Ms A Fijiwala, Senior Home Office Presenting Officer</w:t>
      </w:r>
    </w:p>
    <w:p w:rsidR="00DC2619" w:rsidRDefault="00DC2619" w:rsidP="00DE7DB7">
      <w:pPr>
        <w:tabs>
          <w:tab w:val="left" w:pos="2520"/>
        </w:tabs>
        <w:rPr>
          <w:rFonts w:ascii="Book Antiqua" w:hAnsi="Book Antiqua" w:cs="Arial"/>
        </w:rPr>
      </w:pPr>
      <w:r>
        <w:rPr>
          <w:rFonts w:ascii="Book Antiqua" w:hAnsi="Book Antiqua" w:cs="Arial"/>
        </w:rPr>
        <w:t>(</w:t>
      </w:r>
      <w:r w:rsidRPr="00DC2619">
        <w:rPr>
          <w:rFonts w:ascii="Book Antiqua" w:hAnsi="Book Antiqua" w:cs="Arial"/>
          <w:sz w:val="22"/>
          <w:szCs w:val="22"/>
        </w:rPr>
        <w:t>Entry Clearance Officer</w:t>
      </w:r>
      <w:r>
        <w:rPr>
          <w:rFonts w:ascii="Book Antiqua" w:hAnsi="Book Antiqua" w:cs="Arial"/>
        </w:rPr>
        <w:t>):</w:t>
      </w:r>
    </w:p>
    <w:p w:rsidR="00DE7DB7" w:rsidRDefault="00DC2619" w:rsidP="00DC2619">
      <w:pPr>
        <w:tabs>
          <w:tab w:val="left" w:pos="2700"/>
        </w:tabs>
        <w:rPr>
          <w:rFonts w:ascii="Book Antiqua" w:hAnsi="Book Antiqua" w:cs="Arial"/>
        </w:rPr>
      </w:pPr>
      <w:r>
        <w:rPr>
          <w:rFonts w:ascii="Book Antiqua" w:hAnsi="Book Antiqua" w:cs="Arial"/>
        </w:rPr>
        <w:t>For the Respondents:</w:t>
      </w:r>
      <w:r>
        <w:rPr>
          <w:rFonts w:ascii="Book Antiqua" w:hAnsi="Book Antiqua" w:cs="Arial"/>
        </w:rPr>
        <w:tab/>
        <w:t xml:space="preserve"> Mr H Dien, Counsel, instructed by NC Brothers &amp; Co Solicitors</w:t>
      </w:r>
    </w:p>
    <w:p w:rsidR="00DC2619" w:rsidRPr="009B7433" w:rsidRDefault="00DC2619" w:rsidP="00DC2619">
      <w:pPr>
        <w:tabs>
          <w:tab w:val="left" w:pos="2520"/>
        </w:tabs>
        <w:rPr>
          <w:rFonts w:ascii="Book Antiqua" w:hAnsi="Book Antiqua" w:cs="Arial"/>
        </w:rPr>
      </w:pPr>
      <w:r>
        <w:rPr>
          <w:rFonts w:ascii="Book Antiqua" w:hAnsi="Book Antiqua" w:cs="Arial"/>
        </w:rPr>
        <w:t>(</w:t>
      </w:r>
      <w:r w:rsidRPr="00DC2619">
        <w:rPr>
          <w:rFonts w:ascii="Book Antiqua" w:hAnsi="Book Antiqua" w:cs="Arial"/>
          <w:sz w:val="22"/>
          <w:szCs w:val="22"/>
        </w:rPr>
        <w:t>Mr Sunuwar &amp; Mr Sunuwar</w:t>
      </w:r>
      <w:r>
        <w:rPr>
          <w:rFonts w:ascii="Book Antiqua" w:hAnsi="Book Antiqua" w:cs="Arial"/>
        </w:rPr>
        <w:t>):</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EA79AF" w:rsidRDefault="00DC2619"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This is the appeal of the Entry Clearance Officer against a decision of First-tier Tribunal Judge Hall, who had allowed the appeal of Mr Tirtha Sunuwar and Mr Kaushal </w:t>
      </w:r>
      <w:r w:rsidR="00F16CB3">
        <w:rPr>
          <w:rFonts w:ascii="Book Antiqua" w:hAnsi="Book Antiqua" w:cs="Arial"/>
        </w:rPr>
        <w:t>Sunuwar.  For ease of reference I shall throughout this decision refer to the Entry Clearance Officer who was the original respondent as “the Entry Clearance Officer” and to Messrs Sunuwar and Sunuwar, who were the original appellants, as “the claimants”.</w:t>
      </w:r>
    </w:p>
    <w:p w:rsidR="00F16CB3" w:rsidRDefault="00F16CB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claimants are two young Nepalese citizens, born respectively in 1987 and 1981.  They are brothers and are the children of the sponsor, who had served in the Brigade of Gurkhas of the British army between 1978 and 1992.  </w:t>
      </w:r>
    </w:p>
    <w:p w:rsidR="00F16CB3" w:rsidRDefault="00F16CB3" w:rsidP="00EA79AF">
      <w:pPr>
        <w:numPr>
          <w:ilvl w:val="0"/>
          <w:numId w:val="1"/>
        </w:numPr>
        <w:tabs>
          <w:tab w:val="clear" w:pos="567"/>
        </w:tabs>
        <w:spacing w:before="240"/>
        <w:jc w:val="both"/>
        <w:rPr>
          <w:rFonts w:ascii="Book Antiqua" w:hAnsi="Book Antiqua" w:cs="Arial"/>
        </w:rPr>
      </w:pPr>
      <w:r>
        <w:rPr>
          <w:rFonts w:ascii="Book Antiqua" w:hAnsi="Book Antiqua" w:cs="Arial"/>
        </w:rPr>
        <w:t>The sponsor and his wife who is the mother of the claimants were granted settlement visas on 2 December 2010 and at that time they had been unable to apply for settlement visas for the two claimants because the claimants were the</w:t>
      </w:r>
      <w:r w:rsidR="00C352BE">
        <w:rPr>
          <w:rFonts w:ascii="Book Antiqua" w:hAnsi="Book Antiqua" w:cs="Arial"/>
        </w:rPr>
        <w:t>n</w:t>
      </w:r>
      <w:r>
        <w:rPr>
          <w:rFonts w:ascii="Book Antiqua" w:hAnsi="Book Antiqua" w:cs="Arial"/>
        </w:rPr>
        <w:t xml:space="preserve"> over 18 years of age.  They have subsequently been joined by their daughter (the sister of the claimants) who was granted settlement following an appeal apparently based upon her disability as she is deaf.  </w:t>
      </w:r>
    </w:p>
    <w:p w:rsidR="00C47603" w:rsidRDefault="00F16CB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or around 2015, following the clarification of the law in various decisions the claimants applied for entry clearance as the dependent adult sons of their father, a former Gurkha soldier settled 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Their applications were refused and the claimants appealed against these decisions.  Their appeals were heard at </w:t>
      </w:r>
      <w:smartTag w:uri="urn:schemas-microsoft-com:office:smarttags" w:element="address">
        <w:smartTag w:uri="urn:schemas-microsoft-com:office:smarttags" w:element="Street">
          <w:r>
            <w:rPr>
              <w:rFonts w:ascii="Book Antiqua" w:hAnsi="Book Antiqua" w:cs="Arial"/>
            </w:rPr>
            <w:t>Sheldon Court</w:t>
          </w:r>
        </w:smartTag>
        <w:r>
          <w:rPr>
            <w:rFonts w:ascii="Book Antiqua" w:hAnsi="Book Antiqua" w:cs="Arial"/>
          </w:rPr>
          <w:t xml:space="preserve">, </w:t>
        </w:r>
        <w:smartTag w:uri="urn:schemas-microsoft-com:office:smarttags" w:element="City">
          <w:r>
            <w:rPr>
              <w:rFonts w:ascii="Book Antiqua" w:hAnsi="Book Antiqua" w:cs="Arial"/>
            </w:rPr>
            <w:t>Birmingham</w:t>
          </w:r>
        </w:smartTag>
      </w:smartTag>
      <w:r>
        <w:rPr>
          <w:rFonts w:ascii="Book Antiqua" w:hAnsi="Book Antiqua" w:cs="Arial"/>
        </w:rPr>
        <w:t xml:space="preserve"> before First-tier Tribunal Judge Hall, on 11 May 2017 and in a decision and reasons promulgated on 23 May 2017 their appeals were allowed.  It is against this decision, as already noted, that the Entry Clearance Officer now appeals.</w:t>
      </w:r>
      <w:r w:rsidR="00C47603">
        <w:rPr>
          <w:rFonts w:ascii="Book Antiqua" w:hAnsi="Book Antiqua" w:cs="Arial"/>
        </w:rPr>
        <w:t xml:space="preserve">  </w:t>
      </w:r>
    </w:p>
    <w:p w:rsidR="00F16CB3" w:rsidRDefault="00C47603" w:rsidP="00EA79AF">
      <w:pPr>
        <w:numPr>
          <w:ilvl w:val="0"/>
          <w:numId w:val="1"/>
        </w:numPr>
        <w:tabs>
          <w:tab w:val="clear" w:pos="567"/>
        </w:tabs>
        <w:spacing w:before="240"/>
        <w:jc w:val="both"/>
        <w:rPr>
          <w:rFonts w:ascii="Book Antiqua" w:hAnsi="Book Antiqua" w:cs="Arial"/>
        </w:rPr>
      </w:pPr>
      <w:r>
        <w:rPr>
          <w:rFonts w:ascii="Book Antiqua" w:hAnsi="Book Antiqua" w:cs="Arial"/>
        </w:rPr>
        <w:t>I do not propose in the course of this decision to set out the circumstances in any detail because it is agreed that there is in effect only one issue in this case which I will refer to shortly.  It is accepted by both parties that the law can b</w:t>
      </w:r>
      <w:r w:rsidR="00F2710B">
        <w:rPr>
          <w:rFonts w:ascii="Book Antiqua" w:hAnsi="Book Antiqua" w:cs="Arial"/>
        </w:rPr>
        <w:t xml:space="preserve">e briefly summarised as follows </w:t>
      </w:r>
      <w:r>
        <w:rPr>
          <w:rFonts w:ascii="Book Antiqua" w:hAnsi="Book Antiqua" w:cs="Arial"/>
        </w:rPr>
        <w:t xml:space="preserve">following the guidance given by the Upper Tribunal in </w:t>
      </w:r>
      <w:proofErr w:type="spellStart"/>
      <w:r>
        <w:rPr>
          <w:rFonts w:ascii="Book Antiqua" w:hAnsi="Book Antiqua" w:cs="Arial"/>
          <w:i/>
        </w:rPr>
        <w:t>Ghising</w:t>
      </w:r>
      <w:proofErr w:type="spellEnd"/>
      <w:r>
        <w:rPr>
          <w:rFonts w:ascii="Book Antiqua" w:hAnsi="Book Antiqua" w:cs="Arial"/>
        </w:rPr>
        <w:t xml:space="preserve"> </w:t>
      </w:r>
      <w:r w:rsidR="004D771E">
        <w:rPr>
          <w:rFonts w:ascii="Book Antiqua" w:hAnsi="Book Antiqua" w:cs="Arial"/>
        </w:rPr>
        <w:t xml:space="preserve">[2012] </w:t>
      </w:r>
      <w:r w:rsidR="00C352BE">
        <w:rPr>
          <w:rFonts w:ascii="Book Antiqua" w:hAnsi="Book Antiqua" w:cs="Arial"/>
        </w:rPr>
        <w:t>UKUT</w:t>
      </w:r>
      <w:r w:rsidR="004D771E">
        <w:rPr>
          <w:rFonts w:ascii="Book Antiqua" w:hAnsi="Book Antiqua" w:cs="Arial"/>
        </w:rPr>
        <w:t xml:space="preserve"> 00160 (IAC) </w:t>
      </w:r>
      <w:r>
        <w:rPr>
          <w:rFonts w:ascii="Book Antiqua" w:hAnsi="Book Antiqua" w:cs="Arial"/>
        </w:rPr>
        <w:t xml:space="preserve">and subsequently affirmed by the Court of Appeal in </w:t>
      </w:r>
      <w:r>
        <w:rPr>
          <w:rFonts w:ascii="Book Antiqua" w:hAnsi="Book Antiqua" w:cs="Arial"/>
          <w:i/>
        </w:rPr>
        <w:t>Rai</w:t>
      </w:r>
      <w:r>
        <w:rPr>
          <w:rFonts w:ascii="Book Antiqua" w:hAnsi="Book Antiqua" w:cs="Arial"/>
        </w:rPr>
        <w:t xml:space="preserve"> [2017] EWCA Civ 320.  The position is that where but for what is now referred to as the “historic injustice” a Gurkha veteran would have applied for entry clearance on behalf of his children at a time when they were still minors, and subsequently applied in circumstances where those children have continued family life with their father since then there would be no proper reason for refusing them entry clearance.  A decision to do so in these circumstances would not be proportionate.  What it essential however is that it is established by particular applicants (adult children) that there has remained family life between that applicant and his/her Gurkha veteran father.</w:t>
      </w:r>
    </w:p>
    <w:p w:rsidR="00C47603" w:rsidRDefault="00C4760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this case it has been accepted throughout that but for the “historic injustice” the claimants’ father would have applied for entry clearance to enter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together with the claimants and that at that time, as minor children, the claimants would have been entitled to enter this country. </w:t>
      </w:r>
      <w:proofErr w:type="gramStart"/>
      <w:r>
        <w:rPr>
          <w:rFonts w:ascii="Book Antiqua" w:hAnsi="Book Antiqua" w:cs="Arial"/>
        </w:rPr>
        <w:t>Accordingly</w:t>
      </w:r>
      <w:proofErr w:type="gramEnd"/>
      <w:r>
        <w:rPr>
          <w:rFonts w:ascii="Book Antiqua" w:hAnsi="Book Antiqua" w:cs="Arial"/>
        </w:rPr>
        <w:t xml:space="preserve"> it is accepted that the only issue which would have to be established by the claimants in order to be entitled to entry clearance was that they still had a family life such as to engage Article 8, with their father.  This was the only issue effectively which had to be determined by Judge Hall.</w:t>
      </w:r>
    </w:p>
    <w:p w:rsidR="00C47603" w:rsidRDefault="00C47603"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his decision Judge Hall found that the claimants were both financially and emotionally dependent on their parents and accordingly that Article 8(1) was engaged.  Judge Hall had regard in particular to the decision in </w:t>
      </w:r>
      <w:r>
        <w:rPr>
          <w:rFonts w:ascii="Book Antiqua" w:hAnsi="Book Antiqua" w:cs="Arial"/>
          <w:i/>
        </w:rPr>
        <w:t>Rai</w:t>
      </w:r>
      <w:r>
        <w:rPr>
          <w:rFonts w:ascii="Book Antiqua" w:hAnsi="Book Antiqua" w:cs="Arial"/>
        </w:rPr>
        <w:t xml:space="preserve"> because, as he said, this “</w:t>
      </w:r>
      <w:r w:rsidR="002B0C51">
        <w:rPr>
          <w:rFonts w:ascii="Book Antiqua" w:hAnsi="Book Antiqua" w:cs="Arial"/>
        </w:rPr>
        <w:t xml:space="preserve">reviewed previous case law on family life between parents and adult children”.  </w:t>
      </w:r>
    </w:p>
    <w:p w:rsidR="002B0C51" w:rsidRDefault="002B0C5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As already noted Judge Hall found that the claimants were not only financially dependent on their parents but also emotionally dependent on them.  It is accepted on behalf of the respondent that there was financial dependence but it is not accepted that there was emotional dependence and it is submitted that the judge has not given adequate reasons for his conclusion that there was.  </w:t>
      </w:r>
    </w:p>
    <w:p w:rsidR="002B0C51" w:rsidRDefault="002B0C5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Entry Clearance Officer’s submissions are set out in the grounds and were </w:t>
      </w:r>
      <w:r w:rsidR="00C352BE">
        <w:rPr>
          <w:rFonts w:ascii="Book Antiqua" w:hAnsi="Book Antiqua" w:cs="Arial"/>
        </w:rPr>
        <w:t>develop</w:t>
      </w:r>
      <w:r>
        <w:rPr>
          <w:rFonts w:ascii="Book Antiqua" w:hAnsi="Book Antiqua" w:cs="Arial"/>
        </w:rPr>
        <w:t>ed succinctly by Ms Fijiwala in oral argument.  It is not necessary for the purposes of this decision to rehearse her arguments in any great detail; however, I have had regard to everything which was said to me during the course of the hearing as well as to all the documents in the file, whether or not they are specifically referred to below.</w:t>
      </w:r>
    </w:p>
    <w:p w:rsidR="002B0C51" w:rsidRDefault="0052633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essential submission that is that made on behalf of the Entry Clearance Officer is that Judge Hall failed to have proper regard to the guidance given by the Court of Appeal in </w:t>
      </w:r>
      <w:r>
        <w:rPr>
          <w:rFonts w:ascii="Book Antiqua" w:hAnsi="Book Antiqua" w:cs="Arial"/>
          <w:i/>
        </w:rPr>
        <w:t>Kugathas</w:t>
      </w:r>
      <w:r>
        <w:rPr>
          <w:rFonts w:ascii="Book Antiqua" w:hAnsi="Book Antiqua" w:cs="Arial"/>
        </w:rPr>
        <w:t xml:space="preserve"> [2003] EWCA Civ 31 with regard to what needed to be established before the Tribunal could conclude that the claimants were emotionally dependent on their parents.  In the grounds it is submitted that “the Tribunal has not explained the basis for this finding”.  It is also said that “on the face of it there was no evidence to show dependence beyond the normal emotional ties”.  </w:t>
      </w:r>
    </w:p>
    <w:p w:rsidR="00526336" w:rsidRDefault="00526336" w:rsidP="00526336">
      <w:pPr>
        <w:numPr>
          <w:ilvl w:val="0"/>
          <w:numId w:val="1"/>
        </w:numPr>
        <w:tabs>
          <w:tab w:val="clear" w:pos="567"/>
        </w:tabs>
        <w:spacing w:before="240"/>
        <w:jc w:val="both"/>
        <w:rPr>
          <w:rFonts w:ascii="Book Antiqua" w:hAnsi="Book Antiqua" w:cs="Arial"/>
        </w:rPr>
      </w:pPr>
      <w:r>
        <w:rPr>
          <w:rFonts w:ascii="Book Antiqua" w:hAnsi="Book Antiqua" w:cs="Arial"/>
        </w:rPr>
        <w:t>Permission to appeal was granted by First-tier Tribunal Farrelly who stated as follows, when setting out her reasons for granting permission:</w:t>
      </w:r>
    </w:p>
    <w:p w:rsidR="008A602D" w:rsidRPr="00CC5DC2" w:rsidRDefault="00526336" w:rsidP="00CC5DC2">
      <w:pPr>
        <w:spacing w:before="120"/>
        <w:ind w:left="1701" w:right="567" w:hanging="567"/>
        <w:jc w:val="both"/>
        <w:rPr>
          <w:rFonts w:ascii="Book Antiqua" w:hAnsi="Book Antiqua" w:cs="Arial"/>
          <w:sz w:val="22"/>
          <w:szCs w:val="22"/>
        </w:rPr>
      </w:pPr>
      <w:r w:rsidRPr="00CC5DC2">
        <w:rPr>
          <w:rFonts w:ascii="Book Antiqua" w:hAnsi="Book Antiqua" w:cs="Arial"/>
          <w:sz w:val="22"/>
          <w:szCs w:val="22"/>
        </w:rPr>
        <w:t>“...</w:t>
      </w:r>
    </w:p>
    <w:p w:rsidR="00526336" w:rsidRPr="00CC5DC2" w:rsidRDefault="00526336" w:rsidP="00CC5DC2">
      <w:pPr>
        <w:spacing w:before="120"/>
        <w:ind w:left="1701" w:right="567" w:hanging="567"/>
        <w:jc w:val="both"/>
        <w:rPr>
          <w:rFonts w:ascii="Book Antiqua" w:hAnsi="Book Antiqua" w:cs="Arial"/>
          <w:sz w:val="22"/>
          <w:szCs w:val="22"/>
        </w:rPr>
      </w:pPr>
      <w:r w:rsidRPr="00CC5DC2">
        <w:rPr>
          <w:rFonts w:ascii="Book Antiqua" w:hAnsi="Book Antiqua" w:cs="Arial"/>
          <w:sz w:val="22"/>
          <w:szCs w:val="22"/>
        </w:rPr>
        <w:t>5.</w:t>
      </w:r>
      <w:r w:rsidR="008A602D" w:rsidRPr="00CC5DC2">
        <w:rPr>
          <w:rFonts w:ascii="Book Antiqua" w:hAnsi="Book Antiqua" w:cs="Arial"/>
          <w:sz w:val="22"/>
          <w:szCs w:val="22"/>
        </w:rPr>
        <w:tab/>
        <w:t>In order for family life to exist there must be something more than the normal ties of love and affection expected between parents and adult children.  The judge refers to financial support and visits by the sponsor.  There is also reference to regular contact.  However, I find it arguable that the judge failed to explain in the circumstances what it was that goes beyond the norm to show a state of dependency.”</w:t>
      </w:r>
    </w:p>
    <w:p w:rsidR="00526336" w:rsidRDefault="008A602D" w:rsidP="008A602D">
      <w:pPr>
        <w:spacing w:before="240"/>
        <w:jc w:val="both"/>
        <w:rPr>
          <w:rFonts w:ascii="Book Antiqua" w:hAnsi="Book Antiqua" w:cs="Arial"/>
        </w:rPr>
      </w:pPr>
      <w:r>
        <w:rPr>
          <w:rFonts w:ascii="Book Antiqua" w:hAnsi="Book Antiqua" w:cs="Arial"/>
          <w:b/>
          <w:u w:val="single"/>
        </w:rPr>
        <w:t>Discussion</w:t>
      </w:r>
    </w:p>
    <w:p w:rsidR="008A602D" w:rsidRDefault="008A602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my judgment in a very careful and thorough determination Judge Hall has indeed given adequate reasons for the findings which he made.  He had in mind all the relevant authorities, including not just </w:t>
      </w:r>
      <w:r>
        <w:rPr>
          <w:rFonts w:ascii="Book Antiqua" w:hAnsi="Book Antiqua" w:cs="Arial"/>
          <w:i/>
        </w:rPr>
        <w:t>Ghising</w:t>
      </w:r>
      <w:r>
        <w:rPr>
          <w:rFonts w:ascii="Book Antiqua" w:hAnsi="Book Antiqua" w:cs="Arial"/>
        </w:rPr>
        <w:t xml:space="preserve"> and </w:t>
      </w:r>
      <w:r>
        <w:rPr>
          <w:rFonts w:ascii="Book Antiqua" w:hAnsi="Book Antiqua" w:cs="Arial"/>
          <w:i/>
        </w:rPr>
        <w:t>Rai</w:t>
      </w:r>
      <w:r>
        <w:rPr>
          <w:rFonts w:ascii="Book Antiqua" w:hAnsi="Book Antiqua" w:cs="Arial"/>
        </w:rPr>
        <w:t xml:space="preserve">, but also the guidance given by the Court of Appeal in </w:t>
      </w:r>
      <w:r>
        <w:rPr>
          <w:rFonts w:ascii="Book Antiqua" w:hAnsi="Book Antiqua" w:cs="Arial"/>
          <w:i/>
        </w:rPr>
        <w:t>Kugathas</w:t>
      </w:r>
      <w:r>
        <w:rPr>
          <w:rFonts w:ascii="Book Antiqua" w:hAnsi="Book Antiqua" w:cs="Arial"/>
        </w:rPr>
        <w:t xml:space="preserve">.  Detailed reference is given to the guidance in </w:t>
      </w:r>
      <w:r>
        <w:rPr>
          <w:rFonts w:ascii="Book Antiqua" w:hAnsi="Book Antiqua" w:cs="Arial"/>
          <w:i/>
        </w:rPr>
        <w:t>Kugathas</w:t>
      </w:r>
      <w:r>
        <w:rPr>
          <w:rFonts w:ascii="Book Antiqua" w:hAnsi="Book Antiqua" w:cs="Arial"/>
        </w:rPr>
        <w:t xml:space="preserve"> at paragraph 39 and 40.  At paragraph 39 the judge cites Sedley LJ as saying that “’real’ or ‘committed’ or ‘effective’ support represented the ‘irreducible minimum of what family life implies’.”  Then at paragraph 40 Judge Hall refers to paragraph 25 of </w:t>
      </w:r>
      <w:r>
        <w:rPr>
          <w:rFonts w:ascii="Book Antiqua" w:hAnsi="Book Antiqua" w:cs="Arial"/>
          <w:i/>
        </w:rPr>
        <w:t>Kugathas</w:t>
      </w:r>
      <w:r>
        <w:rPr>
          <w:rFonts w:ascii="Book Antiqua" w:hAnsi="Book Antiqua" w:cs="Arial"/>
        </w:rPr>
        <w:t xml:space="preserve">, where Arden LJ “confirmed that family life is not established between an adult child and his surviving parents or other siblings unless something more exists </w:t>
      </w:r>
      <w:r>
        <w:rPr>
          <w:rFonts w:ascii="Book Antiqua" w:hAnsi="Book Antiqua" w:cs="Arial"/>
        </w:rPr>
        <w:lastRenderedPageBreak/>
        <w:t>than normal emotional ties”.  He goes on to say that “such ties might exist if the appellant were dependent on his family or vice versa”.  He also had in mind that although it was “not essential that members of the family should be in the same country... it would probably be exceptional if family life was established that engaged Article 8 between members of a family in different countries”.</w:t>
      </w:r>
    </w:p>
    <w:p w:rsidR="008A602D" w:rsidRDefault="008A602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other words, Judge Hall was very conscious of the reality which is that a finding that family life exists between adult children and their parents is very much the exception and that it is necessary also to establish that there is something beyond normal emotional ties.  </w:t>
      </w:r>
    </w:p>
    <w:p w:rsidR="008A602D" w:rsidRDefault="008A602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Judge Hall gives his reasons for so finding at paragraph 50, where he finds “on the evidence presented... the family life which existed when the parents left </w:t>
      </w:r>
      <w:smartTag w:uri="urn:schemas-microsoft-com:office:smarttags" w:element="place">
        <w:smartTag w:uri="urn:schemas-microsoft-com:office:smarttags" w:element="country-region">
          <w:r>
            <w:rPr>
              <w:rFonts w:ascii="Book Antiqua" w:hAnsi="Book Antiqua" w:cs="Arial"/>
            </w:rPr>
            <w:t>Nepal</w:t>
          </w:r>
        </w:smartTag>
      </w:smartTag>
      <w:r>
        <w:rPr>
          <w:rFonts w:ascii="Book Antiqua" w:hAnsi="Book Antiqua" w:cs="Arial"/>
        </w:rPr>
        <w:t xml:space="preserve"> has carried on despite the physical separation”.  At paragraph 47 he had noted that the claimants were financially supported by the sponsor (which as noted above is not disputed).  At paragraph 48 reference is made to visits by the sponsor and his wife to their children, the claimants and the judge accepted as he was entitled to that the purpose of these visits was to spend time with his children.  He also at paragraph 49 referred to the regular contact between the sponsor and his wife on the one hand and the claimants on the other whi</w:t>
      </w:r>
      <w:r w:rsidR="00FB1477">
        <w:rPr>
          <w:rFonts w:ascii="Book Antiqua" w:hAnsi="Book Antiqua" w:cs="Arial"/>
        </w:rPr>
        <w:t>ch was provided by evidence of V</w:t>
      </w:r>
      <w:r>
        <w:rPr>
          <w:rFonts w:ascii="Book Antiqua" w:hAnsi="Book Antiqua" w:cs="Arial"/>
        </w:rPr>
        <w:t>iber calls and chat</w:t>
      </w:r>
      <w:r w:rsidR="00FB1477">
        <w:rPr>
          <w:rFonts w:ascii="Book Antiqua" w:hAnsi="Book Antiqua" w:cs="Arial"/>
        </w:rPr>
        <w:t xml:space="preserve"> logs.  With reference to these, Ms Fijiwala submitted that he should not have relied upon this evidence because the text messages within were not translated.  In my judgment the judge was perfectly entitled to rely on these records because what they do show is just how frequent the contact was between the parents and their children.  </w:t>
      </w:r>
      <w:r w:rsidR="00C352BE">
        <w:rPr>
          <w:rFonts w:ascii="Book Antiqua" w:hAnsi="Book Antiqua" w:cs="Arial"/>
        </w:rPr>
        <w:t>When o</w:t>
      </w:r>
      <w:r w:rsidR="00FB1477">
        <w:rPr>
          <w:rFonts w:ascii="Book Antiqua" w:hAnsi="Book Antiqua" w:cs="Arial"/>
        </w:rPr>
        <w:t>ne looks at this log one see</w:t>
      </w:r>
      <w:r w:rsidR="00C352BE">
        <w:rPr>
          <w:rFonts w:ascii="Book Antiqua" w:hAnsi="Book Antiqua" w:cs="Arial"/>
        </w:rPr>
        <w:t>s</w:t>
      </w:r>
      <w:r w:rsidR="00FB1477">
        <w:rPr>
          <w:rFonts w:ascii="Book Antiqua" w:hAnsi="Book Antiqua" w:cs="Arial"/>
        </w:rPr>
        <w:t xml:space="preserve"> that day after day there are several communications between them.  For example, at random, because it is only one example of many, on 28 April 2017 just on one of the logs, there appears no fewer than eighteen different communications including reverse miscalls, calls that were effective, mail messages and photo messages.  This pattern is repeated day by day.  </w:t>
      </w:r>
      <w:r w:rsidR="00C352BE">
        <w:rPr>
          <w:rFonts w:ascii="Book Antiqua" w:hAnsi="Book Antiqua" w:cs="Arial"/>
        </w:rPr>
        <w:t>D</w:t>
      </w:r>
      <w:r w:rsidR="00FB1477">
        <w:rPr>
          <w:rFonts w:ascii="Book Antiqua" w:hAnsi="Book Antiqua" w:cs="Arial"/>
        </w:rPr>
        <w:t>ifferent judges will no doubt have different views as to what “normal emotional ties” actually</w:t>
      </w:r>
      <w:r w:rsidR="00C352BE">
        <w:rPr>
          <w:rFonts w:ascii="Book Antiqua" w:hAnsi="Book Antiqua" w:cs="Arial"/>
        </w:rPr>
        <w:t xml:space="preserve"> are</w:t>
      </w:r>
      <w:r w:rsidR="00FB1477">
        <w:rPr>
          <w:rFonts w:ascii="Book Antiqua" w:hAnsi="Book Antiqua" w:cs="Arial"/>
        </w:rPr>
        <w:t>.  It may be that in some families the “normal” situation is</w:t>
      </w:r>
      <w:bookmarkStart w:id="0" w:name="_GoBack"/>
      <w:bookmarkEnd w:id="0"/>
      <w:r w:rsidR="00FB1477">
        <w:rPr>
          <w:rFonts w:ascii="Book Antiqua" w:hAnsi="Book Antiqua" w:cs="Arial"/>
        </w:rPr>
        <w:t xml:space="preserve"> that once a child is an adult he or she leaves home and has some but not necessarily hugely frequent communication with their parents.  Th</w:t>
      </w:r>
      <w:r w:rsidR="00C352BE">
        <w:rPr>
          <w:rFonts w:ascii="Book Antiqua" w:hAnsi="Book Antiqua" w:cs="Arial"/>
        </w:rPr>
        <w:t>at</w:t>
      </w:r>
      <w:r w:rsidR="00FB1477">
        <w:rPr>
          <w:rFonts w:ascii="Book Antiqua" w:hAnsi="Book Antiqua" w:cs="Arial"/>
        </w:rPr>
        <w:t xml:space="preserve"> however is plainly not the case here and it </w:t>
      </w:r>
      <w:r w:rsidR="00C352BE">
        <w:rPr>
          <w:rFonts w:ascii="Book Antiqua" w:hAnsi="Book Antiqua" w:cs="Arial"/>
        </w:rPr>
        <w:t>wa</w:t>
      </w:r>
      <w:r w:rsidR="00FB1477">
        <w:rPr>
          <w:rFonts w:ascii="Book Antiqua" w:hAnsi="Book Antiqua" w:cs="Arial"/>
        </w:rPr>
        <w:t xml:space="preserve">s entirely open to the judge to find that where there is financial dependency, visits, and over a period of months literally hundreds of different communications between the parents and the children, this goes beyond what is </w:t>
      </w:r>
      <w:r w:rsidR="00C352BE">
        <w:rPr>
          <w:rFonts w:ascii="Book Antiqua" w:hAnsi="Book Antiqua" w:cs="Arial"/>
        </w:rPr>
        <w:t>consider</w:t>
      </w:r>
      <w:r w:rsidR="00FB1477">
        <w:rPr>
          <w:rFonts w:ascii="Book Antiqua" w:hAnsi="Book Antiqua" w:cs="Arial"/>
        </w:rPr>
        <w:t xml:space="preserve">ed in this country to be “normal”.  It may be that not every judge would reach the same conclusion </w:t>
      </w:r>
      <w:r w:rsidR="00C352BE">
        <w:rPr>
          <w:rFonts w:ascii="Book Antiqua" w:hAnsi="Book Antiqua" w:cs="Arial"/>
        </w:rPr>
        <w:t xml:space="preserve">as Judge Hall </w:t>
      </w:r>
      <w:r w:rsidR="00FB1477">
        <w:rPr>
          <w:rFonts w:ascii="Book Antiqua" w:hAnsi="Book Antiqua" w:cs="Arial"/>
        </w:rPr>
        <w:t xml:space="preserve">although were I to have to make this decision I might very well have </w:t>
      </w:r>
      <w:r w:rsidR="00C352BE">
        <w:rPr>
          <w:rFonts w:ascii="Book Antiqua" w:hAnsi="Book Antiqua" w:cs="Arial"/>
        </w:rPr>
        <w:t>done so</w:t>
      </w:r>
      <w:r w:rsidR="00FB1477">
        <w:rPr>
          <w:rFonts w:ascii="Book Antiqua" w:hAnsi="Book Antiqua" w:cs="Arial"/>
        </w:rPr>
        <w:t xml:space="preserve">.  </w:t>
      </w:r>
      <w:proofErr w:type="gramStart"/>
      <w:r w:rsidR="00F2710B">
        <w:rPr>
          <w:rFonts w:ascii="Book Antiqua" w:hAnsi="Book Antiqua" w:cs="Arial"/>
        </w:rPr>
        <w:t>However</w:t>
      </w:r>
      <w:proofErr w:type="gramEnd"/>
      <w:r w:rsidR="00F2710B">
        <w:rPr>
          <w:rFonts w:ascii="Book Antiqua" w:hAnsi="Book Antiqua" w:cs="Arial"/>
        </w:rPr>
        <w:t xml:space="preserve"> it certainly cannot in my judgment be successfully argued that this finding was not open to Judge Hall on the evidence which he considered. </w:t>
      </w:r>
    </w:p>
    <w:p w:rsidR="00F2710B" w:rsidRDefault="00F2710B" w:rsidP="00EA79AF">
      <w:pPr>
        <w:numPr>
          <w:ilvl w:val="0"/>
          <w:numId w:val="1"/>
        </w:numPr>
        <w:tabs>
          <w:tab w:val="clear" w:pos="567"/>
        </w:tabs>
        <w:spacing w:before="240"/>
        <w:jc w:val="both"/>
        <w:rPr>
          <w:rFonts w:ascii="Book Antiqua" w:hAnsi="Book Antiqua" w:cs="Arial"/>
        </w:rPr>
      </w:pPr>
      <w:r>
        <w:rPr>
          <w:rFonts w:ascii="Book Antiqua" w:hAnsi="Book Antiqua" w:cs="Arial"/>
        </w:rPr>
        <w:t>As this is the only issue between the parties it follows that there was no arguable error of law in Judge Hall’s decision capable of having any material impact on his decision and this appeal by the Entry Clearance Officer must accordingly be dismissed and I so find.</w:t>
      </w:r>
    </w:p>
    <w:p w:rsidR="00CC5DC2" w:rsidRDefault="00CC5DC2" w:rsidP="00F2710B">
      <w:pPr>
        <w:spacing w:before="240"/>
        <w:jc w:val="both"/>
        <w:rPr>
          <w:rFonts w:ascii="Book Antiqua" w:hAnsi="Book Antiqua" w:cs="Arial"/>
          <w:b/>
          <w:u w:val="single"/>
        </w:rPr>
      </w:pPr>
    </w:p>
    <w:p w:rsidR="00526336" w:rsidRPr="00F2710B" w:rsidRDefault="00F2710B" w:rsidP="00F2710B">
      <w:pPr>
        <w:spacing w:before="240"/>
        <w:jc w:val="both"/>
        <w:rPr>
          <w:rFonts w:ascii="Book Antiqua" w:hAnsi="Book Antiqua" w:cs="Arial"/>
          <w:b/>
          <w:u w:val="single"/>
        </w:rPr>
      </w:pPr>
      <w:r>
        <w:rPr>
          <w:rFonts w:ascii="Book Antiqua" w:hAnsi="Book Antiqua" w:cs="Arial"/>
          <w:b/>
          <w:u w:val="single"/>
        </w:rPr>
        <w:lastRenderedPageBreak/>
        <w:t>Notice of Decision</w:t>
      </w:r>
    </w:p>
    <w:p w:rsidR="00F16CB3" w:rsidRPr="00B1476B" w:rsidRDefault="00F2710B" w:rsidP="00B1476B">
      <w:pPr>
        <w:spacing w:before="240"/>
        <w:jc w:val="both"/>
        <w:rPr>
          <w:rFonts w:ascii="Book Antiqua" w:hAnsi="Book Antiqua" w:cs="Arial"/>
        </w:rPr>
      </w:pPr>
      <w:r w:rsidRPr="00B1476B">
        <w:rPr>
          <w:rFonts w:ascii="Book Antiqua" w:hAnsi="Book Antiqua" w:cs="Arial"/>
          <w:b/>
        </w:rPr>
        <w:t>The appeal of the Entry Clearance Officer against the decision of First-tier Tribunal Judge Hall is dismissed, the consequence being that Judge Hall’s decision, allowing th</w:t>
      </w:r>
      <w:r w:rsidR="00B1476B">
        <w:rPr>
          <w:rFonts w:ascii="Book Antiqua" w:hAnsi="Book Antiqua" w:cs="Arial"/>
          <w:b/>
        </w:rPr>
        <w:t>e claimants’ appeal is affirmed</w:t>
      </w:r>
      <w:r w:rsidR="00B1476B">
        <w:rPr>
          <w:rFonts w:ascii="Book Antiqua" w:hAnsi="Book Antiqua" w:cs="Arial"/>
        </w:rPr>
        <w:t>.</w:t>
      </w:r>
    </w:p>
    <w:p w:rsidR="00D949B7" w:rsidRPr="00B1476B" w:rsidRDefault="00D949B7" w:rsidP="00D949B7">
      <w:pPr>
        <w:jc w:val="both"/>
        <w:rPr>
          <w:rFonts w:ascii="Book Antiqua" w:hAnsi="Book Antiqua" w:cs="Arial"/>
          <w:b/>
        </w:rPr>
      </w:pPr>
    </w:p>
    <w:p w:rsidR="00D949B7" w:rsidRPr="00D949B7" w:rsidRDefault="00D949B7" w:rsidP="00D949B7">
      <w:pPr>
        <w:jc w:val="both"/>
        <w:rPr>
          <w:rFonts w:ascii="Book Antiqua" w:hAnsi="Book Antiqua" w:cs="Arial"/>
        </w:rPr>
      </w:pPr>
      <w:r w:rsidRPr="00D949B7">
        <w:rPr>
          <w:rFonts w:ascii="Book Antiqua" w:hAnsi="Book Antiqua" w:cs="Arial"/>
        </w:rPr>
        <w:t>No anonymity direction is made.</w:t>
      </w:r>
    </w:p>
    <w:p w:rsidR="00D949B7" w:rsidRPr="00D949B7" w:rsidRDefault="00D949B7" w:rsidP="00D949B7">
      <w:pPr>
        <w:jc w:val="both"/>
        <w:rPr>
          <w:rFonts w:ascii="Book Antiqua" w:hAnsi="Book Antiqua" w:cs="Arial"/>
        </w:rPr>
      </w:pPr>
    </w:p>
    <w:p w:rsidR="00C659D4" w:rsidRPr="004A2519" w:rsidRDefault="00C659D4" w:rsidP="00C659D4">
      <w:pPr>
        <w:ind w:left="540" w:hanging="540"/>
        <w:jc w:val="both"/>
        <w:rPr>
          <w:rFonts w:ascii="Book Antiqua" w:hAnsi="Book Antiqua" w:cs="Arial"/>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C659D4" w:rsidP="00C659D4">
      <w:pPr>
        <w:jc w:val="both"/>
        <w:rPr>
          <w:rFonts w:ascii="Book Antiqua" w:hAnsi="Book Antiqua"/>
        </w:rPr>
      </w:pPr>
    </w:p>
    <w:p w:rsidR="00C659D4" w:rsidRPr="004A2519" w:rsidRDefault="00073A2B" w:rsidP="00C659D4">
      <w:pPr>
        <w:ind w:left="2138" w:firstLine="22"/>
        <w:jc w:val="both"/>
        <w:rPr>
          <w:rFonts w:ascii="Book Antiqua" w:hAnsi="Book Antiqua"/>
        </w:rPr>
      </w:pPr>
      <w:r w:rsidRPr="004A2519">
        <w:rPr>
          <w:rFonts w:ascii="Book Antiqua" w:hAnsi="Book Antiqua"/>
          <w:noProof/>
        </w:rPr>
        <w:drawing>
          <wp:inline distT="0" distB="0" distL="0" distR="0">
            <wp:extent cx="3131820" cy="754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754380"/>
                    </a:xfrm>
                    <a:prstGeom prst="rect">
                      <a:avLst/>
                    </a:prstGeom>
                    <a:noFill/>
                    <a:ln>
                      <a:noFill/>
                    </a:ln>
                  </pic:spPr>
                </pic:pic>
              </a:graphicData>
            </a:graphic>
          </wp:inline>
        </w:drawing>
      </w:r>
    </w:p>
    <w:p w:rsidR="00C659D4" w:rsidRPr="001C5703" w:rsidRDefault="00C659D4" w:rsidP="00C659D4">
      <w:pPr>
        <w:tabs>
          <w:tab w:val="left" w:pos="7371"/>
        </w:tabs>
        <w:ind w:left="540" w:hanging="540"/>
        <w:jc w:val="both"/>
        <w:rPr>
          <w:rFonts w:ascii="Book Antiqua" w:hAnsi="Book Antiqua" w:cs="Arial"/>
        </w:rPr>
      </w:pPr>
      <w:r w:rsidRPr="004A2519">
        <w:rPr>
          <w:rFonts w:ascii="Book Antiqua" w:hAnsi="Book Antiqua"/>
        </w:rPr>
        <w:t>Upper Tribunal Judge Craig</w:t>
      </w:r>
      <w:r>
        <w:rPr>
          <w:rFonts w:ascii="Book Antiqua" w:hAnsi="Book Antiqua"/>
        </w:rPr>
        <w:tab/>
        <w:t>Date</w:t>
      </w:r>
      <w:r w:rsidR="00C352BE">
        <w:rPr>
          <w:rFonts w:ascii="Book Antiqua" w:hAnsi="Book Antiqua"/>
        </w:rPr>
        <w:t>: 30 April 2018</w:t>
      </w:r>
      <w:r>
        <w:rPr>
          <w:rFonts w:ascii="Book Antiqua" w:hAnsi="Book Antiqua"/>
        </w:rPr>
        <w:tab/>
      </w:r>
    </w:p>
    <w:p w:rsidR="00C659D4" w:rsidRDefault="00C659D4" w:rsidP="00C659D4">
      <w:pPr>
        <w:ind w:left="540" w:hanging="540"/>
        <w:jc w:val="both"/>
        <w:rPr>
          <w:rFonts w:ascii="Book Antiqua" w:hAnsi="Book Antiqua" w:cs="Arial"/>
        </w:rPr>
      </w:pPr>
    </w:p>
    <w:p w:rsidR="00CC5DC2" w:rsidRDefault="00CC5DC2" w:rsidP="00C659D4">
      <w:pPr>
        <w:ind w:left="540" w:hanging="540"/>
        <w:jc w:val="both"/>
        <w:rPr>
          <w:rFonts w:ascii="Book Antiqua" w:hAnsi="Book Antiqua" w:cs="Arial"/>
        </w:rPr>
      </w:pPr>
    </w:p>
    <w:p w:rsidR="00CC5DC2" w:rsidRPr="001C5703" w:rsidRDefault="00CC5DC2" w:rsidP="00C659D4">
      <w:pPr>
        <w:ind w:left="540" w:hanging="540"/>
        <w:jc w:val="both"/>
        <w:rPr>
          <w:rFonts w:ascii="Book Antiqua" w:hAnsi="Book Antiqua" w:cs="Arial"/>
        </w:rPr>
      </w:pPr>
    </w:p>
    <w:p w:rsidR="00C659D4" w:rsidRDefault="00C659D4" w:rsidP="00C659D4">
      <w:pPr>
        <w:tabs>
          <w:tab w:val="left" w:pos="2520"/>
        </w:tabs>
        <w:ind w:left="540" w:hanging="540"/>
        <w:jc w:val="both"/>
        <w:rPr>
          <w:rFonts w:ascii="Book Antiqua" w:hAnsi="Book Antiqua" w:cs="Arial"/>
          <w:color w:val="000000"/>
        </w:rPr>
      </w:pPr>
    </w:p>
    <w:p w:rsidR="00C659D4" w:rsidRPr="00D6134E" w:rsidRDefault="00C659D4" w:rsidP="00C659D4">
      <w:pPr>
        <w:jc w:val="both"/>
        <w:rPr>
          <w:rFonts w:ascii="Book Antiqua" w:hAnsi="Book Antiqua" w:cs="Arial"/>
          <w:b/>
          <w:u w:val="single"/>
        </w:rPr>
      </w:pPr>
      <w:r w:rsidRPr="00D6134E">
        <w:rPr>
          <w:rFonts w:ascii="Book Antiqua" w:hAnsi="Book Antiqua" w:cs="Arial"/>
          <w:b/>
          <w:u w:val="single"/>
        </w:rPr>
        <w:t>TO THE RESPONDENT</w:t>
      </w:r>
    </w:p>
    <w:p w:rsidR="00C659D4" w:rsidRPr="00D6134E" w:rsidRDefault="00C659D4" w:rsidP="00C659D4">
      <w:pPr>
        <w:ind w:left="567" w:hanging="567"/>
        <w:jc w:val="both"/>
        <w:rPr>
          <w:rFonts w:ascii="Book Antiqua" w:hAnsi="Book Antiqua" w:cs="Arial"/>
        </w:rPr>
      </w:pPr>
      <w:r w:rsidRPr="00D6134E">
        <w:rPr>
          <w:rFonts w:ascii="Book Antiqua" w:hAnsi="Book Antiqua" w:cs="Arial"/>
          <w:b/>
          <w:u w:val="single"/>
        </w:rPr>
        <w:t>FEE AWARD</w:t>
      </w:r>
    </w:p>
    <w:p w:rsidR="00C659D4" w:rsidRPr="00D6134E" w:rsidRDefault="00C659D4" w:rsidP="00C659D4">
      <w:pPr>
        <w:ind w:left="567" w:hanging="567"/>
        <w:jc w:val="both"/>
        <w:rPr>
          <w:rFonts w:ascii="Book Antiqua" w:hAnsi="Book Antiqua" w:cs="Arial"/>
        </w:rPr>
      </w:pPr>
    </w:p>
    <w:p w:rsidR="00C659D4" w:rsidRPr="00D6134E" w:rsidRDefault="00C659D4" w:rsidP="00C659D4">
      <w:pPr>
        <w:jc w:val="both"/>
        <w:rPr>
          <w:rFonts w:ascii="Book Antiqua" w:hAnsi="Book Antiqua" w:cs="Arial"/>
        </w:rPr>
      </w:pPr>
      <w:r w:rsidRPr="00D6134E">
        <w:rPr>
          <w:rFonts w:ascii="Book Antiqua" w:hAnsi="Book Antiqua" w:cs="Arial"/>
        </w:rPr>
        <w:t>As I have allowed the appeal and because a fee has been paid or is payable, I have considered making a fee award and have decided to make a fee award of any fee which has been paid or may be payable.</w:t>
      </w:r>
    </w:p>
    <w:p w:rsidR="00C659D4" w:rsidRPr="00D6134E" w:rsidRDefault="00C659D4" w:rsidP="00C659D4">
      <w:pPr>
        <w:jc w:val="both"/>
        <w:rPr>
          <w:rFonts w:ascii="Book Antiqua" w:hAnsi="Book Antiqua" w:cs="Arial"/>
        </w:rPr>
      </w:pPr>
    </w:p>
    <w:p w:rsidR="00C659D4" w:rsidRDefault="00C659D4" w:rsidP="00C659D4">
      <w:pPr>
        <w:jc w:val="both"/>
        <w:rPr>
          <w:rFonts w:ascii="Book Antiqua" w:hAnsi="Book Antiqua" w:cs="Arial"/>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C659D4" w:rsidP="00C659D4">
      <w:pPr>
        <w:jc w:val="both"/>
        <w:rPr>
          <w:rFonts w:ascii="Book Antiqua" w:hAnsi="Book Antiqua"/>
        </w:rPr>
      </w:pPr>
    </w:p>
    <w:p w:rsidR="00C659D4" w:rsidRPr="004A2519" w:rsidRDefault="00073A2B" w:rsidP="00C659D4">
      <w:pPr>
        <w:ind w:left="2138" w:firstLine="22"/>
        <w:jc w:val="both"/>
        <w:rPr>
          <w:rFonts w:ascii="Book Antiqua" w:hAnsi="Book Antiqua"/>
        </w:rPr>
      </w:pPr>
      <w:r w:rsidRPr="004A2519">
        <w:rPr>
          <w:rFonts w:ascii="Book Antiqua" w:hAnsi="Book Antiqua"/>
          <w:noProof/>
        </w:rPr>
        <w:drawing>
          <wp:inline distT="0" distB="0" distL="0" distR="0">
            <wp:extent cx="3131820" cy="754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754380"/>
                    </a:xfrm>
                    <a:prstGeom prst="rect">
                      <a:avLst/>
                    </a:prstGeom>
                    <a:noFill/>
                    <a:ln>
                      <a:noFill/>
                    </a:ln>
                  </pic:spPr>
                </pic:pic>
              </a:graphicData>
            </a:graphic>
          </wp:inline>
        </w:drawing>
      </w:r>
    </w:p>
    <w:p w:rsidR="00B95326" w:rsidRPr="009B7433" w:rsidRDefault="00C659D4" w:rsidP="001754A5">
      <w:pPr>
        <w:tabs>
          <w:tab w:val="left" w:pos="7371"/>
        </w:tabs>
        <w:ind w:left="540" w:hanging="540"/>
        <w:jc w:val="both"/>
        <w:rPr>
          <w:rFonts w:ascii="Book Antiqua" w:hAnsi="Book Antiqua" w:cs="Arial"/>
        </w:rPr>
      </w:pPr>
      <w:r w:rsidRPr="004A2519">
        <w:rPr>
          <w:rFonts w:ascii="Book Antiqua" w:hAnsi="Book Antiqua"/>
        </w:rPr>
        <w:t>Upper Tribunal Judge Craig</w:t>
      </w:r>
      <w:r>
        <w:rPr>
          <w:rFonts w:ascii="Book Antiqua" w:hAnsi="Book Antiqua"/>
        </w:rPr>
        <w:tab/>
      </w:r>
      <w:r w:rsidR="00C352BE" w:rsidRPr="00C352BE">
        <w:rPr>
          <w:rFonts w:ascii="Book Antiqua" w:hAnsi="Book Antiqua"/>
        </w:rPr>
        <w:t xml:space="preserve">Date: </w:t>
      </w:r>
      <w:bookmarkStart w:id="1" w:name="_Hlk512892863"/>
      <w:r w:rsidR="00C352BE" w:rsidRPr="00C352BE">
        <w:rPr>
          <w:rFonts w:ascii="Book Antiqua" w:hAnsi="Book Antiqua"/>
        </w:rPr>
        <w:t>30 April 2018</w:t>
      </w:r>
      <w:bookmarkEnd w:id="1"/>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AA1" w:rsidRDefault="002F2AA1">
      <w:r>
        <w:separator/>
      </w:r>
    </w:p>
  </w:endnote>
  <w:endnote w:type="continuationSeparator" w:id="0">
    <w:p w:rsidR="002F2AA1" w:rsidRDefault="002F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CA1" w:rsidRPr="009B7433" w:rsidRDefault="00B42CA1"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854A3B">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CA1" w:rsidRPr="009B7433" w:rsidRDefault="00B42CA1"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AA1" w:rsidRDefault="002F2AA1">
      <w:r>
        <w:separator/>
      </w:r>
    </w:p>
  </w:footnote>
  <w:footnote w:type="continuationSeparator" w:id="0">
    <w:p w:rsidR="002F2AA1" w:rsidRDefault="002F2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CA1" w:rsidRDefault="00B42CA1"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s</w:t>
    </w:r>
    <w:r w:rsidRPr="009B7433">
      <w:rPr>
        <w:rFonts w:ascii="Book Antiqua" w:hAnsi="Book Antiqua" w:cs="Arial"/>
        <w:sz w:val="16"/>
        <w:szCs w:val="16"/>
      </w:rPr>
      <w:t>:</w:t>
    </w:r>
    <w:r>
      <w:rPr>
        <w:rFonts w:ascii="Book Antiqua" w:hAnsi="Book Antiqua" w:cs="Arial"/>
        <w:sz w:val="16"/>
        <w:szCs w:val="16"/>
      </w:rPr>
      <w:t xml:space="preserve"> HU/12528/2015</w:t>
    </w:r>
  </w:p>
  <w:p w:rsidR="00B42CA1" w:rsidRPr="009B7433" w:rsidRDefault="00B42CA1" w:rsidP="00593795">
    <w:pPr>
      <w:pStyle w:val="Header"/>
      <w:jc w:val="right"/>
      <w:rPr>
        <w:rFonts w:ascii="Book Antiqua" w:hAnsi="Book Antiqua" w:cs="Arial"/>
        <w:sz w:val="16"/>
        <w:szCs w:val="16"/>
      </w:rPr>
    </w:pPr>
    <w:r>
      <w:rPr>
        <w:rFonts w:ascii="Book Antiqua" w:hAnsi="Book Antiqua" w:cs="Arial"/>
        <w:sz w:val="16"/>
        <w:szCs w:val="16"/>
      </w:rPr>
      <w:t>HU/12530/2015</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CA1" w:rsidRPr="009B7433" w:rsidRDefault="00B42CA1">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288"/>
    <w:rsid w:val="00000621"/>
    <w:rsid w:val="000010DD"/>
    <w:rsid w:val="000036C2"/>
    <w:rsid w:val="00016C1A"/>
    <w:rsid w:val="00031AEA"/>
    <w:rsid w:val="00031B36"/>
    <w:rsid w:val="00033588"/>
    <w:rsid w:val="00033D3D"/>
    <w:rsid w:val="00043AC7"/>
    <w:rsid w:val="0004776F"/>
    <w:rsid w:val="00052895"/>
    <w:rsid w:val="00062F02"/>
    <w:rsid w:val="00071A7E"/>
    <w:rsid w:val="00073A2B"/>
    <w:rsid w:val="000746C0"/>
    <w:rsid w:val="00074D1D"/>
    <w:rsid w:val="00092580"/>
    <w:rsid w:val="00093D4D"/>
    <w:rsid w:val="000A0743"/>
    <w:rsid w:val="000D5D94"/>
    <w:rsid w:val="000F1A0E"/>
    <w:rsid w:val="001165A7"/>
    <w:rsid w:val="0016508E"/>
    <w:rsid w:val="00167D3A"/>
    <w:rsid w:val="00173F50"/>
    <w:rsid w:val="001754A5"/>
    <w:rsid w:val="00185986"/>
    <w:rsid w:val="00194CE2"/>
    <w:rsid w:val="001A3082"/>
    <w:rsid w:val="001A53AD"/>
    <w:rsid w:val="001B186A"/>
    <w:rsid w:val="001B2F75"/>
    <w:rsid w:val="001C6F5F"/>
    <w:rsid w:val="001D6167"/>
    <w:rsid w:val="001F2716"/>
    <w:rsid w:val="001F3AC0"/>
    <w:rsid w:val="00207617"/>
    <w:rsid w:val="0023134B"/>
    <w:rsid w:val="00254288"/>
    <w:rsid w:val="00283659"/>
    <w:rsid w:val="002B0C51"/>
    <w:rsid w:val="002C6BD4"/>
    <w:rsid w:val="002C7B62"/>
    <w:rsid w:val="002D68BF"/>
    <w:rsid w:val="002E4541"/>
    <w:rsid w:val="002F2AA1"/>
    <w:rsid w:val="002F6B98"/>
    <w:rsid w:val="002F7AEA"/>
    <w:rsid w:val="00301190"/>
    <w:rsid w:val="00336CBF"/>
    <w:rsid w:val="00343FE3"/>
    <w:rsid w:val="003546C8"/>
    <w:rsid w:val="003825D4"/>
    <w:rsid w:val="003A7CF2"/>
    <w:rsid w:val="003C5CE5"/>
    <w:rsid w:val="003D6FAD"/>
    <w:rsid w:val="003E267B"/>
    <w:rsid w:val="003E7CD1"/>
    <w:rsid w:val="00402B9E"/>
    <w:rsid w:val="00405831"/>
    <w:rsid w:val="004249CB"/>
    <w:rsid w:val="0044127D"/>
    <w:rsid w:val="004448DB"/>
    <w:rsid w:val="00446C9A"/>
    <w:rsid w:val="00452F2B"/>
    <w:rsid w:val="00477193"/>
    <w:rsid w:val="00492E0F"/>
    <w:rsid w:val="004A1848"/>
    <w:rsid w:val="004A2D15"/>
    <w:rsid w:val="004A534C"/>
    <w:rsid w:val="004A6F4A"/>
    <w:rsid w:val="004B70D7"/>
    <w:rsid w:val="004D6B45"/>
    <w:rsid w:val="004D771E"/>
    <w:rsid w:val="004E4717"/>
    <w:rsid w:val="00507FEC"/>
    <w:rsid w:val="00510F0E"/>
    <w:rsid w:val="00526336"/>
    <w:rsid w:val="005479E1"/>
    <w:rsid w:val="00553028"/>
    <w:rsid w:val="00553E0A"/>
    <w:rsid w:val="005570FD"/>
    <w:rsid w:val="005575EA"/>
    <w:rsid w:val="0057790C"/>
    <w:rsid w:val="00593795"/>
    <w:rsid w:val="005A75FF"/>
    <w:rsid w:val="005B08F5"/>
    <w:rsid w:val="005D10AB"/>
    <w:rsid w:val="00601D8F"/>
    <w:rsid w:val="00605582"/>
    <w:rsid w:val="00606A60"/>
    <w:rsid w:val="00611F34"/>
    <w:rsid w:val="00621FE8"/>
    <w:rsid w:val="00637DF1"/>
    <w:rsid w:val="006434B6"/>
    <w:rsid w:val="00653E97"/>
    <w:rsid w:val="006667DB"/>
    <w:rsid w:val="00667AD5"/>
    <w:rsid w:val="00684A74"/>
    <w:rsid w:val="0068620A"/>
    <w:rsid w:val="00690B8A"/>
    <w:rsid w:val="006F2CF1"/>
    <w:rsid w:val="007038ED"/>
    <w:rsid w:val="00703BC3"/>
    <w:rsid w:val="00704B61"/>
    <w:rsid w:val="00715A64"/>
    <w:rsid w:val="00740C1F"/>
    <w:rsid w:val="007552A9"/>
    <w:rsid w:val="0075658A"/>
    <w:rsid w:val="00761858"/>
    <w:rsid w:val="00767D59"/>
    <w:rsid w:val="00776E97"/>
    <w:rsid w:val="00780F86"/>
    <w:rsid w:val="007912AD"/>
    <w:rsid w:val="007B0824"/>
    <w:rsid w:val="007B5D3C"/>
    <w:rsid w:val="00815011"/>
    <w:rsid w:val="00821B72"/>
    <w:rsid w:val="00823EF2"/>
    <w:rsid w:val="008303B8"/>
    <w:rsid w:val="00833DCE"/>
    <w:rsid w:val="00833E86"/>
    <w:rsid w:val="00835399"/>
    <w:rsid w:val="008457A9"/>
    <w:rsid w:val="00854A3B"/>
    <w:rsid w:val="00871D34"/>
    <w:rsid w:val="00893D95"/>
    <w:rsid w:val="008A25EC"/>
    <w:rsid w:val="008A602D"/>
    <w:rsid w:val="008A6059"/>
    <w:rsid w:val="008B270C"/>
    <w:rsid w:val="008B5078"/>
    <w:rsid w:val="008C3D3D"/>
    <w:rsid w:val="008D4131"/>
    <w:rsid w:val="008F1932"/>
    <w:rsid w:val="0090151B"/>
    <w:rsid w:val="009042A9"/>
    <w:rsid w:val="00921062"/>
    <w:rsid w:val="00934C39"/>
    <w:rsid w:val="009433A1"/>
    <w:rsid w:val="009722BC"/>
    <w:rsid w:val="009727A3"/>
    <w:rsid w:val="00987774"/>
    <w:rsid w:val="00996B75"/>
    <w:rsid w:val="009A11E8"/>
    <w:rsid w:val="009B7433"/>
    <w:rsid w:val="009C57C8"/>
    <w:rsid w:val="009F5220"/>
    <w:rsid w:val="00A07919"/>
    <w:rsid w:val="00A15234"/>
    <w:rsid w:val="00A16D5B"/>
    <w:rsid w:val="00A172F5"/>
    <w:rsid w:val="00A201AB"/>
    <w:rsid w:val="00A31C8B"/>
    <w:rsid w:val="00A509FA"/>
    <w:rsid w:val="00A845DC"/>
    <w:rsid w:val="00B1476B"/>
    <w:rsid w:val="00B26AA2"/>
    <w:rsid w:val="00B3524D"/>
    <w:rsid w:val="00B40F69"/>
    <w:rsid w:val="00B42CA1"/>
    <w:rsid w:val="00B46616"/>
    <w:rsid w:val="00B47B0C"/>
    <w:rsid w:val="00B528BB"/>
    <w:rsid w:val="00B7040A"/>
    <w:rsid w:val="00B81492"/>
    <w:rsid w:val="00B83391"/>
    <w:rsid w:val="00B95326"/>
    <w:rsid w:val="00BD4196"/>
    <w:rsid w:val="00BF22CA"/>
    <w:rsid w:val="00BF23BB"/>
    <w:rsid w:val="00C206F2"/>
    <w:rsid w:val="00C23DFC"/>
    <w:rsid w:val="00C26032"/>
    <w:rsid w:val="00C345E1"/>
    <w:rsid w:val="00C352BE"/>
    <w:rsid w:val="00C43BFD"/>
    <w:rsid w:val="00C47603"/>
    <w:rsid w:val="00C6048A"/>
    <w:rsid w:val="00C659D4"/>
    <w:rsid w:val="00CB6E35"/>
    <w:rsid w:val="00CC5DC2"/>
    <w:rsid w:val="00CD4E66"/>
    <w:rsid w:val="00CE09B1"/>
    <w:rsid w:val="00CE1A46"/>
    <w:rsid w:val="00CE7F24"/>
    <w:rsid w:val="00D05EA6"/>
    <w:rsid w:val="00D20757"/>
    <w:rsid w:val="00D22636"/>
    <w:rsid w:val="00D40FD9"/>
    <w:rsid w:val="00D53769"/>
    <w:rsid w:val="00D606FA"/>
    <w:rsid w:val="00D6602D"/>
    <w:rsid w:val="00D85C13"/>
    <w:rsid w:val="00D9111A"/>
    <w:rsid w:val="00D91BE3"/>
    <w:rsid w:val="00D949B7"/>
    <w:rsid w:val="00D94AFC"/>
    <w:rsid w:val="00DB70AE"/>
    <w:rsid w:val="00DC2619"/>
    <w:rsid w:val="00DD5071"/>
    <w:rsid w:val="00DD5C39"/>
    <w:rsid w:val="00DE5CD4"/>
    <w:rsid w:val="00DE7DB7"/>
    <w:rsid w:val="00E00A0A"/>
    <w:rsid w:val="00E066DE"/>
    <w:rsid w:val="00E06F42"/>
    <w:rsid w:val="00E07F57"/>
    <w:rsid w:val="00E30683"/>
    <w:rsid w:val="00E403E4"/>
    <w:rsid w:val="00E42107"/>
    <w:rsid w:val="00E453D8"/>
    <w:rsid w:val="00E50BCE"/>
    <w:rsid w:val="00E574BF"/>
    <w:rsid w:val="00E61292"/>
    <w:rsid w:val="00E77C4D"/>
    <w:rsid w:val="00E81D01"/>
    <w:rsid w:val="00EA79AF"/>
    <w:rsid w:val="00EB485A"/>
    <w:rsid w:val="00EE45D8"/>
    <w:rsid w:val="00F16CB3"/>
    <w:rsid w:val="00F22EDA"/>
    <w:rsid w:val="00F2710B"/>
    <w:rsid w:val="00F470D6"/>
    <w:rsid w:val="00F5589A"/>
    <w:rsid w:val="00F768D4"/>
    <w:rsid w:val="00FB1477"/>
    <w:rsid w:val="00FB188D"/>
    <w:rsid w:val="00FB4EED"/>
    <w:rsid w:val="00FC40FA"/>
    <w:rsid w:val="00FE1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1"/>
    <o:shapelayout v:ext="edit">
      <o:idmap v:ext="edit" data="1"/>
    </o:shapelayout>
  </w:shapeDefaults>
  <w:decimalSymbol w:val="."/>
  <w:listSeparator w:val=","/>
  <w14:docId w14:val="2CB20E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1881</Words>
  <Characters>9222</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2018-06-08T11:25:00Z</dcterms:created>
  <dcterms:modified xsi:type="dcterms:W3CDTF">2018-06-08T11:25:00Z</dcterms:modified>
</cp:coreProperties>
</file>