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78D95" w14:textId="77777777" w:rsidR="008A6059" w:rsidRPr="009B7433" w:rsidRDefault="00672C19" w:rsidP="008A6059">
      <w:pPr>
        <w:jc w:val="center"/>
        <w:rPr>
          <w:rFonts w:ascii="Book Antiqua" w:hAnsi="Book Antiqua" w:cs="Arial"/>
          <w:caps/>
          <w:color w:val="000000"/>
          <w:sz w:val="16"/>
          <w:szCs w:val="16"/>
        </w:rPr>
      </w:pPr>
      <w:r>
        <w:rPr>
          <w:noProof/>
          <w:lang w:val="en-US" w:eastAsia="en-US"/>
        </w:rPr>
        <w:drawing>
          <wp:inline distT="0" distB="0" distL="0" distR="0" wp14:anchorId="2BF06505" wp14:editId="40603EE4">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143F84F1" w14:textId="74FD9D51" w:rsidR="00D94AFC" w:rsidRPr="009B7433" w:rsidRDefault="00D94AFC">
      <w:pPr>
        <w:rPr>
          <w:rFonts w:ascii="Book Antiqua" w:hAnsi="Book Antiqua" w:cs="Arial"/>
          <w:color w:val="000000"/>
          <w:sz w:val="16"/>
          <w:szCs w:val="16"/>
        </w:rPr>
      </w:pPr>
    </w:p>
    <w:p w14:paraId="03AEF1D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9814F8C"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4F3C0E">
        <w:rPr>
          <w:rFonts w:ascii="Book Antiqua" w:hAnsi="Book Antiqua" w:cs="Arial"/>
          <w:caps/>
          <w:color w:val="000000"/>
        </w:rPr>
        <w:t>HU/13026/2016</w:t>
      </w:r>
      <w:bookmarkEnd w:id="0"/>
    </w:p>
    <w:p w14:paraId="20D5AAC4" w14:textId="77777777" w:rsidR="00C345E1" w:rsidRPr="009B7433" w:rsidRDefault="00C345E1" w:rsidP="00C345E1">
      <w:pPr>
        <w:jc w:val="center"/>
        <w:rPr>
          <w:rFonts w:ascii="Book Antiqua" w:hAnsi="Book Antiqua" w:cs="Arial"/>
          <w:color w:val="000000"/>
        </w:rPr>
      </w:pPr>
    </w:p>
    <w:p w14:paraId="4004F32D" w14:textId="77777777" w:rsidR="00C345E1" w:rsidRPr="009B7433" w:rsidRDefault="00C345E1" w:rsidP="00C345E1">
      <w:pPr>
        <w:jc w:val="center"/>
        <w:rPr>
          <w:rFonts w:ascii="Book Antiqua" w:hAnsi="Book Antiqua" w:cs="Arial"/>
          <w:color w:val="000000"/>
        </w:rPr>
      </w:pPr>
    </w:p>
    <w:p w14:paraId="18F1D440"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06858FF" w14:textId="77777777" w:rsidR="00C345E1" w:rsidRPr="009B7433" w:rsidRDefault="00C345E1" w:rsidP="00C345E1">
      <w:pPr>
        <w:jc w:val="center"/>
        <w:rPr>
          <w:rFonts w:ascii="Book Antiqua" w:hAnsi="Book Antiqua" w:cs="Arial"/>
          <w:b/>
          <w:u w:val="single"/>
        </w:rPr>
      </w:pPr>
    </w:p>
    <w:p w14:paraId="0E2AD587"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D7CAC1A" w14:textId="77777777" w:rsidTr="00D949B7">
        <w:tc>
          <w:tcPr>
            <w:tcW w:w="6048" w:type="dxa"/>
          </w:tcPr>
          <w:p w14:paraId="1C4E59F0"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4F3C0E">
              <w:rPr>
                <w:rFonts w:ascii="Book Antiqua" w:hAnsi="Book Antiqua" w:cs="Arial"/>
                <w:b/>
              </w:rPr>
              <w:t>Field House</w:t>
            </w:r>
          </w:p>
        </w:tc>
        <w:tc>
          <w:tcPr>
            <w:tcW w:w="3960" w:type="dxa"/>
          </w:tcPr>
          <w:p w14:paraId="04DD0104"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52D9321" w14:textId="77777777" w:rsidTr="00D949B7">
        <w:tc>
          <w:tcPr>
            <w:tcW w:w="6048" w:type="dxa"/>
          </w:tcPr>
          <w:p w14:paraId="22E33D6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4F3C0E">
              <w:rPr>
                <w:rFonts w:ascii="Book Antiqua" w:hAnsi="Book Antiqua" w:cs="Arial"/>
                <w:b/>
              </w:rPr>
              <w:t>2 August 2018</w:t>
            </w:r>
          </w:p>
        </w:tc>
        <w:tc>
          <w:tcPr>
            <w:tcW w:w="3960" w:type="dxa"/>
          </w:tcPr>
          <w:p w14:paraId="02B6AD93" w14:textId="0D97B372" w:rsidR="00D22636" w:rsidRPr="009B7433" w:rsidRDefault="00C205FA" w:rsidP="004A1848">
            <w:pPr>
              <w:jc w:val="both"/>
              <w:rPr>
                <w:rFonts w:ascii="Book Antiqua" w:hAnsi="Book Antiqua" w:cs="Arial"/>
                <w:b/>
              </w:rPr>
            </w:pPr>
            <w:r w:rsidRPr="00D804EB">
              <w:rPr>
                <w:rFonts w:ascii="Book Antiqua" w:hAnsi="Book Antiqua" w:cs="Arial"/>
                <w:b/>
              </w:rPr>
              <w:t>On</w:t>
            </w:r>
            <w:r>
              <w:rPr>
                <w:rFonts w:ascii="Book Antiqua" w:hAnsi="Book Antiqua" w:cs="Arial"/>
                <w:b/>
              </w:rPr>
              <w:t xml:space="preserve"> </w:t>
            </w:r>
            <w:r w:rsidRPr="00D804EB">
              <w:rPr>
                <w:rFonts w:ascii="Book Antiqua" w:hAnsi="Book Antiqua" w:cs="Arial"/>
                <w:b/>
              </w:rPr>
              <w:t>29 August 2018</w:t>
            </w:r>
          </w:p>
        </w:tc>
      </w:tr>
      <w:tr w:rsidR="00D22636" w:rsidRPr="009B7433" w14:paraId="4C833D43" w14:textId="77777777" w:rsidTr="00D949B7">
        <w:tc>
          <w:tcPr>
            <w:tcW w:w="6048" w:type="dxa"/>
          </w:tcPr>
          <w:p w14:paraId="307231B5" w14:textId="77777777" w:rsidR="00D22636" w:rsidRPr="009B7433" w:rsidRDefault="00D22636" w:rsidP="004A1848">
            <w:pPr>
              <w:jc w:val="both"/>
              <w:rPr>
                <w:rFonts w:ascii="Book Antiqua" w:hAnsi="Book Antiqua" w:cs="Arial"/>
                <w:b/>
              </w:rPr>
            </w:pPr>
          </w:p>
        </w:tc>
        <w:tc>
          <w:tcPr>
            <w:tcW w:w="3960" w:type="dxa"/>
          </w:tcPr>
          <w:p w14:paraId="27E9B9A2" w14:textId="162F596D" w:rsidR="00D22636" w:rsidRPr="009B7433" w:rsidRDefault="00D22636" w:rsidP="004A1848">
            <w:pPr>
              <w:jc w:val="both"/>
              <w:rPr>
                <w:rFonts w:ascii="Book Antiqua" w:hAnsi="Book Antiqua" w:cs="Arial"/>
                <w:b/>
              </w:rPr>
            </w:pPr>
          </w:p>
        </w:tc>
      </w:tr>
    </w:tbl>
    <w:p w14:paraId="559AA97D" w14:textId="77777777" w:rsidR="00A15234" w:rsidRPr="009B7433" w:rsidRDefault="00A15234" w:rsidP="00A15234">
      <w:pPr>
        <w:jc w:val="center"/>
        <w:rPr>
          <w:rFonts w:ascii="Book Antiqua" w:hAnsi="Book Antiqua" w:cs="Arial"/>
        </w:rPr>
      </w:pPr>
    </w:p>
    <w:p w14:paraId="29650DF5"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4D538E9" w14:textId="77777777" w:rsidR="00A15234" w:rsidRPr="009B7433" w:rsidRDefault="00A15234" w:rsidP="00A15234">
      <w:pPr>
        <w:jc w:val="center"/>
        <w:rPr>
          <w:rFonts w:ascii="Book Antiqua" w:hAnsi="Book Antiqua" w:cs="Arial"/>
          <w:b/>
        </w:rPr>
      </w:pPr>
    </w:p>
    <w:p w14:paraId="22F5125F"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2ECE842E" w14:textId="77777777" w:rsidR="00D20757" w:rsidRPr="009B7433" w:rsidRDefault="00D20757" w:rsidP="00A15234">
      <w:pPr>
        <w:jc w:val="center"/>
        <w:rPr>
          <w:rFonts w:ascii="Book Antiqua" w:hAnsi="Book Antiqua" w:cs="Arial"/>
          <w:b/>
        </w:rPr>
      </w:pPr>
    </w:p>
    <w:p w14:paraId="11856B72" w14:textId="77777777" w:rsidR="00110191" w:rsidRDefault="00110191" w:rsidP="00A15234">
      <w:pPr>
        <w:jc w:val="center"/>
        <w:rPr>
          <w:rFonts w:ascii="Book Antiqua" w:hAnsi="Book Antiqua" w:cs="Arial"/>
          <w:b/>
        </w:rPr>
      </w:pPr>
    </w:p>
    <w:p w14:paraId="43B19EFE" w14:textId="76901BBF"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02D5EA7" w14:textId="77777777" w:rsidR="00A845DC" w:rsidRPr="009B7433" w:rsidRDefault="00A845DC" w:rsidP="00A15234">
      <w:pPr>
        <w:jc w:val="center"/>
        <w:rPr>
          <w:rFonts w:ascii="Book Antiqua" w:hAnsi="Book Antiqua" w:cs="Arial"/>
          <w:b/>
        </w:rPr>
      </w:pPr>
    </w:p>
    <w:p w14:paraId="3794E11E" w14:textId="77777777" w:rsidR="00A845DC" w:rsidRDefault="004F3C0E" w:rsidP="00A15234">
      <w:pPr>
        <w:jc w:val="center"/>
        <w:rPr>
          <w:rFonts w:ascii="Book Antiqua" w:hAnsi="Book Antiqua" w:cs="Arial"/>
          <w:b/>
          <w:caps/>
        </w:rPr>
      </w:pPr>
      <w:r>
        <w:rPr>
          <w:rFonts w:ascii="Book Antiqua" w:hAnsi="Book Antiqua" w:cs="Arial"/>
          <w:b/>
          <w:caps/>
        </w:rPr>
        <w:t>Mr huseyin yenier</w:t>
      </w:r>
    </w:p>
    <w:p w14:paraId="658D1B6E" w14:textId="77777777" w:rsidR="00704B61" w:rsidRPr="00135900" w:rsidRDefault="00D949B7" w:rsidP="00135900">
      <w:pPr>
        <w:jc w:val="center"/>
        <w:rPr>
          <w:rFonts w:ascii="Book Antiqua" w:hAnsi="Book Antiqua" w:cs="Arial"/>
          <w:b/>
          <w:caps/>
        </w:rPr>
      </w:pPr>
      <w:r w:rsidRPr="00D949B7">
        <w:rPr>
          <w:rFonts w:ascii="Book Antiqua" w:hAnsi="Book Antiqua" w:cs="Arial"/>
          <w:b/>
          <w:caps/>
        </w:rPr>
        <w:t>(ANONYMITY DIRECTION</w:t>
      </w:r>
      <w:r w:rsidR="00135900">
        <w:rPr>
          <w:rFonts w:ascii="Book Antiqua" w:hAnsi="Book Antiqua" w:cs="Arial"/>
          <w:b/>
          <w:caps/>
        </w:rPr>
        <w:t xml:space="preserve"> not made</w:t>
      </w:r>
      <w:r w:rsidRPr="00D949B7">
        <w:rPr>
          <w:rFonts w:ascii="Book Antiqua" w:hAnsi="Book Antiqua" w:cs="Arial"/>
          <w:b/>
          <w:caps/>
        </w:rPr>
        <w:t>)</w:t>
      </w:r>
    </w:p>
    <w:p w14:paraId="71623B80"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609196F5"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C591FC7" w14:textId="77777777" w:rsidR="00DD5071" w:rsidRPr="009B7433" w:rsidRDefault="00DD5071" w:rsidP="00704B61">
      <w:pPr>
        <w:jc w:val="center"/>
        <w:rPr>
          <w:rFonts w:ascii="Book Antiqua" w:hAnsi="Book Antiqua" w:cs="Arial"/>
          <w:b/>
        </w:rPr>
      </w:pPr>
    </w:p>
    <w:p w14:paraId="1224E8EB" w14:textId="77777777" w:rsidR="00DD5071" w:rsidRPr="009B7433" w:rsidRDefault="00DD5071" w:rsidP="00135900">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2D0827C2"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CEA13A5" w14:textId="77777777" w:rsidR="00DD5071" w:rsidRPr="009B7433" w:rsidRDefault="00DD5071" w:rsidP="00DD5071">
      <w:pPr>
        <w:rPr>
          <w:rFonts w:ascii="Book Antiqua" w:hAnsi="Book Antiqua" w:cs="Arial"/>
          <w:u w:val="single"/>
        </w:rPr>
      </w:pPr>
    </w:p>
    <w:p w14:paraId="2B007670" w14:textId="77777777" w:rsidR="00DD5071" w:rsidRPr="009B7433" w:rsidRDefault="00DD5071" w:rsidP="00DD5071">
      <w:pPr>
        <w:rPr>
          <w:rFonts w:ascii="Book Antiqua" w:hAnsi="Book Antiqua" w:cs="Arial"/>
          <w:u w:val="single"/>
        </w:rPr>
      </w:pPr>
    </w:p>
    <w:p w14:paraId="4BCC63D4"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0A9B5B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F3C0E">
        <w:rPr>
          <w:rFonts w:ascii="Book Antiqua" w:hAnsi="Book Antiqua" w:cs="Arial"/>
        </w:rPr>
        <w:t>In person</w:t>
      </w:r>
    </w:p>
    <w:p w14:paraId="69AE38B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F3C0E">
        <w:rPr>
          <w:rFonts w:ascii="Book Antiqua" w:hAnsi="Book Antiqua" w:cs="Arial"/>
        </w:rPr>
        <w:t xml:space="preserve">Mr T Melvin, </w:t>
      </w:r>
      <w:r w:rsidR="00135900">
        <w:rPr>
          <w:rFonts w:ascii="Book Antiqua" w:hAnsi="Book Antiqua" w:cs="Arial"/>
        </w:rPr>
        <w:t xml:space="preserve">Senior </w:t>
      </w:r>
      <w:r w:rsidR="004F3C0E">
        <w:rPr>
          <w:rFonts w:ascii="Book Antiqua" w:hAnsi="Book Antiqua" w:cs="Arial"/>
        </w:rPr>
        <w:t>Home Office Presenting Officer</w:t>
      </w:r>
    </w:p>
    <w:p w14:paraId="5BC31754" w14:textId="77777777" w:rsidR="00DE7DB7" w:rsidRPr="009B7433" w:rsidRDefault="00DE7DB7" w:rsidP="00D609F4">
      <w:pPr>
        <w:jc w:val="center"/>
        <w:rPr>
          <w:rFonts w:ascii="Book Antiqua" w:hAnsi="Book Antiqua" w:cs="Arial"/>
        </w:rPr>
      </w:pPr>
    </w:p>
    <w:p w14:paraId="6662D099" w14:textId="77777777" w:rsidR="00DE7DB7" w:rsidRPr="009B7433" w:rsidRDefault="00DE7DB7" w:rsidP="00402B9E">
      <w:pPr>
        <w:tabs>
          <w:tab w:val="left" w:pos="2520"/>
        </w:tabs>
        <w:jc w:val="center"/>
        <w:rPr>
          <w:rFonts w:ascii="Book Antiqua" w:hAnsi="Book Antiqua" w:cs="Arial"/>
        </w:rPr>
      </w:pPr>
    </w:p>
    <w:p w14:paraId="77E96AAD"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50AE5AAB" w14:textId="77777777" w:rsidR="00135900" w:rsidRDefault="004F3C0E" w:rsidP="00CD4CF3">
      <w:pPr>
        <w:numPr>
          <w:ilvl w:val="0"/>
          <w:numId w:val="1"/>
        </w:numPr>
        <w:tabs>
          <w:tab w:val="clear" w:pos="567"/>
        </w:tabs>
        <w:spacing w:before="240"/>
        <w:jc w:val="both"/>
        <w:rPr>
          <w:rFonts w:ascii="Book Antiqua" w:hAnsi="Book Antiqua" w:cs="Arial"/>
        </w:rPr>
      </w:pPr>
      <w:r>
        <w:rPr>
          <w:rFonts w:ascii="Book Antiqua" w:hAnsi="Book Antiqua" w:cs="Arial"/>
        </w:rPr>
        <w:t>This is a challenge by the Appellant to the decision of First-</w:t>
      </w:r>
      <w:r w:rsidR="00135900">
        <w:rPr>
          <w:rFonts w:ascii="Book Antiqua" w:hAnsi="Book Antiqua" w:cs="Arial"/>
        </w:rPr>
        <w:t>tier Tribunal Judge Freer (the j</w:t>
      </w:r>
      <w:r>
        <w:rPr>
          <w:rFonts w:ascii="Book Antiqua" w:hAnsi="Book Antiqua" w:cs="Arial"/>
        </w:rPr>
        <w:t>udge)</w:t>
      </w:r>
      <w:r w:rsidR="00135900">
        <w:rPr>
          <w:rFonts w:ascii="Book Antiqua" w:hAnsi="Book Antiqua" w:cs="Arial"/>
        </w:rPr>
        <w:t>,</w:t>
      </w:r>
      <w:r>
        <w:rPr>
          <w:rFonts w:ascii="Book Antiqua" w:hAnsi="Book Antiqua" w:cs="Arial"/>
        </w:rPr>
        <w:t xml:space="preserve"> promulgated on 23 February 2018</w:t>
      </w:r>
      <w:r w:rsidR="00135900">
        <w:rPr>
          <w:rFonts w:ascii="Book Antiqua" w:hAnsi="Book Antiqua" w:cs="Arial"/>
        </w:rPr>
        <w:t>,</w:t>
      </w:r>
      <w:r>
        <w:rPr>
          <w:rFonts w:ascii="Book Antiqua" w:hAnsi="Book Antiqua" w:cs="Arial"/>
        </w:rPr>
        <w:t xml:space="preserve"> in which he dismissed the Appellant’s appeal against the Respondent’s decision, dated 6 May 2016, which had refused his human rights claim</w:t>
      </w:r>
      <w:r w:rsidR="00135900">
        <w:rPr>
          <w:rFonts w:ascii="Book Antiqua" w:hAnsi="Book Antiqua" w:cs="Arial"/>
        </w:rPr>
        <w:t>,</w:t>
      </w:r>
      <w:r>
        <w:rPr>
          <w:rFonts w:ascii="Book Antiqua" w:hAnsi="Book Antiqua" w:cs="Arial"/>
        </w:rPr>
        <w:t xml:space="preserve"> which in turn he made on 13 October 2015.  </w:t>
      </w:r>
    </w:p>
    <w:p w14:paraId="4BD93AA5" w14:textId="77777777" w:rsidR="00D609F4" w:rsidRDefault="004F3C0E" w:rsidP="00CD4CF3">
      <w:pPr>
        <w:numPr>
          <w:ilvl w:val="0"/>
          <w:numId w:val="1"/>
        </w:numPr>
        <w:tabs>
          <w:tab w:val="clear" w:pos="567"/>
        </w:tabs>
        <w:spacing w:before="240"/>
        <w:jc w:val="both"/>
        <w:rPr>
          <w:rFonts w:ascii="Book Antiqua" w:hAnsi="Book Antiqua" w:cs="Arial"/>
        </w:rPr>
      </w:pPr>
      <w:r>
        <w:rPr>
          <w:rFonts w:ascii="Book Antiqua" w:hAnsi="Book Antiqua" w:cs="Arial"/>
        </w:rPr>
        <w:t>In summary, that claim had been based upon the Appellant’s significant (albeit unlawful) residence in the United Kingdom dating back to 1988 when he arrived her</w:t>
      </w:r>
      <w:r w:rsidR="00135900">
        <w:rPr>
          <w:rFonts w:ascii="Book Antiqua" w:hAnsi="Book Antiqua" w:cs="Arial"/>
        </w:rPr>
        <w:t>e at the age of approximately twelve</w:t>
      </w:r>
      <w:r w:rsidR="00714103">
        <w:rPr>
          <w:rFonts w:ascii="Book Antiqua" w:hAnsi="Book Antiqua" w:cs="Arial"/>
        </w:rPr>
        <w:t xml:space="preserve"> from the Turkish Republic of Northern Cyprus.</w:t>
      </w:r>
    </w:p>
    <w:p w14:paraId="67ABB4B0" w14:textId="77777777" w:rsidR="00135900" w:rsidRDefault="00135900" w:rsidP="00135900">
      <w:pPr>
        <w:spacing w:before="240"/>
        <w:ind w:left="567"/>
        <w:jc w:val="both"/>
        <w:rPr>
          <w:rFonts w:ascii="Book Antiqua" w:hAnsi="Book Antiqua" w:cs="Arial"/>
        </w:rPr>
      </w:pPr>
    </w:p>
    <w:p w14:paraId="413FC198" w14:textId="77777777" w:rsidR="004F3C0E" w:rsidRDefault="00135900" w:rsidP="004D4F83">
      <w:pPr>
        <w:spacing w:before="240"/>
        <w:jc w:val="both"/>
        <w:rPr>
          <w:rFonts w:ascii="Book Antiqua" w:hAnsi="Book Antiqua" w:cs="Arial"/>
        </w:rPr>
      </w:pPr>
      <w:r>
        <w:rPr>
          <w:rFonts w:ascii="Book Antiqua" w:hAnsi="Book Antiqua" w:cs="Arial"/>
          <w:b/>
          <w:u w:val="single"/>
        </w:rPr>
        <w:t>The judge’s d</w:t>
      </w:r>
      <w:r w:rsidR="004F3C0E">
        <w:rPr>
          <w:rFonts w:ascii="Book Antiqua" w:hAnsi="Book Antiqua" w:cs="Arial"/>
          <w:b/>
          <w:u w:val="single"/>
        </w:rPr>
        <w:t>ecision</w:t>
      </w:r>
    </w:p>
    <w:p w14:paraId="45F2AF26" w14:textId="77777777" w:rsidR="004F3C0E" w:rsidRDefault="004F3C0E"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Having set out the nature of the evidence and the legal issues before him, the judge goes on to assess what he considered to be the relevant factors in the appeal.  He took account of the Appellant’s very significant criminal record, his lack of integration into British life (with reference to the lack of his English speaking ability and other matters), </w:t>
      </w:r>
      <w:r w:rsidR="00135900">
        <w:rPr>
          <w:rFonts w:ascii="Book Antiqua" w:hAnsi="Book Antiqua" w:cs="Arial"/>
        </w:rPr>
        <w:t xml:space="preserve">and </w:t>
      </w:r>
      <w:r>
        <w:rPr>
          <w:rFonts w:ascii="Book Antiqua" w:hAnsi="Book Antiqua" w:cs="Arial"/>
        </w:rPr>
        <w:t>the long residence</w:t>
      </w:r>
      <w:r w:rsidR="00135900">
        <w:rPr>
          <w:rFonts w:ascii="Book Antiqua" w:hAnsi="Book Antiqua" w:cs="Arial"/>
        </w:rPr>
        <w:t>, amongst other factors</w:t>
      </w:r>
      <w:r>
        <w:rPr>
          <w:rFonts w:ascii="Book Antiqua" w:hAnsi="Book Antiqua" w:cs="Arial"/>
        </w:rPr>
        <w:t xml:space="preserve">.  The judge concludes that the Appellant could not succeed under paragraph 276ADE(1)(iii) </w:t>
      </w:r>
      <w:r w:rsidR="00135900">
        <w:rPr>
          <w:rFonts w:ascii="Book Antiqua" w:hAnsi="Book Antiqua" w:cs="Arial"/>
        </w:rPr>
        <w:t xml:space="preserve">of the rules </w:t>
      </w:r>
      <w:r>
        <w:rPr>
          <w:rFonts w:ascii="Book Antiqua" w:hAnsi="Book Antiqua" w:cs="Arial"/>
        </w:rPr>
        <w:t>because of the suitability requi</w:t>
      </w:r>
      <w:r w:rsidR="00135900">
        <w:rPr>
          <w:rFonts w:ascii="Book Antiqua" w:hAnsi="Book Antiqua" w:cs="Arial"/>
        </w:rPr>
        <w:t>rements, specifically S-LTR1.6 (see [</w:t>
      </w:r>
      <w:r>
        <w:rPr>
          <w:rFonts w:ascii="Book Antiqua" w:hAnsi="Book Antiqua" w:cs="Arial"/>
        </w:rPr>
        <w:t>34</w:t>
      </w:r>
      <w:r w:rsidR="00135900">
        <w:rPr>
          <w:rFonts w:ascii="Book Antiqua" w:hAnsi="Book Antiqua" w:cs="Arial"/>
        </w:rPr>
        <w:t>]). Outside the context of the r</w:t>
      </w:r>
      <w:r>
        <w:rPr>
          <w:rFonts w:ascii="Book Antiqua" w:hAnsi="Book Antiqua" w:cs="Arial"/>
        </w:rPr>
        <w:t xml:space="preserve">ules, the judge found that the factors in the Respondent’s favour outweighed those in the Appellant’s.  The appeal was duly dismissed on the grounds. </w:t>
      </w:r>
    </w:p>
    <w:p w14:paraId="0A3610DC" w14:textId="77777777" w:rsidR="00135900" w:rsidRDefault="00135900" w:rsidP="00135900">
      <w:pPr>
        <w:spacing w:before="240"/>
        <w:ind w:left="567"/>
        <w:jc w:val="both"/>
        <w:rPr>
          <w:rFonts w:ascii="Book Antiqua" w:hAnsi="Book Antiqua" w:cs="Arial"/>
        </w:rPr>
      </w:pPr>
    </w:p>
    <w:p w14:paraId="57318968" w14:textId="77777777" w:rsidR="004F3C0E" w:rsidRDefault="00135900" w:rsidP="004D4F83">
      <w:pPr>
        <w:spacing w:before="240"/>
        <w:jc w:val="both"/>
        <w:rPr>
          <w:rFonts w:ascii="Book Antiqua" w:hAnsi="Book Antiqua" w:cs="Arial"/>
        </w:rPr>
      </w:pPr>
      <w:r>
        <w:rPr>
          <w:rFonts w:ascii="Book Antiqua" w:hAnsi="Book Antiqua" w:cs="Arial"/>
          <w:b/>
          <w:u w:val="single"/>
        </w:rPr>
        <w:t>The grounds of a</w:t>
      </w:r>
      <w:r w:rsidR="004F3C0E">
        <w:rPr>
          <w:rFonts w:ascii="Book Antiqua" w:hAnsi="Book Antiqua" w:cs="Arial"/>
          <w:b/>
          <w:u w:val="single"/>
        </w:rPr>
        <w:t>ppeal</w:t>
      </w:r>
      <w:r>
        <w:rPr>
          <w:rFonts w:ascii="Book Antiqua" w:hAnsi="Book Antiqua" w:cs="Arial"/>
          <w:b/>
          <w:u w:val="single"/>
        </w:rPr>
        <w:t xml:space="preserve"> and grant of p</w:t>
      </w:r>
      <w:r w:rsidR="004F3C0E">
        <w:rPr>
          <w:rFonts w:ascii="Book Antiqua" w:hAnsi="Book Antiqua" w:cs="Arial"/>
          <w:b/>
          <w:u w:val="single"/>
        </w:rPr>
        <w:t>ermission</w:t>
      </w:r>
    </w:p>
    <w:p w14:paraId="2271518B" w14:textId="77777777" w:rsidR="00714103" w:rsidRDefault="007324CC" w:rsidP="00CD4CF3">
      <w:pPr>
        <w:numPr>
          <w:ilvl w:val="0"/>
          <w:numId w:val="1"/>
        </w:numPr>
        <w:tabs>
          <w:tab w:val="clear" w:pos="567"/>
        </w:tabs>
        <w:spacing w:before="240"/>
        <w:jc w:val="both"/>
        <w:rPr>
          <w:rFonts w:ascii="Book Antiqua" w:hAnsi="Book Antiqua" w:cs="Arial"/>
        </w:rPr>
      </w:pPr>
      <w:r>
        <w:rPr>
          <w:rFonts w:ascii="Book Antiqua" w:hAnsi="Book Antiqua" w:cs="Arial"/>
        </w:rPr>
        <w:t>The grounds assert that the judge failed to have regard to the fact that the Appellant’s criminal history was not particularly serious in terms of the specific offences for which he had been convicted over the course of time.  In addition</w:t>
      </w:r>
      <w:r w:rsidR="004D4F83">
        <w:rPr>
          <w:rFonts w:ascii="Book Antiqua" w:hAnsi="Book Antiqua" w:cs="Arial"/>
        </w:rPr>
        <w:t>,</w:t>
      </w:r>
      <w:r>
        <w:rPr>
          <w:rFonts w:ascii="Book Antiqua" w:hAnsi="Book Antiqua" w:cs="Arial"/>
        </w:rPr>
        <w:t xml:space="preserve"> it is said that the judge failed to have regard to other relevant factors when considering</w:t>
      </w:r>
      <w:r w:rsidR="00135900">
        <w:rPr>
          <w:rFonts w:ascii="Book Antiqua" w:hAnsi="Book Antiqua" w:cs="Arial"/>
        </w:rPr>
        <w:t xml:space="preserve"> paragraph 276ADE(1)(vi) of the rules: t</w:t>
      </w:r>
      <w:r>
        <w:rPr>
          <w:rFonts w:ascii="Book Antiqua" w:hAnsi="Book Antiqua" w:cs="Arial"/>
        </w:rPr>
        <w:t xml:space="preserve">hese factors included an apparent inability to secure meaningful employment in the Turkish Republic of </w:t>
      </w:r>
      <w:r w:rsidR="004B24AA">
        <w:rPr>
          <w:rFonts w:ascii="Book Antiqua" w:hAnsi="Book Antiqua" w:cs="Arial"/>
        </w:rPr>
        <w:t>N</w:t>
      </w:r>
      <w:r>
        <w:rPr>
          <w:rFonts w:ascii="Book Antiqua" w:hAnsi="Book Antiqua" w:cs="Arial"/>
        </w:rPr>
        <w:t xml:space="preserve">orthern Cyprus.  </w:t>
      </w:r>
    </w:p>
    <w:p w14:paraId="70521783" w14:textId="77777777" w:rsidR="004F3C0E" w:rsidRPr="00714103" w:rsidRDefault="007324CC" w:rsidP="00714103">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w:t>
      </w:r>
      <w:r w:rsidR="00714103">
        <w:rPr>
          <w:rFonts w:ascii="Book Antiqua" w:hAnsi="Book Antiqua" w:cs="Arial"/>
        </w:rPr>
        <w:t xml:space="preserve"> Judge Parkes on 23 March 2018. T</w:t>
      </w:r>
      <w:r>
        <w:rPr>
          <w:rFonts w:ascii="Book Antiqua" w:hAnsi="Book Antiqua" w:cs="Arial"/>
        </w:rPr>
        <w:t>here is clearly a t</w:t>
      </w:r>
      <w:r w:rsidR="00714103">
        <w:rPr>
          <w:rFonts w:ascii="Book Antiqua" w:hAnsi="Book Antiqua" w:cs="Arial"/>
        </w:rPr>
        <w:t>ypographical error in [</w:t>
      </w:r>
      <w:r>
        <w:rPr>
          <w:rFonts w:ascii="Book Antiqua" w:hAnsi="Book Antiqua" w:cs="Arial"/>
        </w:rPr>
        <w:t>2</w:t>
      </w:r>
      <w:r w:rsidR="00714103">
        <w:rPr>
          <w:rFonts w:ascii="Book Antiqua" w:hAnsi="Book Antiqua" w:cs="Arial"/>
        </w:rPr>
        <w:t>]</w:t>
      </w:r>
      <w:r>
        <w:rPr>
          <w:rFonts w:ascii="Book Antiqua" w:hAnsi="Book Antiqua" w:cs="Arial"/>
        </w:rPr>
        <w:t xml:space="preserve"> of the grant: the word “not” has been omitted in error</w:t>
      </w:r>
      <w:r w:rsidR="00714103">
        <w:rPr>
          <w:rFonts w:ascii="Book Antiqua" w:hAnsi="Book Antiqua" w:cs="Arial"/>
        </w:rPr>
        <w:t>. T</w:t>
      </w:r>
      <w:r>
        <w:rPr>
          <w:rFonts w:ascii="Book Antiqua" w:hAnsi="Book Antiqua" w:cs="Arial"/>
        </w:rPr>
        <w:t xml:space="preserve">here is no doubt that Judge Parkes intended to say that the judge found that the Appellant did </w:t>
      </w:r>
      <w:r w:rsidRPr="00714103">
        <w:rPr>
          <w:rFonts w:ascii="Book Antiqua" w:hAnsi="Book Antiqua" w:cs="Arial"/>
          <w:i/>
        </w:rPr>
        <w:t>not</w:t>
      </w:r>
      <w:r>
        <w:rPr>
          <w:rFonts w:ascii="Book Antiqua" w:hAnsi="Book Antiqua" w:cs="Arial"/>
        </w:rPr>
        <w:t xml:space="preserve"> meet the s</w:t>
      </w:r>
      <w:r w:rsidR="00714103">
        <w:rPr>
          <w:rFonts w:ascii="Book Antiqua" w:hAnsi="Book Antiqua" w:cs="Arial"/>
        </w:rPr>
        <w:t>uitability requirements of the r</w:t>
      </w:r>
      <w:r>
        <w:rPr>
          <w:rFonts w:ascii="Book Antiqua" w:hAnsi="Book Antiqua" w:cs="Arial"/>
        </w:rPr>
        <w:t xml:space="preserve">ules.  Judge Parkes described the case as being “unusual” </w:t>
      </w:r>
      <w:r w:rsidR="00714103">
        <w:rPr>
          <w:rFonts w:ascii="Book Antiqua" w:hAnsi="Book Antiqua" w:cs="Arial"/>
        </w:rPr>
        <w:t xml:space="preserve">because of the length of residence </w:t>
      </w:r>
      <w:r>
        <w:rPr>
          <w:rFonts w:ascii="Book Antiqua" w:hAnsi="Book Antiqua" w:cs="Arial"/>
        </w:rPr>
        <w:t>and commented that it was arguable that the Appellant met paragraph 276ADE(1)(iii)</w:t>
      </w:r>
      <w:r w:rsidR="00714103">
        <w:rPr>
          <w:rFonts w:ascii="Book Antiqua" w:hAnsi="Book Antiqua" w:cs="Arial"/>
        </w:rPr>
        <w:t xml:space="preserve"> of the rules</w:t>
      </w:r>
      <w:r w:rsidRPr="00714103">
        <w:rPr>
          <w:rFonts w:ascii="Book Antiqua" w:hAnsi="Book Antiqua" w:cs="Arial"/>
        </w:rPr>
        <w:t>.</w:t>
      </w:r>
    </w:p>
    <w:p w14:paraId="185CEA83" w14:textId="77777777" w:rsidR="00714103" w:rsidRDefault="00714103" w:rsidP="00714103">
      <w:pPr>
        <w:spacing w:before="240"/>
        <w:ind w:left="567"/>
        <w:jc w:val="both"/>
        <w:rPr>
          <w:rFonts w:ascii="Book Antiqua" w:hAnsi="Book Antiqua" w:cs="Arial"/>
        </w:rPr>
      </w:pPr>
    </w:p>
    <w:p w14:paraId="3F9D690C" w14:textId="77777777" w:rsidR="007324CC" w:rsidRDefault="00714103" w:rsidP="004D4F83">
      <w:pPr>
        <w:spacing w:before="240"/>
        <w:jc w:val="both"/>
        <w:rPr>
          <w:rFonts w:ascii="Book Antiqua" w:hAnsi="Book Antiqua" w:cs="Arial"/>
        </w:rPr>
      </w:pPr>
      <w:r>
        <w:rPr>
          <w:rFonts w:ascii="Book Antiqua" w:hAnsi="Book Antiqua" w:cs="Arial"/>
          <w:b/>
          <w:u w:val="single"/>
        </w:rPr>
        <w:t>The hearing before m</w:t>
      </w:r>
      <w:r w:rsidR="007324CC">
        <w:rPr>
          <w:rFonts w:ascii="Book Antiqua" w:hAnsi="Book Antiqua" w:cs="Arial"/>
          <w:b/>
          <w:u w:val="single"/>
        </w:rPr>
        <w:t>e</w:t>
      </w:r>
    </w:p>
    <w:p w14:paraId="14D3D9D0" w14:textId="77777777" w:rsidR="00714103" w:rsidRDefault="007324CC" w:rsidP="00CD4CF3">
      <w:pPr>
        <w:numPr>
          <w:ilvl w:val="0"/>
          <w:numId w:val="1"/>
        </w:numPr>
        <w:tabs>
          <w:tab w:val="clear" w:pos="567"/>
        </w:tabs>
        <w:spacing w:before="240"/>
        <w:jc w:val="both"/>
        <w:rPr>
          <w:rFonts w:ascii="Book Antiqua" w:hAnsi="Book Antiqua" w:cs="Arial"/>
        </w:rPr>
      </w:pPr>
      <w:r>
        <w:rPr>
          <w:rFonts w:ascii="Book Antiqua" w:hAnsi="Book Antiqua" w:cs="Arial"/>
        </w:rPr>
        <w:t>I had adjourned this matter on a previous occasion because the Appellant’s solicitors were unable to attend due to a lack of funding</w:t>
      </w:r>
      <w:r w:rsidR="00714103">
        <w:rPr>
          <w:rFonts w:ascii="Book Antiqua" w:hAnsi="Book Antiqua" w:cs="Arial"/>
        </w:rPr>
        <w:t>. U</w:t>
      </w:r>
      <w:r>
        <w:rPr>
          <w:rFonts w:ascii="Book Antiqua" w:hAnsi="Book Antiqua" w:cs="Arial"/>
        </w:rPr>
        <w:t>nfortunately, a Turkish interpreter had not been booked on that occasion and therefore I was unable to proce</w:t>
      </w:r>
      <w:r w:rsidR="00714103">
        <w:rPr>
          <w:rFonts w:ascii="Book Antiqua" w:hAnsi="Book Antiqua" w:cs="Arial"/>
        </w:rPr>
        <w:t>ed with the error of law hearing</w:t>
      </w:r>
      <w:r>
        <w:rPr>
          <w:rFonts w:ascii="Book Antiqua" w:hAnsi="Book Antiqua" w:cs="Arial"/>
        </w:rPr>
        <w:t>.  A</w:t>
      </w:r>
      <w:r w:rsidR="004D4F83">
        <w:rPr>
          <w:rFonts w:ascii="Book Antiqua" w:hAnsi="Book Antiqua" w:cs="Arial"/>
        </w:rPr>
        <w:t>t</w:t>
      </w:r>
      <w:r>
        <w:rPr>
          <w:rFonts w:ascii="Book Antiqua" w:hAnsi="Book Antiqua" w:cs="Arial"/>
        </w:rPr>
        <w:t xml:space="preserve"> the adjourned hearing there was still no representation by the solicitors</w:t>
      </w:r>
      <w:r w:rsidR="00714103">
        <w:rPr>
          <w:rFonts w:ascii="Book Antiqua" w:hAnsi="Book Antiqua" w:cs="Arial"/>
        </w:rPr>
        <w:t>,</w:t>
      </w:r>
      <w:r>
        <w:rPr>
          <w:rFonts w:ascii="Book Antiqua" w:hAnsi="Book Antiqua" w:cs="Arial"/>
        </w:rPr>
        <w:t xml:space="preserve"> although they appear to still be on record.  A Turk</w:t>
      </w:r>
      <w:r w:rsidR="00714103">
        <w:rPr>
          <w:rFonts w:ascii="Book Antiqua" w:hAnsi="Book Antiqua" w:cs="Arial"/>
        </w:rPr>
        <w:t>ish interpreter was present I was</w:t>
      </w:r>
      <w:r>
        <w:rPr>
          <w:rFonts w:ascii="Book Antiqua" w:hAnsi="Book Antiqua" w:cs="Arial"/>
        </w:rPr>
        <w:t xml:space="preserve"> satisfied that he and the Appellant</w:t>
      </w:r>
      <w:r w:rsidR="00714103">
        <w:rPr>
          <w:rFonts w:ascii="Book Antiqua" w:hAnsi="Book Antiqua" w:cs="Arial"/>
        </w:rPr>
        <w:t xml:space="preserve"> understood each other fully.</w:t>
      </w:r>
      <w:r>
        <w:rPr>
          <w:rFonts w:ascii="Book Antiqua" w:hAnsi="Book Antiqua" w:cs="Arial"/>
        </w:rPr>
        <w:t xml:space="preserve"> </w:t>
      </w:r>
    </w:p>
    <w:p w14:paraId="1E57BBFC" w14:textId="77777777" w:rsidR="00714103" w:rsidRDefault="007324CC" w:rsidP="00CD4CF3">
      <w:pPr>
        <w:numPr>
          <w:ilvl w:val="0"/>
          <w:numId w:val="1"/>
        </w:numPr>
        <w:tabs>
          <w:tab w:val="clear" w:pos="567"/>
        </w:tabs>
        <w:spacing w:before="240"/>
        <w:jc w:val="both"/>
        <w:rPr>
          <w:rFonts w:ascii="Book Antiqua" w:hAnsi="Book Antiqua" w:cs="Arial"/>
        </w:rPr>
      </w:pPr>
      <w:r>
        <w:rPr>
          <w:rFonts w:ascii="Book Antiqua" w:hAnsi="Book Antiqua" w:cs="Arial"/>
        </w:rPr>
        <w:t>I provided a full explanation as to the nature of the proceedings and the issues before me.  I w</w:t>
      </w:r>
      <w:r w:rsidR="004D4F83">
        <w:rPr>
          <w:rFonts w:ascii="Book Antiqua" w:hAnsi="Book Antiqua" w:cs="Arial"/>
        </w:rPr>
        <w:t>a</w:t>
      </w:r>
      <w:r>
        <w:rPr>
          <w:rFonts w:ascii="Book Antiqua" w:hAnsi="Book Antiqua" w:cs="Arial"/>
        </w:rPr>
        <w:t>s satisfied that the Appellant understood everything that w</w:t>
      </w:r>
      <w:r w:rsidR="00714103">
        <w:rPr>
          <w:rFonts w:ascii="Book Antiqua" w:hAnsi="Book Antiqua" w:cs="Arial"/>
        </w:rPr>
        <w:t>as being said.  I summarised his own</w:t>
      </w:r>
      <w:r>
        <w:rPr>
          <w:rFonts w:ascii="Book Antiqua" w:hAnsi="Book Antiqua" w:cs="Arial"/>
        </w:rPr>
        <w:t xml:space="preserve"> case </w:t>
      </w:r>
      <w:r w:rsidR="00714103">
        <w:rPr>
          <w:rFonts w:ascii="Book Antiqua" w:hAnsi="Book Antiqua" w:cs="Arial"/>
        </w:rPr>
        <w:t>to</w:t>
      </w:r>
      <w:r>
        <w:rPr>
          <w:rFonts w:ascii="Book Antiqua" w:hAnsi="Book Antiqua" w:cs="Arial"/>
        </w:rPr>
        <w:t xml:space="preserve"> the Appellant, and he agreed with this.  </w:t>
      </w:r>
    </w:p>
    <w:p w14:paraId="26D36799" w14:textId="77777777" w:rsidR="00714103" w:rsidRDefault="007324CC"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I then asked Mr Melvin for his submissions</w:t>
      </w:r>
      <w:r w:rsidR="00714103">
        <w:rPr>
          <w:rFonts w:ascii="Book Antiqua" w:hAnsi="Book Antiqua" w:cs="Arial"/>
        </w:rPr>
        <w:t>. H</w:t>
      </w:r>
      <w:r>
        <w:rPr>
          <w:rFonts w:ascii="Book Antiqua" w:hAnsi="Book Antiqua" w:cs="Arial"/>
        </w:rPr>
        <w:t>e noted that despite the judge appearing to say that the Appellant ha</w:t>
      </w:r>
      <w:r w:rsidR="00714103">
        <w:rPr>
          <w:rFonts w:ascii="Book Antiqua" w:hAnsi="Book Antiqua" w:cs="Arial"/>
        </w:rPr>
        <w:t>d changed his ways in [</w:t>
      </w:r>
      <w:r>
        <w:rPr>
          <w:rFonts w:ascii="Book Antiqua" w:hAnsi="Book Antiqua" w:cs="Arial"/>
        </w:rPr>
        <w:t>32</w:t>
      </w:r>
      <w:r w:rsidR="00714103">
        <w:rPr>
          <w:rFonts w:ascii="Book Antiqua" w:hAnsi="Book Antiqua" w:cs="Arial"/>
        </w:rPr>
        <w:t>], he</w:t>
      </w:r>
      <w:r>
        <w:rPr>
          <w:rFonts w:ascii="Book Antiqua" w:hAnsi="Book Antiqua" w:cs="Arial"/>
        </w:rPr>
        <w:t xml:space="preserve"> was fully entitled to have had regard to the crimi</w:t>
      </w:r>
      <w:r w:rsidR="00714103">
        <w:rPr>
          <w:rFonts w:ascii="Book Antiqua" w:hAnsi="Book Antiqua" w:cs="Arial"/>
        </w:rPr>
        <w:t>nal history as a whole. I</w:t>
      </w:r>
      <w:r>
        <w:rPr>
          <w:rFonts w:ascii="Book Antiqua" w:hAnsi="Book Antiqua" w:cs="Arial"/>
        </w:rPr>
        <w:t>t w</w:t>
      </w:r>
      <w:r w:rsidR="004D4F83">
        <w:rPr>
          <w:rFonts w:ascii="Book Antiqua" w:hAnsi="Book Antiqua" w:cs="Arial"/>
        </w:rPr>
        <w:t>a</w:t>
      </w:r>
      <w:r>
        <w:rPr>
          <w:rFonts w:ascii="Book Antiqua" w:hAnsi="Book Antiqua" w:cs="Arial"/>
        </w:rPr>
        <w:t>s open to the judge to have found that S-LTR</w:t>
      </w:r>
      <w:r w:rsidR="00714103">
        <w:rPr>
          <w:rFonts w:ascii="Book Antiqua" w:hAnsi="Book Antiqua" w:cs="Arial"/>
        </w:rPr>
        <w:t>.</w:t>
      </w:r>
      <w:r>
        <w:rPr>
          <w:rFonts w:ascii="Book Antiqua" w:hAnsi="Book Antiqua" w:cs="Arial"/>
        </w:rPr>
        <w:t>1.6 applied.  It was noted that there was no perversity challenge to the judge’s conclusions</w:t>
      </w:r>
      <w:r w:rsidR="00714103">
        <w:rPr>
          <w:rFonts w:ascii="Book Antiqua" w:hAnsi="Book Antiqua" w:cs="Arial"/>
        </w:rPr>
        <w:t xml:space="preserve"> and it was clear</w:t>
      </w:r>
      <w:r>
        <w:rPr>
          <w:rFonts w:ascii="Book Antiqua" w:hAnsi="Book Antiqua" w:cs="Arial"/>
        </w:rPr>
        <w:t xml:space="preserve"> that </w:t>
      </w:r>
      <w:r w:rsidR="00714103">
        <w:rPr>
          <w:rFonts w:ascii="Book Antiqua" w:hAnsi="Book Antiqua" w:cs="Arial"/>
        </w:rPr>
        <w:t xml:space="preserve">the </w:t>
      </w:r>
      <w:r>
        <w:rPr>
          <w:rFonts w:ascii="Book Antiqua" w:hAnsi="Book Antiqua" w:cs="Arial"/>
        </w:rPr>
        <w:t xml:space="preserve">judge had taken all factors into account and had weighed them up in the balance as he was entitled to do.  He had considered the case within </w:t>
      </w:r>
      <w:r w:rsidR="00714103">
        <w:rPr>
          <w:rFonts w:ascii="Book Antiqua" w:hAnsi="Book Antiqua" w:cs="Arial"/>
        </w:rPr>
        <w:t>and without the context of the r</w:t>
      </w:r>
      <w:r>
        <w:rPr>
          <w:rFonts w:ascii="Book Antiqua" w:hAnsi="Book Antiqua" w:cs="Arial"/>
        </w:rPr>
        <w:t xml:space="preserve">ules.  </w:t>
      </w:r>
    </w:p>
    <w:p w14:paraId="173A2323" w14:textId="77777777" w:rsidR="007324CC" w:rsidRDefault="007324CC" w:rsidP="00CD4CF3">
      <w:pPr>
        <w:numPr>
          <w:ilvl w:val="0"/>
          <w:numId w:val="1"/>
        </w:numPr>
        <w:tabs>
          <w:tab w:val="clear" w:pos="567"/>
        </w:tabs>
        <w:spacing w:before="240"/>
        <w:jc w:val="both"/>
        <w:rPr>
          <w:rFonts w:ascii="Book Antiqua" w:hAnsi="Book Antiqua" w:cs="Arial"/>
        </w:rPr>
      </w:pPr>
      <w:r>
        <w:rPr>
          <w:rFonts w:ascii="Book Antiqua" w:hAnsi="Book Antiqua" w:cs="Arial"/>
        </w:rPr>
        <w:t>I then asked the Appellant for his comments he told me that he had been in this country for a very long time and had no-one in north Cyprus.  He regarded the United Kingdom as his country.</w:t>
      </w:r>
    </w:p>
    <w:p w14:paraId="2C62C54A" w14:textId="77777777" w:rsidR="00714103" w:rsidRDefault="00714103" w:rsidP="00714103">
      <w:pPr>
        <w:spacing w:before="240"/>
        <w:ind w:left="567"/>
        <w:jc w:val="both"/>
        <w:rPr>
          <w:rFonts w:ascii="Book Antiqua" w:hAnsi="Book Antiqua" w:cs="Arial"/>
        </w:rPr>
      </w:pPr>
    </w:p>
    <w:p w14:paraId="64377DF9" w14:textId="77777777" w:rsidR="004F5D1F" w:rsidRDefault="00714103" w:rsidP="004D4F83">
      <w:pPr>
        <w:spacing w:before="240"/>
        <w:jc w:val="both"/>
        <w:rPr>
          <w:rFonts w:ascii="Book Antiqua" w:hAnsi="Book Antiqua" w:cs="Arial"/>
        </w:rPr>
      </w:pPr>
      <w:r>
        <w:rPr>
          <w:rFonts w:ascii="Book Antiqua" w:hAnsi="Book Antiqua" w:cs="Arial"/>
          <w:b/>
          <w:u w:val="single"/>
        </w:rPr>
        <w:t>Decision on error of l</w:t>
      </w:r>
      <w:r w:rsidR="004F5D1F">
        <w:rPr>
          <w:rFonts w:ascii="Book Antiqua" w:hAnsi="Book Antiqua" w:cs="Arial"/>
          <w:b/>
          <w:u w:val="single"/>
        </w:rPr>
        <w:t>aw</w:t>
      </w:r>
    </w:p>
    <w:p w14:paraId="3FE8AE58" w14:textId="77777777" w:rsidR="00714103" w:rsidRDefault="004F5D1F" w:rsidP="00CD4CF3">
      <w:pPr>
        <w:numPr>
          <w:ilvl w:val="0"/>
          <w:numId w:val="1"/>
        </w:numPr>
        <w:tabs>
          <w:tab w:val="clear" w:pos="567"/>
        </w:tabs>
        <w:spacing w:before="240"/>
        <w:jc w:val="both"/>
        <w:rPr>
          <w:rFonts w:ascii="Book Antiqua" w:hAnsi="Book Antiqua" w:cs="Arial"/>
        </w:rPr>
      </w:pPr>
      <w:r>
        <w:rPr>
          <w:rFonts w:ascii="Book Antiqua" w:hAnsi="Book Antiqua" w:cs="Arial"/>
        </w:rPr>
        <w:t>As I announced to the parties at the hearing</w:t>
      </w:r>
      <w:r w:rsidR="00714103">
        <w:rPr>
          <w:rFonts w:ascii="Book Antiqua" w:hAnsi="Book Antiqua" w:cs="Arial"/>
        </w:rPr>
        <w:t>,</w:t>
      </w:r>
      <w:r>
        <w:rPr>
          <w:rFonts w:ascii="Book Antiqua" w:hAnsi="Book Antiqua" w:cs="Arial"/>
        </w:rPr>
        <w:t xml:space="preserve"> I conclude that there are no material errors of law in the judge’s decision.  </w:t>
      </w:r>
    </w:p>
    <w:p w14:paraId="5C754D98" w14:textId="77777777" w:rsidR="005649C3" w:rsidRDefault="004F5D1F" w:rsidP="00CD4CF3">
      <w:pPr>
        <w:numPr>
          <w:ilvl w:val="0"/>
          <w:numId w:val="1"/>
        </w:numPr>
        <w:tabs>
          <w:tab w:val="clear" w:pos="567"/>
        </w:tabs>
        <w:spacing w:before="240"/>
        <w:jc w:val="both"/>
        <w:rPr>
          <w:rFonts w:ascii="Book Antiqua" w:hAnsi="Book Antiqua" w:cs="Arial"/>
        </w:rPr>
      </w:pPr>
      <w:r>
        <w:rPr>
          <w:rFonts w:ascii="Book Antiqua" w:hAnsi="Book Antiqua" w:cs="Arial"/>
        </w:rPr>
        <w:t>The suitability issue had been clearly raised by the Respondent in his reasons for refusal letter and there was no question that this came as a surprise to the Appellant and his representatives at the hearing</w:t>
      </w:r>
      <w:r w:rsidR="005649C3">
        <w:rPr>
          <w:rFonts w:ascii="Book Antiqua" w:hAnsi="Book Antiqua" w:cs="Arial"/>
        </w:rPr>
        <w:t xml:space="preserve"> (a legal representative was then present)</w:t>
      </w:r>
      <w:r>
        <w:rPr>
          <w:rFonts w:ascii="Book Antiqua" w:hAnsi="Book Antiqua" w:cs="Arial"/>
        </w:rPr>
        <w:t>.  It was open to the judge, in all the circumstances, to conclude that S-LTR</w:t>
      </w:r>
      <w:r w:rsidR="005649C3">
        <w:rPr>
          <w:rFonts w:ascii="Book Antiqua" w:hAnsi="Book Antiqua" w:cs="Arial"/>
        </w:rPr>
        <w:t>.</w:t>
      </w:r>
      <w:r>
        <w:rPr>
          <w:rFonts w:ascii="Book Antiqua" w:hAnsi="Book Antiqua" w:cs="Arial"/>
        </w:rPr>
        <w:t>1.6 did apply.  The Appellant’s criminal history was significant and the judge was entitled to conclude that he had not learnt from his experiences to any great extent and, although it is somewhat oddly s</w:t>
      </w:r>
      <w:r w:rsidR="005649C3">
        <w:rPr>
          <w:rFonts w:ascii="Book Antiqua" w:hAnsi="Book Antiqua" w:cs="Arial"/>
        </w:rPr>
        <w:t>tated in [</w:t>
      </w:r>
      <w:r>
        <w:rPr>
          <w:rFonts w:ascii="Book Antiqua" w:hAnsi="Book Antiqua" w:cs="Arial"/>
        </w:rPr>
        <w:t>32</w:t>
      </w:r>
      <w:r w:rsidR="005649C3">
        <w:rPr>
          <w:rFonts w:ascii="Book Antiqua" w:hAnsi="Book Antiqua" w:cs="Arial"/>
        </w:rPr>
        <w:t>]</w:t>
      </w:r>
      <w:r>
        <w:rPr>
          <w:rFonts w:ascii="Book Antiqua" w:hAnsi="Book Antiqua" w:cs="Arial"/>
        </w:rPr>
        <w:t xml:space="preserve"> that the Appellant might have turned over a new leaf, in the context of the evidence and findings as a whole, it is clear that the judge was of the view that the Appellant’s character and conduct was such that his presence in the United Kingdom was not conducive to the public good.  In light of that conclusion the Appellant could not succeed under paragraph 276ADE(1)(iii).  </w:t>
      </w:r>
    </w:p>
    <w:p w14:paraId="1B2EA214" w14:textId="77777777" w:rsidR="005649C3" w:rsidRDefault="004F5D1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judge does not specifically refer to paragraph 276ADE(1)(vi), the suitability conclusion precluded success under that sub-provision in any event.  </w:t>
      </w:r>
    </w:p>
    <w:p w14:paraId="670C9548" w14:textId="77777777" w:rsidR="005649C3" w:rsidRDefault="005649C3" w:rsidP="00CD4CF3">
      <w:pPr>
        <w:numPr>
          <w:ilvl w:val="0"/>
          <w:numId w:val="1"/>
        </w:numPr>
        <w:tabs>
          <w:tab w:val="clear" w:pos="567"/>
        </w:tabs>
        <w:spacing w:before="240"/>
        <w:jc w:val="both"/>
        <w:rPr>
          <w:rFonts w:ascii="Book Antiqua" w:hAnsi="Book Antiqua" w:cs="Arial"/>
        </w:rPr>
      </w:pPr>
      <w:r>
        <w:rPr>
          <w:rFonts w:ascii="Book Antiqua" w:hAnsi="Book Antiqua" w:cs="Arial"/>
        </w:rPr>
        <w:t>In relation to the a</w:t>
      </w:r>
      <w:r w:rsidR="004F5D1F">
        <w:rPr>
          <w:rFonts w:ascii="Book Antiqua" w:hAnsi="Book Antiqua" w:cs="Arial"/>
        </w:rPr>
        <w:t>rticle 8 cl</w:t>
      </w:r>
      <w:r>
        <w:rPr>
          <w:rFonts w:ascii="Book Antiqua" w:hAnsi="Book Antiqua" w:cs="Arial"/>
        </w:rPr>
        <w:t>aim outside the context of the r</w:t>
      </w:r>
      <w:r w:rsidR="004F5D1F">
        <w:rPr>
          <w:rFonts w:ascii="Book Antiqua" w:hAnsi="Book Antiqua" w:cs="Arial"/>
        </w:rPr>
        <w:t>ules, whilst there is an erroneous reference t</w:t>
      </w:r>
      <w:r>
        <w:rPr>
          <w:rFonts w:ascii="Book Antiqua" w:hAnsi="Book Antiqua" w:cs="Arial"/>
        </w:rPr>
        <w:t>o deportation provisions under s</w:t>
      </w:r>
      <w:r w:rsidR="004F5D1F">
        <w:rPr>
          <w:rFonts w:ascii="Book Antiqua" w:hAnsi="Book Antiqua" w:cs="Arial"/>
        </w:rPr>
        <w:t xml:space="preserve">ection 117C of the </w:t>
      </w:r>
      <w:r>
        <w:rPr>
          <w:rFonts w:ascii="Book Antiqua" w:hAnsi="Book Antiqua" w:cs="Arial"/>
        </w:rPr>
        <w:t>NIAA 2002</w:t>
      </w:r>
      <w:r w:rsidR="004F5D1F">
        <w:rPr>
          <w:rFonts w:ascii="Book Antiqua" w:hAnsi="Book Antiqua" w:cs="Arial"/>
        </w:rPr>
        <w:t>, the factual circumstances and what is s</w:t>
      </w:r>
      <w:r>
        <w:rPr>
          <w:rFonts w:ascii="Book Antiqua" w:hAnsi="Book Antiqua" w:cs="Arial"/>
        </w:rPr>
        <w:t>aid in [</w:t>
      </w:r>
      <w:r w:rsidR="004F5D1F">
        <w:rPr>
          <w:rFonts w:ascii="Book Antiqua" w:hAnsi="Book Antiqua" w:cs="Arial"/>
        </w:rPr>
        <w:t>46</w:t>
      </w:r>
      <w:r>
        <w:rPr>
          <w:rFonts w:ascii="Book Antiqua" w:hAnsi="Book Antiqua" w:cs="Arial"/>
        </w:rPr>
        <w:t>]</w:t>
      </w:r>
      <w:r w:rsidR="004F5D1F">
        <w:rPr>
          <w:rFonts w:ascii="Book Antiqua" w:hAnsi="Book Antiqua" w:cs="Arial"/>
        </w:rPr>
        <w:t>-</w:t>
      </w:r>
      <w:r>
        <w:rPr>
          <w:rFonts w:ascii="Book Antiqua" w:hAnsi="Book Antiqua" w:cs="Arial"/>
        </w:rPr>
        <w:t>[</w:t>
      </w:r>
      <w:r w:rsidR="004F5D1F">
        <w:rPr>
          <w:rFonts w:ascii="Book Antiqua" w:hAnsi="Book Antiqua" w:cs="Arial"/>
        </w:rPr>
        <w:t>48</w:t>
      </w:r>
      <w:r>
        <w:rPr>
          <w:rFonts w:ascii="Book Antiqua" w:hAnsi="Book Antiqua" w:cs="Arial"/>
        </w:rPr>
        <w:t>]</w:t>
      </w:r>
      <w:r w:rsidR="004F5D1F">
        <w:rPr>
          <w:rFonts w:ascii="Book Antiqua" w:hAnsi="Book Antiqua" w:cs="Arial"/>
        </w:rPr>
        <w:t xml:space="preserve"> is sufficient to show that an adequate assessment w</w:t>
      </w:r>
      <w:r w:rsidR="004D4F83">
        <w:rPr>
          <w:rFonts w:ascii="Book Antiqua" w:hAnsi="Book Antiqua" w:cs="Arial"/>
        </w:rPr>
        <w:t>a</w:t>
      </w:r>
      <w:r w:rsidR="004F5D1F">
        <w:rPr>
          <w:rFonts w:ascii="Book Antiqua" w:hAnsi="Book Antiqua" w:cs="Arial"/>
        </w:rPr>
        <w:t>s carried out, balancing positive and adverse factors against each other.  In my view it is sufficiently clear that the judge had the Appellant’s significance residence in this country well in mind, noting that he described this point as being “very significant and heavily weighted in [the Appellant’s] favour”.  All in all</w:t>
      </w:r>
      <w:r w:rsidR="007748BB">
        <w:rPr>
          <w:rFonts w:ascii="Book Antiqua" w:hAnsi="Book Antiqua" w:cs="Arial"/>
        </w:rPr>
        <w:t>,</w:t>
      </w:r>
      <w:r w:rsidR="004F5D1F">
        <w:rPr>
          <w:rFonts w:ascii="Book Antiqua" w:hAnsi="Book Antiqua" w:cs="Arial"/>
        </w:rPr>
        <w:t xml:space="preserve"> whilst another judge may have reached a different conclusion, this particular judge was entitled to conclude as he did</w:t>
      </w:r>
      <w:r>
        <w:rPr>
          <w:rFonts w:ascii="Book Antiqua" w:hAnsi="Book Antiqua" w:cs="Arial"/>
        </w:rPr>
        <w:t>.</w:t>
      </w:r>
      <w:r w:rsidR="004F5D1F">
        <w:rPr>
          <w:rFonts w:ascii="Book Antiqua" w:hAnsi="Book Antiqua" w:cs="Arial"/>
        </w:rPr>
        <w:t xml:space="preserve"> </w:t>
      </w:r>
    </w:p>
    <w:p w14:paraId="68C7D7F3" w14:textId="77777777" w:rsidR="004F5D1F" w:rsidRDefault="004F5D1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would just add a further observation.  The judge makes some references to the “benefits” of the Appellant being returned to north Cyprus, and that to do so may be a “kindness” to him.  In my view such observations are unnecessary.  They form no </w:t>
      </w:r>
      <w:r>
        <w:rPr>
          <w:rFonts w:ascii="Book Antiqua" w:hAnsi="Book Antiqua" w:cs="Arial"/>
        </w:rPr>
        <w:lastRenderedPageBreak/>
        <w:t>part of the relevant legal tests and may possibly be seen as inappropriate by the individual concerned.</w:t>
      </w:r>
    </w:p>
    <w:p w14:paraId="55B47B97" w14:textId="77777777" w:rsidR="005649C3" w:rsidRPr="009B7433" w:rsidRDefault="005649C3" w:rsidP="005649C3">
      <w:pPr>
        <w:spacing w:before="240"/>
        <w:ind w:left="567"/>
        <w:jc w:val="both"/>
        <w:rPr>
          <w:rFonts w:ascii="Book Antiqua" w:hAnsi="Book Antiqua" w:cs="Arial"/>
        </w:rPr>
      </w:pPr>
    </w:p>
    <w:p w14:paraId="07F6226E"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14:paraId="08938FE2" w14:textId="77777777" w:rsidR="005649C3" w:rsidRDefault="00FE6895" w:rsidP="00CD4CF3">
      <w:pPr>
        <w:spacing w:before="240"/>
        <w:jc w:val="both"/>
        <w:rPr>
          <w:rFonts w:ascii="Book Antiqua" w:hAnsi="Book Antiqua" w:cs="Arial"/>
          <w:b/>
        </w:rPr>
      </w:pPr>
      <w:r w:rsidRPr="00F65B55">
        <w:rPr>
          <w:rFonts w:ascii="Book Antiqua" w:hAnsi="Book Antiqua" w:cs="Arial"/>
          <w:b/>
        </w:rPr>
        <w:t xml:space="preserve">The decision of the First-tier Tribunal </w:t>
      </w:r>
      <w:r w:rsidR="004D4F83">
        <w:rPr>
          <w:rFonts w:ascii="Book Antiqua" w:hAnsi="Book Antiqua" w:cs="Arial"/>
          <w:b/>
        </w:rPr>
        <w:t xml:space="preserve">does not contain any material </w:t>
      </w:r>
      <w:r>
        <w:rPr>
          <w:rFonts w:ascii="Book Antiqua" w:hAnsi="Book Antiqua" w:cs="Arial"/>
          <w:b/>
        </w:rPr>
        <w:t>error</w:t>
      </w:r>
      <w:r w:rsidR="004D4F83">
        <w:rPr>
          <w:rFonts w:ascii="Book Antiqua" w:hAnsi="Book Antiqua" w:cs="Arial"/>
          <w:b/>
        </w:rPr>
        <w:t>s of law</w:t>
      </w:r>
      <w:r>
        <w:rPr>
          <w:rFonts w:ascii="Book Antiqua" w:hAnsi="Book Antiqua" w:cs="Arial"/>
          <w:b/>
        </w:rPr>
        <w:t>.</w:t>
      </w:r>
      <w:r w:rsidR="004D4F83">
        <w:rPr>
          <w:rFonts w:ascii="Book Antiqua" w:hAnsi="Book Antiqua" w:cs="Arial"/>
          <w:b/>
        </w:rPr>
        <w:t xml:space="preserve">  That decision shall stand.  </w:t>
      </w:r>
    </w:p>
    <w:p w14:paraId="2003943D" w14:textId="77777777" w:rsidR="00FE6895" w:rsidRPr="00F65B55" w:rsidRDefault="004D4F83" w:rsidP="00CD4CF3">
      <w:pPr>
        <w:spacing w:before="240"/>
        <w:jc w:val="both"/>
        <w:rPr>
          <w:rFonts w:ascii="Book Antiqua" w:hAnsi="Book Antiqua" w:cs="Arial"/>
          <w:b/>
        </w:rPr>
      </w:pPr>
      <w:r>
        <w:rPr>
          <w:rFonts w:ascii="Book Antiqua" w:hAnsi="Book Antiqua" w:cs="Arial"/>
          <w:b/>
        </w:rPr>
        <w:t>The Appellant’s appeal to the Upper Tribunal is therefore dismissed</w:t>
      </w:r>
      <w:r w:rsidR="00FE6895">
        <w:rPr>
          <w:rFonts w:ascii="Book Antiqua" w:hAnsi="Book Antiqua" w:cs="Arial"/>
          <w:b/>
        </w:rPr>
        <w:t>.</w:t>
      </w:r>
    </w:p>
    <w:p w14:paraId="445AB869" w14:textId="77777777" w:rsidR="00D949B7" w:rsidRPr="00D949B7" w:rsidRDefault="00D949B7" w:rsidP="00CD4CF3">
      <w:pPr>
        <w:spacing w:before="240"/>
        <w:jc w:val="both"/>
        <w:rPr>
          <w:rFonts w:ascii="Book Antiqua" w:hAnsi="Book Antiqua" w:cs="Arial"/>
        </w:rPr>
      </w:pPr>
      <w:r w:rsidRPr="00D949B7">
        <w:rPr>
          <w:rFonts w:ascii="Book Antiqua" w:hAnsi="Book Antiqua" w:cs="Arial"/>
        </w:rPr>
        <w:t>No anonymity direction is made.</w:t>
      </w:r>
    </w:p>
    <w:p w14:paraId="1D1BECDF" w14:textId="77777777" w:rsidR="00D949B7" w:rsidRPr="009B7433" w:rsidRDefault="00D949B7" w:rsidP="00CD4CF3">
      <w:pPr>
        <w:spacing w:before="240"/>
        <w:jc w:val="both"/>
        <w:rPr>
          <w:rFonts w:ascii="Book Antiqua" w:hAnsi="Book Antiqua" w:cs="Arial"/>
        </w:rPr>
      </w:pPr>
    </w:p>
    <w:p w14:paraId="535AEBA5" w14:textId="77777777"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5649C3">
        <w:rPr>
          <w:noProof/>
        </w:rPr>
        <w:drawing>
          <wp:inline distT="0" distB="0" distL="0" distR="0" wp14:anchorId="47599502" wp14:editId="52B641F2">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5649C3">
        <w:rPr>
          <w:rFonts w:ascii="Book Antiqua" w:hAnsi="Book Antiqua" w:cs="Arial"/>
        </w:rPr>
        <w:tab/>
      </w:r>
      <w:r w:rsidR="005649C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649C3">
        <w:rPr>
          <w:rFonts w:ascii="Book Antiqua" w:hAnsi="Book Antiqua" w:cs="Arial"/>
        </w:rPr>
        <w:t>: 19 August 2018</w:t>
      </w:r>
    </w:p>
    <w:p w14:paraId="620F0177"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74B81AFA" w14:textId="6AADD457" w:rsidR="00D949B7" w:rsidRDefault="00D949B7" w:rsidP="00CD4CF3">
      <w:pPr>
        <w:spacing w:before="240"/>
        <w:jc w:val="both"/>
        <w:rPr>
          <w:rFonts w:ascii="Book Antiqua" w:hAnsi="Book Antiqua" w:cs="Arial"/>
          <w:color w:val="000000"/>
        </w:rPr>
      </w:pPr>
    </w:p>
    <w:p w14:paraId="29B7EC3E" w14:textId="77777777" w:rsidR="00473DD7" w:rsidRDefault="00473DD7" w:rsidP="00CD4CF3">
      <w:pPr>
        <w:spacing w:before="240"/>
        <w:jc w:val="both"/>
        <w:rPr>
          <w:rFonts w:ascii="Book Antiqua" w:hAnsi="Book Antiqua" w:cs="Arial"/>
          <w:color w:val="000000"/>
        </w:rPr>
      </w:pPr>
    </w:p>
    <w:p w14:paraId="55EFE679"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14:paraId="6F69A152"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425EC02C" w14:textId="77777777"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14:paraId="47FF3BB7" w14:textId="77777777" w:rsidR="00D949B7" w:rsidRDefault="00D949B7" w:rsidP="00CD4CF3">
      <w:pPr>
        <w:spacing w:before="240"/>
        <w:jc w:val="both"/>
        <w:rPr>
          <w:rFonts w:ascii="Book Antiqua" w:hAnsi="Book Antiqua" w:cs="Arial"/>
        </w:rPr>
      </w:pPr>
    </w:p>
    <w:p w14:paraId="25A2AC41" w14:textId="77777777"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5649C3">
        <w:rPr>
          <w:noProof/>
        </w:rPr>
        <w:drawing>
          <wp:inline distT="0" distB="0" distL="0" distR="0" wp14:anchorId="350CC10C" wp14:editId="4556C4EC">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5649C3">
        <w:rPr>
          <w:rFonts w:ascii="Book Antiqua" w:hAnsi="Book Antiqua" w:cs="Arial"/>
        </w:rPr>
        <w:tab/>
      </w:r>
      <w:r w:rsidR="005649C3">
        <w:rPr>
          <w:rFonts w:ascii="Book Antiqua" w:hAnsi="Book Antiqua" w:cs="Arial"/>
        </w:rPr>
        <w:tab/>
      </w:r>
      <w:r w:rsidR="005649C3">
        <w:rPr>
          <w:rFonts w:ascii="Book Antiqua" w:hAnsi="Book Antiqua" w:cs="Arial"/>
        </w:rPr>
        <w:tab/>
      </w:r>
      <w:r w:rsidRPr="009B7433">
        <w:rPr>
          <w:rFonts w:ascii="Book Antiqua" w:hAnsi="Book Antiqua" w:cs="Arial"/>
        </w:rPr>
        <w:t>Date</w:t>
      </w:r>
      <w:r w:rsidR="005649C3">
        <w:rPr>
          <w:rFonts w:ascii="Book Antiqua" w:hAnsi="Book Antiqua" w:cs="Arial"/>
        </w:rPr>
        <w:t>: 19 August 2018</w:t>
      </w:r>
    </w:p>
    <w:p w14:paraId="4558677D" w14:textId="2629EA38" w:rsidR="00B95326" w:rsidRDefault="00FE6895" w:rsidP="00C205FA">
      <w:pPr>
        <w:spacing w:before="240"/>
        <w:jc w:val="both"/>
        <w:rPr>
          <w:rFonts w:ascii="Book Antiqua" w:hAnsi="Book Antiqua" w:cs="Arial"/>
          <w:color w:val="000000"/>
        </w:rPr>
      </w:pPr>
      <w:r>
        <w:rPr>
          <w:rFonts w:ascii="Book Antiqua" w:hAnsi="Book Antiqua" w:cs="Arial"/>
          <w:color w:val="000000"/>
        </w:rPr>
        <w:t>Deputy Upper Tribunal Judge Norton-Taylor</w:t>
      </w:r>
    </w:p>
    <w:p w14:paraId="310B1EC4" w14:textId="77777777" w:rsidR="00C205FA" w:rsidRPr="00C205FA" w:rsidRDefault="00C205FA" w:rsidP="00C205FA">
      <w:pPr>
        <w:spacing w:before="240"/>
        <w:jc w:val="both"/>
        <w:rPr>
          <w:rFonts w:ascii="Book Antiqua" w:hAnsi="Book Antiqua" w:cs="Arial"/>
          <w:color w:val="000000"/>
        </w:rPr>
        <w:sectPr w:rsidR="00C205FA" w:rsidRPr="00C205FA"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pPr>
    </w:p>
    <w:p w14:paraId="3E7BBC37" w14:textId="77777777" w:rsidR="00B95326" w:rsidRPr="009B7433" w:rsidRDefault="00B95326" w:rsidP="00C205FA">
      <w:pPr>
        <w:rPr>
          <w:rFonts w:ascii="Book Antiqua" w:hAnsi="Book Antiqua" w:cs="Arial"/>
        </w:rPr>
      </w:pPr>
    </w:p>
    <w:sectPr w:rsidR="00B95326" w:rsidRPr="009B7433" w:rsidSect="00C205FA">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22211" w14:textId="77777777" w:rsidR="00714103" w:rsidRDefault="00714103">
      <w:r>
        <w:separator/>
      </w:r>
    </w:p>
  </w:endnote>
  <w:endnote w:type="continuationSeparator" w:id="0">
    <w:p w14:paraId="533376D2" w14:textId="77777777" w:rsidR="00714103" w:rsidRDefault="0071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08A12" w14:textId="457C9A80" w:rsidR="00714103" w:rsidRPr="009B7433" w:rsidRDefault="0071410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27E78">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7ABD" w14:textId="77777777" w:rsidR="00714103" w:rsidRPr="009B7433" w:rsidRDefault="0071410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D6A3A" w14:textId="77777777" w:rsidR="00714103" w:rsidRDefault="00714103">
      <w:r>
        <w:separator/>
      </w:r>
    </w:p>
  </w:footnote>
  <w:footnote w:type="continuationSeparator" w:id="0">
    <w:p w14:paraId="0C431843" w14:textId="77777777" w:rsidR="00714103" w:rsidRDefault="00714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F90E3" w14:textId="77777777" w:rsidR="00714103" w:rsidRPr="009B7433" w:rsidRDefault="0071410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HU/13026/2016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4308" w14:textId="77777777" w:rsidR="00714103" w:rsidRPr="009B7433" w:rsidRDefault="0071410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19"/>
    <w:rsid w:val="00000621"/>
    <w:rsid w:val="00003131"/>
    <w:rsid w:val="000036C2"/>
    <w:rsid w:val="000111FC"/>
    <w:rsid w:val="00016C1A"/>
    <w:rsid w:val="00033588"/>
    <w:rsid w:val="00033D3D"/>
    <w:rsid w:val="0004776F"/>
    <w:rsid w:val="00052895"/>
    <w:rsid w:val="00062F02"/>
    <w:rsid w:val="0007011D"/>
    <w:rsid w:val="00071A7E"/>
    <w:rsid w:val="000746C0"/>
    <w:rsid w:val="00074D1D"/>
    <w:rsid w:val="00092580"/>
    <w:rsid w:val="00093D4D"/>
    <w:rsid w:val="000D5D94"/>
    <w:rsid w:val="000F1A0E"/>
    <w:rsid w:val="00110191"/>
    <w:rsid w:val="001165A7"/>
    <w:rsid w:val="00135900"/>
    <w:rsid w:val="00160508"/>
    <w:rsid w:val="0016508E"/>
    <w:rsid w:val="00167B59"/>
    <w:rsid w:val="00167D3A"/>
    <w:rsid w:val="00173F50"/>
    <w:rsid w:val="00185986"/>
    <w:rsid w:val="001A3082"/>
    <w:rsid w:val="001B186A"/>
    <w:rsid w:val="001B2F75"/>
    <w:rsid w:val="001C6F5F"/>
    <w:rsid w:val="001C7F77"/>
    <w:rsid w:val="001D6167"/>
    <w:rsid w:val="001E5948"/>
    <w:rsid w:val="001F2716"/>
    <w:rsid w:val="001F3AC0"/>
    <w:rsid w:val="00207617"/>
    <w:rsid w:val="0023134B"/>
    <w:rsid w:val="00283659"/>
    <w:rsid w:val="0029177A"/>
    <w:rsid w:val="002C6BD4"/>
    <w:rsid w:val="002D68BF"/>
    <w:rsid w:val="002E4541"/>
    <w:rsid w:val="002F6B98"/>
    <w:rsid w:val="003000C0"/>
    <w:rsid w:val="003053D1"/>
    <w:rsid w:val="00336CBF"/>
    <w:rsid w:val="00343FE3"/>
    <w:rsid w:val="003546C8"/>
    <w:rsid w:val="003825D4"/>
    <w:rsid w:val="003A7CF2"/>
    <w:rsid w:val="003C5CE5"/>
    <w:rsid w:val="003D6FAD"/>
    <w:rsid w:val="003E267B"/>
    <w:rsid w:val="003E7CD1"/>
    <w:rsid w:val="00402B9E"/>
    <w:rsid w:val="004249CB"/>
    <w:rsid w:val="0044127D"/>
    <w:rsid w:val="004448DB"/>
    <w:rsid w:val="00446C9A"/>
    <w:rsid w:val="00452F2B"/>
    <w:rsid w:val="00473DD7"/>
    <w:rsid w:val="00477193"/>
    <w:rsid w:val="00494716"/>
    <w:rsid w:val="004A1848"/>
    <w:rsid w:val="004A2D15"/>
    <w:rsid w:val="004A534C"/>
    <w:rsid w:val="004A6F4A"/>
    <w:rsid w:val="004B24AA"/>
    <w:rsid w:val="004B70D7"/>
    <w:rsid w:val="004D4F83"/>
    <w:rsid w:val="004D6B45"/>
    <w:rsid w:val="004E4717"/>
    <w:rsid w:val="004F3C0E"/>
    <w:rsid w:val="004F5D1F"/>
    <w:rsid w:val="00507FEC"/>
    <w:rsid w:val="00510F0E"/>
    <w:rsid w:val="005479E1"/>
    <w:rsid w:val="00553E0A"/>
    <w:rsid w:val="005570FD"/>
    <w:rsid w:val="005575EA"/>
    <w:rsid w:val="005649C3"/>
    <w:rsid w:val="0057790C"/>
    <w:rsid w:val="00593795"/>
    <w:rsid w:val="005A75FF"/>
    <w:rsid w:val="005D10AB"/>
    <w:rsid w:val="00601D8F"/>
    <w:rsid w:val="00605582"/>
    <w:rsid w:val="00611F34"/>
    <w:rsid w:val="00620F3C"/>
    <w:rsid w:val="00621FE8"/>
    <w:rsid w:val="006434B6"/>
    <w:rsid w:val="00653E97"/>
    <w:rsid w:val="006667DB"/>
    <w:rsid w:val="00670EAF"/>
    <w:rsid w:val="00672C19"/>
    <w:rsid w:val="00684A74"/>
    <w:rsid w:val="0068620A"/>
    <w:rsid w:val="00690B8A"/>
    <w:rsid w:val="006F2CF1"/>
    <w:rsid w:val="007038ED"/>
    <w:rsid w:val="00703BC3"/>
    <w:rsid w:val="00704B61"/>
    <w:rsid w:val="00714103"/>
    <w:rsid w:val="00715A64"/>
    <w:rsid w:val="007324CC"/>
    <w:rsid w:val="0073584D"/>
    <w:rsid w:val="00740C1F"/>
    <w:rsid w:val="0074796D"/>
    <w:rsid w:val="007552A9"/>
    <w:rsid w:val="0075658A"/>
    <w:rsid w:val="00761858"/>
    <w:rsid w:val="00767D59"/>
    <w:rsid w:val="007748BB"/>
    <w:rsid w:val="00776E97"/>
    <w:rsid w:val="00780F86"/>
    <w:rsid w:val="007912AD"/>
    <w:rsid w:val="007B0824"/>
    <w:rsid w:val="007B5D3C"/>
    <w:rsid w:val="007F2E69"/>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F1932"/>
    <w:rsid w:val="0090151B"/>
    <w:rsid w:val="009042A9"/>
    <w:rsid w:val="00921062"/>
    <w:rsid w:val="009722BC"/>
    <w:rsid w:val="009727A3"/>
    <w:rsid w:val="00987774"/>
    <w:rsid w:val="009A11E8"/>
    <w:rsid w:val="009B7433"/>
    <w:rsid w:val="009C57C8"/>
    <w:rsid w:val="009D5357"/>
    <w:rsid w:val="009F5220"/>
    <w:rsid w:val="00A07919"/>
    <w:rsid w:val="00A15234"/>
    <w:rsid w:val="00A201AB"/>
    <w:rsid w:val="00A27E78"/>
    <w:rsid w:val="00A31C8B"/>
    <w:rsid w:val="00A509FA"/>
    <w:rsid w:val="00A845DC"/>
    <w:rsid w:val="00AB246C"/>
    <w:rsid w:val="00AD2088"/>
    <w:rsid w:val="00AD7143"/>
    <w:rsid w:val="00B12405"/>
    <w:rsid w:val="00B255D1"/>
    <w:rsid w:val="00B26AA2"/>
    <w:rsid w:val="00B3524D"/>
    <w:rsid w:val="00B40F69"/>
    <w:rsid w:val="00B46616"/>
    <w:rsid w:val="00B528BB"/>
    <w:rsid w:val="00B7040A"/>
    <w:rsid w:val="00B83391"/>
    <w:rsid w:val="00B95326"/>
    <w:rsid w:val="00BB0C31"/>
    <w:rsid w:val="00BD4196"/>
    <w:rsid w:val="00BF22CA"/>
    <w:rsid w:val="00BF23BB"/>
    <w:rsid w:val="00C205FA"/>
    <w:rsid w:val="00C26032"/>
    <w:rsid w:val="00C345E1"/>
    <w:rsid w:val="00C40B79"/>
    <w:rsid w:val="00C43BFD"/>
    <w:rsid w:val="00C6048A"/>
    <w:rsid w:val="00CB6E35"/>
    <w:rsid w:val="00CD4CF3"/>
    <w:rsid w:val="00CE09B1"/>
    <w:rsid w:val="00CE1A46"/>
    <w:rsid w:val="00D20757"/>
    <w:rsid w:val="00D22636"/>
    <w:rsid w:val="00D40FD9"/>
    <w:rsid w:val="00D53769"/>
    <w:rsid w:val="00D609F4"/>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22EDA"/>
    <w:rsid w:val="00F5589A"/>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2CD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6F45-9EEF-43C9-B9BD-1BC0D825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1210</Words>
  <Characters>6060</Characters>
  <Application>Microsoft Office Word</Application>
  <DocSecurity>0</DocSecurity>
  <Lines>50</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2018-09-12T12:15:00Z</dcterms:created>
  <dcterms:modified xsi:type="dcterms:W3CDTF">2018-09-12T12:15:00Z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