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E21051" w:rsidRDefault="00BF3E77" w:rsidP="00C321B5">
      <w:pPr>
        <w:jc w:val="center"/>
        <w:rPr>
          <w:rFonts w:ascii="Book Antiqua" w:hAnsi="Book Antiqua"/>
          <w:sz w:val="16"/>
          <w:szCs w:val="16"/>
        </w:rPr>
      </w:pPr>
      <w:r w:rsidRPr="00E21051">
        <w:rPr>
          <w:rFonts w:ascii="Book Antiqua" w:hAnsi="Book Antiqua"/>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E21051"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84800">
        <w:rPr>
          <w:rFonts w:ascii="Book Antiqua" w:hAnsi="Book Antiqua" w:cs="Arial"/>
        </w:rPr>
        <w:t>s</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84800" w:rsidRPr="00D84800">
        <w:rPr>
          <w:rFonts w:ascii="Book Antiqua" w:hAnsi="Book Antiqua" w:cs="Arial"/>
          <w:caps/>
        </w:rPr>
        <w:t>HU/13094/2016</w:t>
      </w:r>
      <w:bookmarkEnd w:id="0"/>
    </w:p>
    <w:p w:rsidR="00D84800" w:rsidRDefault="00D84800" w:rsidP="00D84800">
      <w:pPr>
        <w:tabs>
          <w:tab w:val="right" w:pos="9639"/>
        </w:tabs>
        <w:jc w:val="right"/>
        <w:rPr>
          <w:rFonts w:ascii="Book Antiqua" w:hAnsi="Book Antiqua" w:cs="Arial"/>
          <w:caps/>
        </w:rPr>
      </w:pPr>
      <w:r w:rsidRPr="00D84800">
        <w:rPr>
          <w:rFonts w:ascii="Book Antiqua" w:hAnsi="Book Antiqua" w:cs="Arial"/>
          <w:caps/>
        </w:rPr>
        <w:t>HU/18576/2016</w:t>
      </w:r>
    </w:p>
    <w:p w:rsidR="00D84800" w:rsidRDefault="00D84800" w:rsidP="00D84800">
      <w:pPr>
        <w:tabs>
          <w:tab w:val="right" w:pos="9639"/>
        </w:tabs>
        <w:jc w:val="right"/>
        <w:rPr>
          <w:rFonts w:ascii="Book Antiqua" w:hAnsi="Book Antiqua" w:cs="Arial"/>
          <w:caps/>
        </w:rPr>
      </w:pPr>
      <w:r w:rsidRPr="00D84800">
        <w:rPr>
          <w:rFonts w:ascii="Book Antiqua" w:hAnsi="Book Antiqua" w:cs="Arial"/>
          <w:caps/>
        </w:rPr>
        <w:t>HU/18581/2016</w:t>
      </w:r>
    </w:p>
    <w:p w:rsidR="00D84800" w:rsidRPr="00D84800" w:rsidRDefault="00D84800" w:rsidP="00D84800">
      <w:pPr>
        <w:tabs>
          <w:tab w:val="right" w:pos="9639"/>
        </w:tabs>
        <w:jc w:val="right"/>
        <w:rPr>
          <w:rFonts w:ascii="Book Antiqua" w:hAnsi="Book Antiqua" w:cs="Arial"/>
          <w:caps/>
        </w:rPr>
      </w:pPr>
      <w:r w:rsidRPr="00D84800">
        <w:rPr>
          <w:rFonts w:ascii="Book Antiqua" w:hAnsi="Book Antiqua" w:cs="Arial"/>
          <w:caps/>
        </w:rPr>
        <w:t>HU/18585/2016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302799" w:rsidTr="00302799">
        <w:tc>
          <w:tcPr>
            <w:tcW w:w="6048" w:type="dxa"/>
            <w:shd w:val="clear" w:color="auto" w:fill="auto"/>
          </w:tcPr>
          <w:p w:rsidR="00D22636" w:rsidRPr="00302799" w:rsidRDefault="00D22636" w:rsidP="00302799">
            <w:pPr>
              <w:jc w:val="both"/>
              <w:rPr>
                <w:rFonts w:ascii="Book Antiqua" w:hAnsi="Book Antiqua" w:cs="Arial"/>
                <w:b/>
              </w:rPr>
            </w:pPr>
            <w:r w:rsidRPr="00302799">
              <w:rPr>
                <w:rFonts w:ascii="Book Antiqua" w:hAnsi="Book Antiqua" w:cs="Arial"/>
                <w:b/>
              </w:rPr>
              <w:t xml:space="preserve">Heard at </w:t>
            </w:r>
            <w:r w:rsidR="00D84800" w:rsidRPr="00302799">
              <w:rPr>
                <w:rFonts w:ascii="Book Antiqua" w:hAnsi="Book Antiqua" w:cs="Arial"/>
                <w:b/>
              </w:rPr>
              <w:t xml:space="preserve">Field House </w:t>
            </w:r>
          </w:p>
        </w:tc>
        <w:tc>
          <w:tcPr>
            <w:tcW w:w="3960" w:type="dxa"/>
            <w:shd w:val="clear" w:color="auto" w:fill="auto"/>
          </w:tcPr>
          <w:p w:rsidR="00D22636" w:rsidRPr="00302799" w:rsidRDefault="009D2749" w:rsidP="00302799">
            <w:pPr>
              <w:jc w:val="both"/>
              <w:rPr>
                <w:rFonts w:ascii="Book Antiqua" w:hAnsi="Book Antiqua" w:cs="Arial"/>
                <w:b/>
              </w:rPr>
            </w:pPr>
            <w:r w:rsidRPr="00302799">
              <w:rPr>
                <w:rFonts w:ascii="Book Antiqua" w:hAnsi="Book Antiqua" w:cs="Arial"/>
                <w:b/>
              </w:rPr>
              <w:t>Decision &amp; Reasons</w:t>
            </w:r>
            <w:r w:rsidR="00283659" w:rsidRPr="00302799">
              <w:rPr>
                <w:rFonts w:ascii="Book Antiqua" w:hAnsi="Book Antiqua" w:cs="Arial"/>
                <w:b/>
              </w:rPr>
              <w:t xml:space="preserve"> Promulgated</w:t>
            </w:r>
          </w:p>
        </w:tc>
      </w:tr>
      <w:tr w:rsidR="00D22636" w:rsidRPr="00302799" w:rsidTr="00302799">
        <w:tc>
          <w:tcPr>
            <w:tcW w:w="6048" w:type="dxa"/>
            <w:shd w:val="clear" w:color="auto" w:fill="auto"/>
          </w:tcPr>
          <w:p w:rsidR="00D22636" w:rsidRPr="00302799" w:rsidRDefault="00D22636" w:rsidP="00302799">
            <w:pPr>
              <w:jc w:val="both"/>
              <w:rPr>
                <w:rFonts w:ascii="Book Antiqua" w:hAnsi="Book Antiqua" w:cs="Arial"/>
                <w:b/>
              </w:rPr>
            </w:pPr>
            <w:r w:rsidRPr="00302799">
              <w:rPr>
                <w:rFonts w:ascii="Book Antiqua" w:hAnsi="Book Antiqua" w:cs="Arial"/>
                <w:b/>
              </w:rPr>
              <w:t xml:space="preserve">On </w:t>
            </w:r>
            <w:r w:rsidR="00D84800" w:rsidRPr="00302799">
              <w:rPr>
                <w:rFonts w:ascii="Book Antiqua" w:hAnsi="Book Antiqua" w:cs="Arial"/>
                <w:b/>
              </w:rPr>
              <w:t>5</w:t>
            </w:r>
            <w:r w:rsidR="00D84800" w:rsidRPr="00302799">
              <w:rPr>
                <w:rFonts w:ascii="Book Antiqua" w:hAnsi="Book Antiqua" w:cs="Arial"/>
                <w:b/>
                <w:vertAlign w:val="superscript"/>
              </w:rPr>
              <w:t>th</w:t>
            </w:r>
            <w:r w:rsidR="00D84800" w:rsidRPr="00302799">
              <w:rPr>
                <w:rFonts w:ascii="Book Antiqua" w:hAnsi="Book Antiqua" w:cs="Arial"/>
                <w:b/>
              </w:rPr>
              <w:t xml:space="preserve"> June 2018 </w:t>
            </w:r>
          </w:p>
        </w:tc>
        <w:tc>
          <w:tcPr>
            <w:tcW w:w="3960" w:type="dxa"/>
            <w:shd w:val="clear" w:color="auto" w:fill="auto"/>
          </w:tcPr>
          <w:p w:rsidR="00D22636" w:rsidRPr="00302799" w:rsidRDefault="006C0AB8" w:rsidP="00302799">
            <w:pPr>
              <w:jc w:val="both"/>
              <w:rPr>
                <w:rFonts w:ascii="Book Antiqua" w:hAnsi="Book Antiqua" w:cs="Arial"/>
                <w:b/>
              </w:rPr>
            </w:pPr>
            <w:r>
              <w:rPr>
                <w:rFonts w:ascii="Book Antiqua" w:hAnsi="Book Antiqua" w:cs="Arial"/>
                <w:b/>
              </w:rPr>
              <w:t>21</w:t>
            </w:r>
            <w:r w:rsidRPr="006C0AB8">
              <w:rPr>
                <w:rFonts w:ascii="Book Antiqua" w:hAnsi="Book Antiqua" w:cs="Arial"/>
                <w:b/>
                <w:vertAlign w:val="superscript"/>
              </w:rPr>
              <w:t>st</w:t>
            </w:r>
            <w:r>
              <w:rPr>
                <w:rFonts w:ascii="Book Antiqua" w:hAnsi="Book Antiqua" w:cs="Arial"/>
                <w:b/>
              </w:rPr>
              <w:t xml:space="preserve"> June 2018</w:t>
            </w:r>
          </w:p>
        </w:tc>
      </w:tr>
      <w:tr w:rsidR="00D22636" w:rsidRPr="00302799" w:rsidTr="00302799">
        <w:tc>
          <w:tcPr>
            <w:tcW w:w="6048" w:type="dxa"/>
            <w:shd w:val="clear" w:color="auto" w:fill="auto"/>
          </w:tcPr>
          <w:p w:rsidR="00D22636" w:rsidRPr="00302799" w:rsidRDefault="00D22636" w:rsidP="00302799">
            <w:pPr>
              <w:jc w:val="both"/>
              <w:rPr>
                <w:rFonts w:ascii="Book Antiqua" w:hAnsi="Book Antiqua" w:cs="Arial"/>
                <w:b/>
              </w:rPr>
            </w:pPr>
          </w:p>
        </w:tc>
        <w:tc>
          <w:tcPr>
            <w:tcW w:w="3960" w:type="dxa"/>
            <w:shd w:val="clear" w:color="auto" w:fill="auto"/>
          </w:tcPr>
          <w:p w:rsidR="00D22636" w:rsidRPr="00302799" w:rsidRDefault="00D22636" w:rsidP="00302799">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3B0789"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GRIMES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9D2749" w:rsidRDefault="00D84800" w:rsidP="009D2749">
      <w:pPr>
        <w:jc w:val="center"/>
        <w:rPr>
          <w:rFonts w:ascii="Book Antiqua" w:hAnsi="Book Antiqua" w:cs="Arial"/>
          <w:b/>
          <w:caps/>
        </w:rPr>
      </w:pPr>
      <w:r>
        <w:rPr>
          <w:rFonts w:ascii="Book Antiqua" w:hAnsi="Book Antiqua" w:cs="Arial"/>
          <w:b/>
          <w:caps/>
        </w:rPr>
        <w:t>the Secretary of State for the Home Department</w:t>
      </w:r>
    </w:p>
    <w:p w:rsidR="00704B61" w:rsidRPr="00F5664C" w:rsidRDefault="0062529C"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84800" w:rsidRDefault="005572A7" w:rsidP="00D84800">
      <w:pPr>
        <w:jc w:val="center"/>
        <w:rPr>
          <w:rFonts w:ascii="Book Antiqua" w:hAnsi="Book Antiqua" w:cs="Arial"/>
          <w:b/>
          <w:caps/>
        </w:rPr>
      </w:pPr>
      <w:r>
        <w:rPr>
          <w:rFonts w:ascii="Book Antiqua" w:hAnsi="Book Antiqua" w:cs="Arial"/>
          <w:b/>
          <w:caps/>
        </w:rPr>
        <w:t>AS</w:t>
      </w:r>
      <w:r w:rsidR="002027EE">
        <w:rPr>
          <w:rFonts w:ascii="Book Antiqua" w:hAnsi="Book Antiqua" w:cs="Arial"/>
          <w:b/>
          <w:caps/>
        </w:rPr>
        <w:t xml:space="preserve"> (First </w:t>
      </w:r>
      <w:r w:rsidR="0062529C">
        <w:rPr>
          <w:rFonts w:ascii="Book Antiqua" w:hAnsi="Book Antiqua" w:cs="Arial"/>
          <w:b/>
          <w:caps/>
        </w:rPr>
        <w:t>Respondent</w:t>
      </w:r>
      <w:r w:rsidR="002027EE">
        <w:rPr>
          <w:rFonts w:ascii="Book Antiqua" w:hAnsi="Book Antiqua" w:cs="Arial"/>
          <w:b/>
          <w:caps/>
        </w:rPr>
        <w:t>)</w:t>
      </w:r>
    </w:p>
    <w:p w:rsidR="00D84800" w:rsidRDefault="005572A7" w:rsidP="00D84800">
      <w:pPr>
        <w:jc w:val="center"/>
        <w:rPr>
          <w:rFonts w:ascii="Book Antiqua" w:hAnsi="Book Antiqua" w:cs="Arial"/>
          <w:b/>
          <w:caps/>
        </w:rPr>
      </w:pPr>
      <w:r>
        <w:rPr>
          <w:rFonts w:ascii="Book Antiqua" w:hAnsi="Book Antiqua" w:cs="Arial"/>
          <w:b/>
          <w:caps/>
        </w:rPr>
        <w:t>II</w:t>
      </w:r>
      <w:r w:rsidR="0062529C" w:rsidRPr="00D84800">
        <w:rPr>
          <w:rFonts w:ascii="Book Antiqua" w:hAnsi="Book Antiqua" w:cs="Arial"/>
          <w:b/>
          <w:caps/>
        </w:rPr>
        <w:t xml:space="preserve"> (</w:t>
      </w:r>
      <w:r w:rsidR="002027EE">
        <w:rPr>
          <w:rFonts w:ascii="Book Antiqua" w:hAnsi="Book Antiqua" w:cs="Arial"/>
          <w:b/>
          <w:caps/>
        </w:rPr>
        <w:t xml:space="preserve">Second </w:t>
      </w:r>
      <w:r w:rsidR="0062529C">
        <w:rPr>
          <w:rFonts w:ascii="Book Antiqua" w:hAnsi="Book Antiqua" w:cs="Arial"/>
          <w:b/>
          <w:caps/>
        </w:rPr>
        <w:t>Respondent</w:t>
      </w:r>
      <w:r w:rsidR="002027EE">
        <w:rPr>
          <w:rFonts w:ascii="Book Antiqua" w:hAnsi="Book Antiqua" w:cs="Arial"/>
          <w:b/>
          <w:caps/>
        </w:rPr>
        <w:t>)</w:t>
      </w:r>
    </w:p>
    <w:p w:rsidR="00D84800" w:rsidRDefault="005572A7" w:rsidP="00D84800">
      <w:pPr>
        <w:jc w:val="center"/>
        <w:rPr>
          <w:rFonts w:ascii="Book Antiqua" w:hAnsi="Book Antiqua" w:cs="Arial"/>
          <w:b/>
          <w:caps/>
        </w:rPr>
      </w:pPr>
      <w:r>
        <w:rPr>
          <w:rFonts w:ascii="Book Antiqua" w:hAnsi="Book Antiqua" w:cs="Arial"/>
          <w:b/>
          <w:caps/>
        </w:rPr>
        <w:t>EI</w:t>
      </w:r>
      <w:r w:rsidR="002027EE">
        <w:rPr>
          <w:rFonts w:ascii="Book Antiqua" w:hAnsi="Book Antiqua" w:cs="Arial"/>
          <w:b/>
          <w:caps/>
        </w:rPr>
        <w:t xml:space="preserve"> (Third </w:t>
      </w:r>
      <w:r w:rsidR="0062529C">
        <w:rPr>
          <w:rFonts w:ascii="Book Antiqua" w:hAnsi="Book Antiqua" w:cs="Arial"/>
          <w:b/>
          <w:caps/>
        </w:rPr>
        <w:t>Respondent</w:t>
      </w:r>
      <w:r w:rsidR="002027EE">
        <w:rPr>
          <w:rFonts w:ascii="Book Antiqua" w:hAnsi="Book Antiqua" w:cs="Arial"/>
          <w:b/>
          <w:caps/>
        </w:rPr>
        <w:t>)</w:t>
      </w:r>
    </w:p>
    <w:p w:rsidR="00D84800" w:rsidRPr="00D84800" w:rsidRDefault="005572A7" w:rsidP="00D84800">
      <w:pPr>
        <w:jc w:val="center"/>
        <w:rPr>
          <w:rFonts w:ascii="Book Antiqua" w:hAnsi="Book Antiqua" w:cs="Arial"/>
          <w:b/>
          <w:caps/>
        </w:rPr>
      </w:pPr>
      <w:r>
        <w:rPr>
          <w:rFonts w:ascii="Book Antiqua" w:hAnsi="Book Antiqua" w:cs="Arial"/>
          <w:b/>
          <w:caps/>
        </w:rPr>
        <w:t>EVS</w:t>
      </w:r>
      <w:r w:rsidR="002027EE">
        <w:rPr>
          <w:rFonts w:ascii="Book Antiqua" w:hAnsi="Book Antiqua" w:cs="Arial"/>
          <w:b/>
          <w:caps/>
        </w:rPr>
        <w:t xml:space="preserve"> (Fourth </w:t>
      </w:r>
      <w:r w:rsidR="0062529C">
        <w:rPr>
          <w:rFonts w:ascii="Book Antiqua" w:hAnsi="Book Antiqua" w:cs="Arial"/>
          <w:b/>
          <w:caps/>
        </w:rPr>
        <w:t>Respondent</w:t>
      </w:r>
      <w:r w:rsidR="002027EE">
        <w:rPr>
          <w:rFonts w:ascii="Book Antiqua" w:hAnsi="Book Antiqua" w:cs="Arial"/>
          <w:b/>
          <w:caps/>
        </w:rPr>
        <w:t>)</w:t>
      </w:r>
    </w:p>
    <w:p w:rsidR="00DD5071" w:rsidRPr="00F5664C" w:rsidRDefault="00D84800" w:rsidP="00704B61">
      <w:pPr>
        <w:jc w:val="center"/>
        <w:rPr>
          <w:rFonts w:ascii="Book Antiqua" w:hAnsi="Book Antiqua" w:cs="Arial"/>
          <w:b/>
          <w:caps/>
        </w:rPr>
      </w:pPr>
      <w:r w:rsidRPr="009D2749">
        <w:rPr>
          <w:rFonts w:ascii="Book Antiqua" w:hAnsi="Book Antiqua" w:cs="Arial"/>
          <w:b/>
          <w:caps/>
        </w:rPr>
        <w:t xml:space="preserve">(ANONYMITY DIRECTION </w:t>
      </w:r>
      <w:r>
        <w:rPr>
          <w:rFonts w:ascii="Book Antiqua" w:hAnsi="Book Antiqua" w:cs="Arial"/>
          <w:b/>
          <w:caps/>
        </w:rPr>
        <w:t>made</w:t>
      </w:r>
      <w:r w:rsidRPr="009D2749">
        <w:rPr>
          <w:rFonts w:ascii="Book Antiqua" w:hAnsi="Book Antiqua" w:cs="Arial"/>
          <w:b/>
          <w:caps/>
        </w:rPr>
        <w:t>)</w:t>
      </w:r>
    </w:p>
    <w:p w:rsidR="00DD5071" w:rsidRPr="00F5664C" w:rsidRDefault="0062529C" w:rsidP="00DD5071">
      <w:pPr>
        <w:jc w:val="right"/>
        <w:rPr>
          <w:rFonts w:ascii="Book Antiqua" w:hAnsi="Book Antiqua" w:cs="Arial"/>
          <w:u w:val="single"/>
        </w:rPr>
      </w:pPr>
      <w:r>
        <w:rPr>
          <w:rFonts w:ascii="Book Antiqua" w:hAnsi="Book Antiqua" w:cs="Arial"/>
          <w:u w:val="single"/>
        </w:rPr>
        <w:t>Respondent</w:t>
      </w:r>
      <w:r w:rsidR="00D84800">
        <w:rPr>
          <w:rFonts w:ascii="Book Antiqua" w:hAnsi="Book Antiqua" w:cs="Arial"/>
          <w:u w:val="single"/>
        </w:rPr>
        <w:t>s</w:t>
      </w:r>
    </w:p>
    <w:p w:rsidR="00DD5071" w:rsidRDefault="00DD5071" w:rsidP="00DD5071">
      <w:pPr>
        <w:rPr>
          <w:rFonts w:ascii="Book Antiqua" w:hAnsi="Book Antiqua" w:cs="Arial"/>
          <w:u w:val="single"/>
        </w:rPr>
      </w:pPr>
    </w:p>
    <w:p w:rsidR="00E21051" w:rsidRPr="00F5664C" w:rsidRDefault="00E2105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62529C">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D84800">
        <w:rPr>
          <w:rFonts w:ascii="Book Antiqua" w:hAnsi="Book Antiqua" w:cs="Arial"/>
        </w:rPr>
        <w:t xml:space="preserve">Mr T Lindsay, </w:t>
      </w:r>
      <w:r w:rsidR="002027EE">
        <w:rPr>
          <w:rFonts w:ascii="Book Antiqua" w:hAnsi="Book Antiqua" w:cs="Arial"/>
        </w:rPr>
        <w:t xml:space="preserve">Senior </w:t>
      </w:r>
      <w:r w:rsidR="00D84800">
        <w:rPr>
          <w:rFonts w:ascii="Book Antiqua" w:hAnsi="Book Antiqua" w:cs="Arial"/>
        </w:rPr>
        <w:t xml:space="preserve">Home Office Presenting Officer </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62529C">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D84800">
        <w:rPr>
          <w:rFonts w:ascii="Book Antiqua" w:hAnsi="Book Antiqua" w:cs="Arial"/>
        </w:rPr>
        <w:t>Mr S K</w:t>
      </w:r>
      <w:r w:rsidR="002027EE">
        <w:rPr>
          <w:rFonts w:ascii="Book Antiqua" w:hAnsi="Book Antiqua" w:cs="Arial"/>
        </w:rPr>
        <w:t>h</w:t>
      </w:r>
      <w:r w:rsidR="00D84800">
        <w:rPr>
          <w:rFonts w:ascii="Book Antiqua" w:hAnsi="Book Antiqua" w:cs="Arial"/>
        </w:rPr>
        <w:t>an</w:t>
      </w:r>
      <w:r w:rsidR="002027EE">
        <w:rPr>
          <w:rFonts w:ascii="Book Antiqua" w:hAnsi="Book Antiqua" w:cs="Arial"/>
        </w:rPr>
        <w:t xml:space="preserve"> </w:t>
      </w:r>
      <w:r w:rsidR="00D84800">
        <w:rPr>
          <w:rFonts w:ascii="Book Antiqua" w:hAnsi="Book Antiqua" w:cs="Arial"/>
        </w:rPr>
        <w:t xml:space="preserve">instructed by Malik &amp; Malik Solicitors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D274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2027EE" w:rsidRPr="00BB05DE" w:rsidRDefault="0062529C">
      <w:pPr>
        <w:numPr>
          <w:ilvl w:val="0"/>
          <w:numId w:val="3"/>
        </w:numPr>
        <w:spacing w:before="240"/>
        <w:jc w:val="both"/>
        <w:rPr>
          <w:rFonts w:ascii="Book Antiqua" w:hAnsi="Book Antiqua" w:cs="Arial"/>
        </w:rPr>
      </w:pPr>
      <w:r w:rsidRPr="00BB05DE">
        <w:rPr>
          <w:rFonts w:ascii="Book Antiqua" w:hAnsi="Book Antiqua" w:cs="Arial"/>
        </w:rPr>
        <w:lastRenderedPageBreak/>
        <w:t>Although</w:t>
      </w:r>
      <w:r w:rsidR="002027EE" w:rsidRPr="00BB05DE">
        <w:rPr>
          <w:rFonts w:ascii="Book Antiqua" w:hAnsi="Book Antiqua" w:cs="Arial"/>
        </w:rPr>
        <w:t xml:space="preserve"> the </w:t>
      </w:r>
      <w:r w:rsidR="002027EE">
        <w:rPr>
          <w:rFonts w:ascii="Book Antiqua" w:hAnsi="Book Antiqua" w:cs="Arial"/>
        </w:rPr>
        <w:t xml:space="preserve">Secretary of State is the </w:t>
      </w:r>
      <w:r>
        <w:rPr>
          <w:rFonts w:ascii="Book Antiqua" w:hAnsi="Book Antiqua" w:cs="Arial"/>
        </w:rPr>
        <w:t>Appellant</w:t>
      </w:r>
      <w:r w:rsidR="002027EE" w:rsidRPr="00BB05DE">
        <w:rPr>
          <w:rFonts w:ascii="Book Antiqua" w:hAnsi="Book Antiqua" w:cs="Arial"/>
        </w:rPr>
        <w:t xml:space="preserve"> </w:t>
      </w:r>
      <w:r w:rsidR="002027EE">
        <w:rPr>
          <w:rFonts w:ascii="Book Antiqua" w:hAnsi="Book Antiqua" w:cs="Arial"/>
        </w:rPr>
        <w:t xml:space="preserve">before this Tribunal I refer to the </w:t>
      </w:r>
      <w:r w:rsidR="002027EE" w:rsidRPr="00BB05DE">
        <w:rPr>
          <w:rFonts w:ascii="Book Antiqua" w:hAnsi="Book Antiqua" w:cs="Arial"/>
        </w:rPr>
        <w:t xml:space="preserve">parties as they were </w:t>
      </w:r>
      <w:r w:rsidR="002027EE">
        <w:rPr>
          <w:rFonts w:ascii="Book Antiqua" w:hAnsi="Book Antiqua" w:cs="Arial"/>
        </w:rPr>
        <w:t xml:space="preserve">before </w:t>
      </w:r>
      <w:r w:rsidR="002027EE" w:rsidRPr="00BB05DE">
        <w:rPr>
          <w:rFonts w:ascii="Book Antiqua" w:hAnsi="Book Antiqua" w:cs="Arial"/>
        </w:rPr>
        <w:t xml:space="preserve">the First-tier Tribunal.  </w:t>
      </w:r>
    </w:p>
    <w:p w:rsidR="002027EE" w:rsidRDefault="002027EE" w:rsidP="00DC2ABF">
      <w:pPr>
        <w:numPr>
          <w:ilvl w:val="0"/>
          <w:numId w:val="3"/>
        </w:numPr>
        <w:spacing w:before="240"/>
        <w:jc w:val="both"/>
        <w:rPr>
          <w:rFonts w:ascii="Book Antiqua" w:hAnsi="Book Antiqua" w:cs="Arial"/>
        </w:rPr>
      </w:pPr>
      <w:r>
        <w:rPr>
          <w:rFonts w:ascii="Book Antiqua" w:hAnsi="Book Antiqua" w:cs="Arial"/>
        </w:rPr>
        <w:t xml:space="preserve">The </w:t>
      </w:r>
      <w:r w:rsidR="0062529C">
        <w:rPr>
          <w:rFonts w:ascii="Book Antiqua" w:hAnsi="Book Antiqua" w:cs="Arial"/>
        </w:rPr>
        <w:t>Appellant</w:t>
      </w:r>
      <w:r>
        <w:rPr>
          <w:rFonts w:ascii="Book Antiqua" w:hAnsi="Book Antiqua" w:cs="Arial"/>
        </w:rPr>
        <w:t xml:space="preserve">s, nationals of the </w:t>
      </w:r>
      <w:smartTag w:uri="urn:schemas-microsoft-com:office:smarttags" w:element="country-region">
        <w:r>
          <w:rPr>
            <w:rFonts w:ascii="Book Antiqua" w:hAnsi="Book Antiqua" w:cs="Arial"/>
          </w:rPr>
          <w:t>Ukraine</w:t>
        </w:r>
      </w:smartTag>
      <w:r>
        <w:rPr>
          <w:rFonts w:ascii="Book Antiqua" w:hAnsi="Book Antiqua" w:cs="Arial"/>
        </w:rPr>
        <w:t>, appealed to the First-tier Tribunal against a decision of the Secretary of State of 13</w:t>
      </w:r>
      <w:r w:rsidRPr="002027EE">
        <w:rPr>
          <w:rFonts w:ascii="Book Antiqua" w:hAnsi="Book Antiqua" w:cs="Arial"/>
          <w:vertAlign w:val="superscript"/>
        </w:rPr>
        <w:t>th</w:t>
      </w:r>
      <w:r>
        <w:rPr>
          <w:rFonts w:ascii="Book Antiqua" w:hAnsi="Book Antiqua" w:cs="Arial"/>
        </w:rPr>
        <w:t xml:space="preserve"> May 2016 refusing their applications for leave to remain on the basis of their private and family life in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First-tier Tribunal Judge Hussain allowed the appeals in a decision dated 20</w:t>
      </w:r>
      <w:r w:rsidRPr="002027EE">
        <w:rPr>
          <w:rFonts w:ascii="Book Antiqua" w:hAnsi="Book Antiqua" w:cs="Arial"/>
          <w:vertAlign w:val="superscript"/>
        </w:rPr>
        <w:t>th</w:t>
      </w:r>
      <w:r>
        <w:rPr>
          <w:rFonts w:ascii="Book Antiqua" w:hAnsi="Book Antiqua" w:cs="Arial"/>
        </w:rPr>
        <w:t xml:space="preserve"> November 2017.  The Secretary of State now appeals to this Tribunal with permission granted by First-tier Tribunal Judge Davies on 24</w:t>
      </w:r>
      <w:r w:rsidRPr="002027EE">
        <w:rPr>
          <w:rFonts w:ascii="Book Antiqua" w:hAnsi="Book Antiqua" w:cs="Arial"/>
          <w:vertAlign w:val="superscript"/>
        </w:rPr>
        <w:t>th</w:t>
      </w:r>
      <w:r>
        <w:rPr>
          <w:rFonts w:ascii="Book Antiqua" w:hAnsi="Book Antiqua" w:cs="Arial"/>
        </w:rPr>
        <w:t xml:space="preserve"> April 2018.  </w:t>
      </w:r>
    </w:p>
    <w:p w:rsidR="00DC2ABF" w:rsidRDefault="002027EE" w:rsidP="00DC2ABF">
      <w:pPr>
        <w:numPr>
          <w:ilvl w:val="0"/>
          <w:numId w:val="3"/>
        </w:numPr>
        <w:spacing w:before="240"/>
        <w:jc w:val="both"/>
        <w:rPr>
          <w:rFonts w:ascii="Book Antiqua" w:hAnsi="Book Antiqua" w:cs="Arial"/>
        </w:rPr>
      </w:pPr>
      <w:r>
        <w:rPr>
          <w:rFonts w:ascii="Book Antiqua" w:hAnsi="Book Antiqua" w:cs="Arial"/>
        </w:rPr>
        <w:t xml:space="preserve">The background to this appeal is that the First </w:t>
      </w:r>
      <w:r w:rsidR="0062529C">
        <w:rPr>
          <w:rFonts w:ascii="Book Antiqua" w:hAnsi="Book Antiqua" w:cs="Arial"/>
        </w:rPr>
        <w:t>Appellant</w:t>
      </w:r>
      <w:r>
        <w:rPr>
          <w:rFonts w:ascii="Book Antiqua" w:hAnsi="Book Antiqua" w:cs="Arial"/>
        </w:rPr>
        <w:t xml:space="preserve"> claims to have entered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on 13</w:t>
      </w:r>
      <w:r w:rsidRPr="002027EE">
        <w:rPr>
          <w:rFonts w:ascii="Book Antiqua" w:hAnsi="Book Antiqua" w:cs="Arial"/>
          <w:vertAlign w:val="superscript"/>
        </w:rPr>
        <w:t>th</w:t>
      </w:r>
      <w:r>
        <w:rPr>
          <w:rFonts w:ascii="Book Antiqua" w:hAnsi="Book Antiqua" w:cs="Arial"/>
        </w:rPr>
        <w:t xml:space="preserve"> April 2006 and the Second </w:t>
      </w:r>
      <w:r w:rsidR="0062529C">
        <w:rPr>
          <w:rFonts w:ascii="Book Antiqua" w:hAnsi="Book Antiqua" w:cs="Arial"/>
        </w:rPr>
        <w:t>Appellant</w:t>
      </w:r>
      <w:r>
        <w:rPr>
          <w:rFonts w:ascii="Book Antiqua" w:hAnsi="Book Antiqua" w:cs="Arial"/>
        </w:rPr>
        <w:t>, his wife, on 26</w:t>
      </w:r>
      <w:r w:rsidRPr="002027EE">
        <w:rPr>
          <w:rFonts w:ascii="Book Antiqua" w:hAnsi="Book Antiqua" w:cs="Arial"/>
          <w:vertAlign w:val="superscript"/>
        </w:rPr>
        <w:t>th</w:t>
      </w:r>
      <w:r>
        <w:rPr>
          <w:rFonts w:ascii="Book Antiqua" w:hAnsi="Book Antiqua" w:cs="Arial"/>
        </w:rPr>
        <w:t xml:space="preserve"> April 2006.   </w:t>
      </w:r>
      <w:r w:rsidR="00367F2D">
        <w:rPr>
          <w:rFonts w:ascii="Book Antiqua" w:hAnsi="Book Antiqua" w:cs="Arial"/>
        </w:rPr>
        <w:t>The</w:t>
      </w:r>
      <w:r w:rsidR="005572A7">
        <w:rPr>
          <w:rFonts w:ascii="Book Antiqua" w:hAnsi="Book Antiqua" w:cs="Arial"/>
        </w:rPr>
        <w:t>ir children, the third and fourth Appellants, were born</w:t>
      </w:r>
      <w:r w:rsidR="00367F2D">
        <w:rPr>
          <w:rFonts w:ascii="Book Antiqua" w:hAnsi="Book Antiqua" w:cs="Arial"/>
        </w:rPr>
        <w:t xml:space="preserve"> in the UK on 18</w:t>
      </w:r>
      <w:r w:rsidR="00367F2D" w:rsidRPr="00367F2D">
        <w:rPr>
          <w:rFonts w:ascii="Book Antiqua" w:hAnsi="Book Antiqua" w:cs="Arial"/>
          <w:vertAlign w:val="superscript"/>
        </w:rPr>
        <w:t>th</w:t>
      </w:r>
      <w:r w:rsidR="00367F2D">
        <w:rPr>
          <w:rFonts w:ascii="Book Antiqua" w:hAnsi="Book Antiqua" w:cs="Arial"/>
        </w:rPr>
        <w:t xml:space="preserve"> June 2008 and 27</w:t>
      </w:r>
      <w:r w:rsidR="00367F2D" w:rsidRPr="00367F2D">
        <w:rPr>
          <w:rFonts w:ascii="Book Antiqua" w:hAnsi="Book Antiqua" w:cs="Arial"/>
          <w:vertAlign w:val="superscript"/>
        </w:rPr>
        <w:t>th</w:t>
      </w:r>
      <w:r w:rsidR="00367F2D">
        <w:rPr>
          <w:rFonts w:ascii="Book Antiqua" w:hAnsi="Book Antiqua" w:cs="Arial"/>
        </w:rPr>
        <w:t xml:space="preserve"> July 2012</w:t>
      </w:r>
      <w:r w:rsidR="005572A7">
        <w:rPr>
          <w:rFonts w:ascii="Book Antiqua" w:hAnsi="Book Antiqua" w:cs="Arial"/>
        </w:rPr>
        <w:t xml:space="preserve"> respectively</w:t>
      </w:r>
      <w:r w:rsidR="00367F2D">
        <w:rPr>
          <w:rFonts w:ascii="Book Antiqua" w:hAnsi="Book Antiqua" w:cs="Arial"/>
        </w:rPr>
        <w:t>.  On 25</w:t>
      </w:r>
      <w:r w:rsidR="00367F2D" w:rsidRPr="00367F2D">
        <w:rPr>
          <w:rFonts w:ascii="Book Antiqua" w:hAnsi="Book Antiqua" w:cs="Arial"/>
          <w:vertAlign w:val="superscript"/>
        </w:rPr>
        <w:t>th</w:t>
      </w:r>
      <w:r w:rsidR="00367F2D">
        <w:rPr>
          <w:rFonts w:ascii="Book Antiqua" w:hAnsi="Book Antiqua" w:cs="Arial"/>
        </w:rPr>
        <w:t xml:space="preserve"> July 2015 the </w:t>
      </w:r>
      <w:r w:rsidR="0062529C">
        <w:rPr>
          <w:rFonts w:ascii="Book Antiqua" w:hAnsi="Book Antiqua" w:cs="Arial"/>
        </w:rPr>
        <w:t>Appellant</w:t>
      </w:r>
      <w:r w:rsidR="00367F2D">
        <w:rPr>
          <w:rFonts w:ascii="Book Antiqua" w:hAnsi="Book Antiqua" w:cs="Arial"/>
        </w:rPr>
        <w:t xml:space="preserve">s made application for leave to remain to the Home Office on the basis of private and family life.  The Secretary of State refused those applications considering the Immigration Rules.  The Secretary of State had decided that the First </w:t>
      </w:r>
      <w:r w:rsidR="0062529C">
        <w:rPr>
          <w:rFonts w:ascii="Book Antiqua" w:hAnsi="Book Antiqua" w:cs="Arial"/>
        </w:rPr>
        <w:t>Appellant</w:t>
      </w:r>
      <w:r w:rsidR="00367F2D">
        <w:rPr>
          <w:rFonts w:ascii="Book Antiqua" w:hAnsi="Book Antiqua" w:cs="Arial"/>
        </w:rPr>
        <w:t xml:space="preserve">, although he met the suitability requirements, did not meet the requirements under the ten year rule because his partner was in the </w:t>
      </w:r>
      <w:smartTag w:uri="urn:schemas-microsoft-com:office:smarttags" w:element="country-region">
        <w:r w:rsidR="00367F2D">
          <w:rPr>
            <w:rFonts w:ascii="Book Antiqua" w:hAnsi="Book Antiqua" w:cs="Arial"/>
          </w:rPr>
          <w:t>UK</w:t>
        </w:r>
      </w:smartTag>
      <w:r w:rsidR="00367F2D">
        <w:rPr>
          <w:rFonts w:ascii="Book Antiqua" w:hAnsi="Book Antiqua" w:cs="Arial"/>
        </w:rPr>
        <w:t xml:space="preserve"> unlawfully and the First </w:t>
      </w:r>
      <w:r w:rsidR="0062529C">
        <w:rPr>
          <w:rFonts w:ascii="Book Antiqua" w:hAnsi="Book Antiqua" w:cs="Arial"/>
        </w:rPr>
        <w:t>Appellant</w:t>
      </w:r>
      <w:r w:rsidR="00367F2D">
        <w:rPr>
          <w:rFonts w:ascii="Book Antiqua" w:hAnsi="Book Antiqua" w:cs="Arial"/>
        </w:rPr>
        <w:t xml:space="preserve"> himself was in the </w:t>
      </w:r>
      <w:smartTag w:uri="urn:schemas-microsoft-com:office:smarttags" w:element="place">
        <w:smartTag w:uri="urn:schemas-microsoft-com:office:smarttags" w:element="country-region">
          <w:r w:rsidR="00367F2D">
            <w:rPr>
              <w:rFonts w:ascii="Book Antiqua" w:hAnsi="Book Antiqua" w:cs="Arial"/>
            </w:rPr>
            <w:t>UK</w:t>
          </w:r>
        </w:smartTag>
      </w:smartTag>
      <w:r w:rsidR="00367F2D">
        <w:rPr>
          <w:rFonts w:ascii="Book Antiqua" w:hAnsi="Book Antiqua" w:cs="Arial"/>
        </w:rPr>
        <w:t xml:space="preserve"> illegally.  It was accepted by the Secretary of State that there was a genuine and subsisting relationship between the First and </w:t>
      </w:r>
      <w:r w:rsidR="0062529C">
        <w:rPr>
          <w:rFonts w:ascii="Book Antiqua" w:hAnsi="Book Antiqua" w:cs="Arial"/>
        </w:rPr>
        <w:t>Second</w:t>
      </w:r>
      <w:r w:rsidR="00367F2D">
        <w:rPr>
          <w:rFonts w:ascii="Book Antiqua" w:hAnsi="Book Antiqua" w:cs="Arial"/>
        </w:rPr>
        <w:t xml:space="preserve"> </w:t>
      </w:r>
      <w:r w:rsidR="0062529C">
        <w:rPr>
          <w:rFonts w:ascii="Book Antiqua" w:hAnsi="Book Antiqua" w:cs="Arial"/>
        </w:rPr>
        <w:t>Appellant</w:t>
      </w:r>
      <w:r w:rsidR="00721106">
        <w:rPr>
          <w:rFonts w:ascii="Book Antiqua" w:hAnsi="Book Antiqua" w:cs="Arial"/>
        </w:rPr>
        <w:t>s</w:t>
      </w:r>
      <w:r w:rsidR="00F63974">
        <w:rPr>
          <w:rFonts w:ascii="Book Antiqua" w:hAnsi="Book Antiqua" w:cs="Arial"/>
        </w:rPr>
        <w:t>, h</w:t>
      </w:r>
      <w:r w:rsidR="008A3539">
        <w:rPr>
          <w:rFonts w:ascii="Book Antiqua" w:hAnsi="Book Antiqua" w:cs="Arial"/>
        </w:rPr>
        <w:t xml:space="preserve">owever the Secretary of State considered that paragraph EX.1. and EX.2. did not apply.  The Secretary of State also considered the applications under paragraph 276ADE.  The Secretary of State considered each member of the family in relation to the Immigration Rules and decided that they did not meet the requirements.  The Secretary of State considered whether there were any exceptional circumstances to justify the grant of leave to the </w:t>
      </w:r>
      <w:r w:rsidR="0062529C">
        <w:rPr>
          <w:rFonts w:ascii="Book Antiqua" w:hAnsi="Book Antiqua" w:cs="Arial"/>
        </w:rPr>
        <w:t>Appellant</w:t>
      </w:r>
      <w:r w:rsidR="008A3539">
        <w:rPr>
          <w:rFonts w:ascii="Book Antiqua" w:hAnsi="Book Antiqua" w:cs="Arial"/>
        </w:rPr>
        <w:t xml:space="preserve">s outside the Immigration Rules and concluded that there were not.  </w:t>
      </w:r>
    </w:p>
    <w:p w:rsidR="008A3539" w:rsidRDefault="008A3539" w:rsidP="00DC2ABF">
      <w:pPr>
        <w:numPr>
          <w:ilvl w:val="0"/>
          <w:numId w:val="3"/>
        </w:numPr>
        <w:spacing w:before="240"/>
        <w:jc w:val="both"/>
        <w:rPr>
          <w:rFonts w:ascii="Book Antiqua" w:hAnsi="Book Antiqua" w:cs="Arial"/>
        </w:rPr>
      </w:pPr>
      <w:r>
        <w:rPr>
          <w:rFonts w:ascii="Book Antiqua" w:hAnsi="Book Antiqua" w:cs="Arial"/>
        </w:rPr>
        <w:t xml:space="preserve">The First-tier Tribunal Judge heard oral evidence from the First and Second </w:t>
      </w:r>
      <w:r w:rsidR="0062529C">
        <w:rPr>
          <w:rFonts w:ascii="Book Antiqua" w:hAnsi="Book Antiqua" w:cs="Arial"/>
        </w:rPr>
        <w:t>Appellant</w:t>
      </w:r>
      <w:r>
        <w:rPr>
          <w:rFonts w:ascii="Book Antiqua" w:hAnsi="Book Antiqua" w:cs="Arial"/>
        </w:rPr>
        <w:t xml:space="preserve">s.  In considering the appeal the judge firstly considered the position of the Third </w:t>
      </w:r>
      <w:r w:rsidR="0062529C">
        <w:rPr>
          <w:rFonts w:ascii="Book Antiqua" w:hAnsi="Book Antiqua" w:cs="Arial"/>
        </w:rPr>
        <w:t>Appellant</w:t>
      </w:r>
      <w:r>
        <w:rPr>
          <w:rFonts w:ascii="Book Antiqua" w:hAnsi="Book Antiqua" w:cs="Arial"/>
        </w:rPr>
        <w:t xml:space="preserve">.  The judge noted that the Secretary of State does not dispute that the Third </w:t>
      </w:r>
      <w:r w:rsidR="0062529C">
        <w:rPr>
          <w:rFonts w:ascii="Book Antiqua" w:hAnsi="Book Antiqua" w:cs="Arial"/>
        </w:rPr>
        <w:t>Appellant</w:t>
      </w:r>
      <w:r>
        <w:rPr>
          <w:rFonts w:ascii="Book Antiqua" w:hAnsi="Book Antiqua" w:cs="Arial"/>
        </w:rPr>
        <w:t xml:space="preserve"> had by the time of the hearing lived in the UK for nine years but the judge noted that</w:t>
      </w:r>
      <w:r w:rsidR="005572A7">
        <w:rPr>
          <w:rFonts w:ascii="Book Antiqua" w:hAnsi="Book Antiqua" w:cs="Arial"/>
        </w:rPr>
        <w:t>,</w:t>
      </w:r>
      <w:r>
        <w:rPr>
          <w:rFonts w:ascii="Book Antiqua" w:hAnsi="Book Antiqua" w:cs="Arial"/>
        </w:rPr>
        <w:t xml:space="preserve"> </w:t>
      </w:r>
      <w:r w:rsidR="005572A7">
        <w:rPr>
          <w:rFonts w:ascii="Book Antiqua" w:hAnsi="Book Antiqua" w:cs="Arial"/>
        </w:rPr>
        <w:t>as</w:t>
      </w:r>
      <w:r>
        <w:rPr>
          <w:rFonts w:ascii="Book Antiqua" w:hAnsi="Book Antiqua" w:cs="Arial"/>
        </w:rPr>
        <w:t xml:space="preserve"> the Third </w:t>
      </w:r>
      <w:r w:rsidR="0062529C">
        <w:rPr>
          <w:rFonts w:ascii="Book Antiqua" w:hAnsi="Book Antiqua" w:cs="Arial"/>
        </w:rPr>
        <w:t>Appellant</w:t>
      </w:r>
      <w:r>
        <w:rPr>
          <w:rFonts w:ascii="Book Antiqua" w:hAnsi="Book Antiqua" w:cs="Arial"/>
        </w:rPr>
        <w:t xml:space="preserve"> had not been in the UK for seven years at the date of </w:t>
      </w:r>
      <w:r w:rsidR="00165B5F">
        <w:rPr>
          <w:rFonts w:ascii="Book Antiqua" w:hAnsi="Book Antiqua" w:cs="Arial"/>
        </w:rPr>
        <w:t xml:space="preserve">the </w:t>
      </w:r>
      <w:r>
        <w:rPr>
          <w:rFonts w:ascii="Book Antiqua" w:hAnsi="Book Antiqua" w:cs="Arial"/>
        </w:rPr>
        <w:t>application</w:t>
      </w:r>
      <w:r w:rsidR="005572A7">
        <w:rPr>
          <w:rFonts w:ascii="Book Antiqua" w:hAnsi="Book Antiqua" w:cs="Arial"/>
        </w:rPr>
        <w:t>,</w:t>
      </w:r>
      <w:r>
        <w:rPr>
          <w:rFonts w:ascii="Book Antiqua" w:hAnsi="Book Antiqua" w:cs="Arial"/>
        </w:rPr>
        <w:t xml:space="preserve"> she did not meet the requirements of the Immigration Rules.  The judge went on to consider the Third </w:t>
      </w:r>
      <w:r w:rsidR="0062529C">
        <w:rPr>
          <w:rFonts w:ascii="Book Antiqua" w:hAnsi="Book Antiqua" w:cs="Arial"/>
        </w:rPr>
        <w:t>Appellant</w:t>
      </w:r>
      <w:r>
        <w:rPr>
          <w:rFonts w:ascii="Book Antiqua" w:hAnsi="Book Antiqua" w:cs="Arial"/>
        </w:rPr>
        <w:t xml:space="preserve">’s appeal outside of the Immigration Rules looking at the circumstances at the date of hearing.  The judge considered the relevant factors at paragraphs 27 to 31 concluding that it would not be reasonable to expect the Third </w:t>
      </w:r>
      <w:r w:rsidR="0062529C">
        <w:rPr>
          <w:rFonts w:ascii="Book Antiqua" w:hAnsi="Book Antiqua" w:cs="Arial"/>
        </w:rPr>
        <w:t>Appellant</w:t>
      </w:r>
      <w:r>
        <w:rPr>
          <w:rFonts w:ascii="Book Antiqua" w:hAnsi="Book Antiqua" w:cs="Arial"/>
        </w:rPr>
        <w:t xml:space="preserve"> to leave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On that basis the judge went on to find </w:t>
      </w:r>
      <w:r w:rsidR="00766055">
        <w:rPr>
          <w:rFonts w:ascii="Book Antiqua" w:hAnsi="Book Antiqua" w:cs="Arial"/>
        </w:rPr>
        <w:t xml:space="preserve">that it would be disproportionate to remove the other </w:t>
      </w:r>
      <w:r w:rsidR="0062529C">
        <w:rPr>
          <w:rFonts w:ascii="Book Antiqua" w:hAnsi="Book Antiqua" w:cs="Arial"/>
        </w:rPr>
        <w:t>Appellant</w:t>
      </w:r>
      <w:r w:rsidR="00766055">
        <w:rPr>
          <w:rFonts w:ascii="Book Antiqua" w:hAnsi="Book Antiqua" w:cs="Arial"/>
        </w:rPr>
        <w:t xml:space="preserve">s in light of the family life they enjoy with the Third </w:t>
      </w:r>
      <w:r w:rsidR="0062529C">
        <w:rPr>
          <w:rFonts w:ascii="Book Antiqua" w:hAnsi="Book Antiqua" w:cs="Arial"/>
        </w:rPr>
        <w:t>Appellant</w:t>
      </w:r>
      <w:r w:rsidR="00C51BFE">
        <w:rPr>
          <w:rFonts w:ascii="Book Antiqua" w:hAnsi="Book Antiqua" w:cs="Arial"/>
        </w:rPr>
        <w:t>.  The appeals were allowed.</w:t>
      </w:r>
    </w:p>
    <w:p w:rsidR="005572A7" w:rsidRDefault="00FD054A" w:rsidP="00DC2ABF">
      <w:pPr>
        <w:numPr>
          <w:ilvl w:val="0"/>
          <w:numId w:val="3"/>
        </w:numPr>
        <w:spacing w:before="240"/>
        <w:jc w:val="both"/>
        <w:rPr>
          <w:rFonts w:ascii="Book Antiqua" w:hAnsi="Book Antiqua" w:cs="Arial"/>
        </w:rPr>
      </w:pPr>
      <w:r>
        <w:rPr>
          <w:rFonts w:ascii="Book Antiqua" w:hAnsi="Book Antiqua" w:cs="Arial"/>
        </w:rPr>
        <w:t xml:space="preserve">The Secretary of State put forward one </w:t>
      </w:r>
      <w:r w:rsidR="0062529C">
        <w:rPr>
          <w:rFonts w:ascii="Book Antiqua" w:hAnsi="Book Antiqua" w:cs="Arial"/>
        </w:rPr>
        <w:t>ground</w:t>
      </w:r>
      <w:r>
        <w:rPr>
          <w:rFonts w:ascii="Book Antiqua" w:hAnsi="Book Antiqua" w:cs="Arial"/>
        </w:rPr>
        <w:t xml:space="preserve"> of appeal.  It is contended that the judge erred in failing to give adequate reasons for findings on a </w:t>
      </w:r>
      <w:r w:rsidR="0062529C">
        <w:rPr>
          <w:rFonts w:ascii="Book Antiqua" w:hAnsi="Book Antiqua" w:cs="Arial"/>
        </w:rPr>
        <w:t>material</w:t>
      </w:r>
      <w:r>
        <w:rPr>
          <w:rFonts w:ascii="Book Antiqua" w:hAnsi="Book Antiqua" w:cs="Arial"/>
        </w:rPr>
        <w:t xml:space="preserve"> matter.  It is contended in the </w:t>
      </w:r>
      <w:r w:rsidR="002542EA">
        <w:rPr>
          <w:rFonts w:ascii="Book Antiqua" w:hAnsi="Book Antiqua" w:cs="Arial"/>
        </w:rPr>
        <w:t xml:space="preserve">Grounds of Appeal </w:t>
      </w:r>
      <w:r>
        <w:rPr>
          <w:rFonts w:ascii="Book Antiqua" w:hAnsi="Book Antiqua" w:cs="Arial"/>
        </w:rPr>
        <w:t xml:space="preserve">that the judge failed to have regard to a number of points in considering whether the removal of the Third </w:t>
      </w:r>
      <w:r w:rsidR="0062529C">
        <w:rPr>
          <w:rFonts w:ascii="Book Antiqua" w:hAnsi="Book Antiqua" w:cs="Arial"/>
        </w:rPr>
        <w:t>Appellant</w:t>
      </w:r>
      <w:r>
        <w:rPr>
          <w:rFonts w:ascii="Book Antiqua" w:hAnsi="Book Antiqua" w:cs="Arial"/>
        </w:rPr>
        <w:t xml:space="preserve"> </w:t>
      </w:r>
      <w:r w:rsidR="002542EA">
        <w:rPr>
          <w:rFonts w:ascii="Book Antiqua" w:hAnsi="Book Antiqua" w:cs="Arial"/>
        </w:rPr>
        <w:t xml:space="preserve">would be </w:t>
      </w:r>
      <w:r w:rsidR="002542EA">
        <w:rPr>
          <w:rFonts w:ascii="Book Antiqua" w:hAnsi="Book Antiqua" w:cs="Arial"/>
        </w:rPr>
        <w:lastRenderedPageBreak/>
        <w:t>reasonable</w:t>
      </w:r>
      <w:r w:rsidR="005572A7">
        <w:rPr>
          <w:rFonts w:ascii="Book Antiqua" w:hAnsi="Book Antiqua" w:cs="Arial"/>
        </w:rPr>
        <w:t>. The Secretary of State points out that</w:t>
      </w:r>
      <w:r w:rsidR="002542EA">
        <w:rPr>
          <w:rFonts w:ascii="Book Antiqua" w:hAnsi="Book Antiqua" w:cs="Arial"/>
        </w:rPr>
        <w:t xml:space="preserve"> as the Third </w:t>
      </w:r>
      <w:r w:rsidR="0062529C">
        <w:rPr>
          <w:rFonts w:ascii="Book Antiqua" w:hAnsi="Book Antiqua" w:cs="Arial"/>
        </w:rPr>
        <w:t>Appellant</w:t>
      </w:r>
      <w:r w:rsidR="002542EA">
        <w:rPr>
          <w:rFonts w:ascii="Book Antiqua" w:hAnsi="Book Antiqua" w:cs="Arial"/>
        </w:rPr>
        <w:t xml:space="preserve"> was found to be an above average student [27] she should have little difficulty in learning Ukrainian and adapting to life there where she would be supporte</w:t>
      </w:r>
      <w:r w:rsidR="005572A7">
        <w:rPr>
          <w:rFonts w:ascii="Book Antiqua" w:hAnsi="Book Antiqua" w:cs="Arial"/>
        </w:rPr>
        <w:t xml:space="preserve">d by her parents and siblings. </w:t>
      </w:r>
      <w:r w:rsidR="002542EA">
        <w:rPr>
          <w:rFonts w:ascii="Book Antiqua" w:hAnsi="Book Antiqua" w:cs="Arial"/>
        </w:rPr>
        <w:t xml:space="preserve">The Secretary of State contends in the Grounds of Appeal that the Third </w:t>
      </w:r>
      <w:r w:rsidR="0062529C">
        <w:rPr>
          <w:rFonts w:ascii="Book Antiqua" w:hAnsi="Book Antiqua" w:cs="Arial"/>
        </w:rPr>
        <w:t>Appellant</w:t>
      </w:r>
      <w:r w:rsidR="002542EA">
        <w:rPr>
          <w:rFonts w:ascii="Book Antiqua" w:hAnsi="Book Antiqua" w:cs="Arial"/>
        </w:rPr>
        <w:t xml:space="preserve"> does not meet the requirements of EX.1</w:t>
      </w:r>
      <w:r w:rsidR="005572A7">
        <w:rPr>
          <w:rFonts w:ascii="Book Antiqua" w:hAnsi="Book Antiqua" w:cs="Arial"/>
        </w:rPr>
        <w:t xml:space="preserve"> and </w:t>
      </w:r>
      <w:r w:rsidR="002542EA">
        <w:rPr>
          <w:rFonts w:ascii="Book Antiqua" w:hAnsi="Book Antiqua" w:cs="Arial"/>
        </w:rPr>
        <w:t xml:space="preserve">that it would not be unreasonable to expect the </w:t>
      </w:r>
      <w:r w:rsidR="0062529C">
        <w:rPr>
          <w:rFonts w:ascii="Book Antiqua" w:hAnsi="Book Antiqua" w:cs="Arial"/>
        </w:rPr>
        <w:t>Appellant</w:t>
      </w:r>
      <w:r w:rsidR="002542EA">
        <w:rPr>
          <w:rFonts w:ascii="Book Antiqua" w:hAnsi="Book Antiqua" w:cs="Arial"/>
        </w:rPr>
        <w:t xml:space="preserve">s to continue their family life together outside of the UK.  </w:t>
      </w:r>
    </w:p>
    <w:p w:rsidR="005572A7" w:rsidRDefault="005572A7" w:rsidP="00DC2ABF">
      <w:pPr>
        <w:numPr>
          <w:ilvl w:val="0"/>
          <w:numId w:val="3"/>
        </w:numPr>
        <w:spacing w:before="240"/>
        <w:jc w:val="both"/>
        <w:rPr>
          <w:rFonts w:ascii="Book Antiqua" w:hAnsi="Book Antiqua" w:cs="Arial"/>
        </w:rPr>
      </w:pPr>
      <w:r>
        <w:rPr>
          <w:rFonts w:ascii="Book Antiqua" w:hAnsi="Book Antiqua" w:cs="Arial"/>
        </w:rPr>
        <w:t xml:space="preserve">The Secretary of State notes that the evidence was that the Third Appellant speaks French and has therefore an aptitude for learning languages and that the evidence that she does not speak Ukrainian reflects a choice on the part of the Appellants.  At the hearing Mr Khan pointed out that the note at paragraph 16 that the Third Appellant prefers to speak in French was a mistake as that was not part of the evidence before the First-tier Tribunal Judge.  This was not disputed by Mr Lindsay.  </w:t>
      </w:r>
    </w:p>
    <w:p w:rsidR="00C51BFE" w:rsidRDefault="002542EA" w:rsidP="00DC2ABF">
      <w:pPr>
        <w:numPr>
          <w:ilvl w:val="0"/>
          <w:numId w:val="3"/>
        </w:numPr>
        <w:spacing w:before="240"/>
        <w:jc w:val="both"/>
        <w:rPr>
          <w:rFonts w:ascii="Book Antiqua" w:hAnsi="Book Antiqua" w:cs="Arial"/>
        </w:rPr>
      </w:pPr>
      <w:r>
        <w:rPr>
          <w:rFonts w:ascii="Book Antiqua" w:hAnsi="Book Antiqua" w:cs="Arial"/>
        </w:rPr>
        <w:t>The Secretary of State relie</w:t>
      </w:r>
      <w:r w:rsidR="000E7853">
        <w:rPr>
          <w:rFonts w:ascii="Book Antiqua" w:hAnsi="Book Antiqua" w:cs="Arial"/>
        </w:rPr>
        <w:t>d</w:t>
      </w:r>
      <w:r>
        <w:rPr>
          <w:rFonts w:ascii="Book Antiqua" w:hAnsi="Book Antiqua" w:cs="Arial"/>
        </w:rPr>
        <w:t xml:space="preserve"> on the </w:t>
      </w:r>
      <w:r w:rsidR="0062529C">
        <w:rPr>
          <w:rFonts w:ascii="Book Antiqua" w:hAnsi="Book Antiqua" w:cs="Arial"/>
        </w:rPr>
        <w:t>case</w:t>
      </w:r>
      <w:r>
        <w:rPr>
          <w:rFonts w:ascii="Book Antiqua" w:hAnsi="Book Antiqua" w:cs="Arial"/>
        </w:rPr>
        <w:t xml:space="preserve"> of </w:t>
      </w:r>
      <w:r w:rsidRPr="006F04E6">
        <w:rPr>
          <w:rFonts w:ascii="Book Antiqua" w:hAnsi="Book Antiqua" w:cs="Arial"/>
          <w:b/>
          <w:u w:val="single"/>
        </w:rPr>
        <w:t>VW &amp; MO (Uganda) v SSHD</w:t>
      </w:r>
      <w:r w:rsidRPr="006F04E6">
        <w:rPr>
          <w:rFonts w:ascii="Book Antiqua" w:hAnsi="Book Antiqua" w:cs="Arial"/>
          <w:b/>
        </w:rPr>
        <w:t xml:space="preserve"> [2008] UKAIT 00021</w:t>
      </w:r>
      <w:r>
        <w:rPr>
          <w:rFonts w:ascii="Book Antiqua" w:hAnsi="Book Antiqua" w:cs="Arial"/>
        </w:rPr>
        <w:t xml:space="preserve"> where at paragraph 34 Hodge J said:-</w:t>
      </w:r>
    </w:p>
    <w:p w:rsidR="002542EA" w:rsidRPr="00E21051" w:rsidRDefault="002542EA" w:rsidP="00E21051">
      <w:pPr>
        <w:spacing w:before="120" w:after="120"/>
        <w:ind w:left="1134" w:right="567"/>
        <w:jc w:val="both"/>
        <w:rPr>
          <w:rFonts w:ascii="Book Antiqua" w:hAnsi="Book Antiqua" w:cs="Arial"/>
          <w:sz w:val="22"/>
        </w:rPr>
      </w:pPr>
      <w:r w:rsidRPr="00E21051">
        <w:rPr>
          <w:rFonts w:ascii="Book Antiqua" w:hAnsi="Book Antiqua" w:cs="Arial"/>
          <w:sz w:val="22"/>
        </w:rPr>
        <w:t xml:space="preserve">“Again and again the Court has emphasised that an applicant cannot normally succeed if all he can show is that he or she would </w:t>
      </w:r>
      <w:r w:rsidRPr="00E21051">
        <w:rPr>
          <w:rFonts w:ascii="Book Antiqua" w:hAnsi="Book Antiqua" w:cs="Arial"/>
          <w:i/>
          <w:sz w:val="22"/>
        </w:rPr>
        <w:t>prefer</w:t>
      </w:r>
      <w:r w:rsidRPr="00E21051">
        <w:rPr>
          <w:rFonts w:ascii="Book Antiqua" w:hAnsi="Book Antiqua" w:cs="Arial"/>
          <w:sz w:val="22"/>
        </w:rPr>
        <w:t xml:space="preserve"> to conduct his family life in the host </w:t>
      </w:r>
      <w:smartTag w:uri="urn:schemas-microsoft-com:office:smarttags" w:element="place">
        <w:smartTag w:uri="urn:schemas-microsoft-com:office:smarttags" w:element="PlaceName">
          <w:r w:rsidRPr="00E21051">
            <w:rPr>
              <w:rFonts w:ascii="Book Antiqua" w:hAnsi="Book Antiqua" w:cs="Arial"/>
              <w:sz w:val="22"/>
            </w:rPr>
            <w:t>Member</w:t>
          </w:r>
        </w:smartTag>
        <w:r w:rsidRPr="00E21051">
          <w:rPr>
            <w:rFonts w:ascii="Book Antiqua" w:hAnsi="Book Antiqua" w:cs="Arial"/>
            <w:sz w:val="22"/>
          </w:rPr>
          <w:t xml:space="preserve"> </w:t>
        </w:r>
        <w:smartTag w:uri="urn:schemas-microsoft-com:office:smarttags" w:element="PlaceType">
          <w:r w:rsidRPr="00E21051">
            <w:rPr>
              <w:rFonts w:ascii="Book Antiqua" w:hAnsi="Book Antiqua" w:cs="Arial"/>
              <w:sz w:val="22"/>
            </w:rPr>
            <w:t>State</w:t>
          </w:r>
        </w:smartTag>
      </w:smartTag>
      <w:r w:rsidRPr="00E21051">
        <w:rPr>
          <w:rFonts w:ascii="Book Antiqua" w:hAnsi="Book Antiqua" w:cs="Arial"/>
          <w:sz w:val="22"/>
        </w:rPr>
        <w:t>. More must be shown than that relocation abroad would cause difficulty or hardship</w:t>
      </w:r>
      <w:r w:rsidR="006F04E6" w:rsidRPr="00E21051">
        <w:rPr>
          <w:rFonts w:ascii="Book Antiqua" w:hAnsi="Book Antiqua" w:cs="Arial"/>
          <w:sz w:val="22"/>
        </w:rPr>
        <w:t>”</w:t>
      </w:r>
      <w:r w:rsidRPr="00E21051">
        <w:rPr>
          <w:rFonts w:ascii="Book Antiqua" w:hAnsi="Book Antiqua" w:cs="Arial"/>
          <w:sz w:val="22"/>
        </w:rPr>
        <w:t xml:space="preserve">. </w:t>
      </w:r>
    </w:p>
    <w:p w:rsidR="005572A7" w:rsidRDefault="005572A7" w:rsidP="005572A7">
      <w:pPr>
        <w:numPr>
          <w:ilvl w:val="0"/>
          <w:numId w:val="3"/>
        </w:numPr>
        <w:spacing w:before="240"/>
        <w:jc w:val="both"/>
        <w:rPr>
          <w:rFonts w:ascii="Book Antiqua" w:hAnsi="Book Antiqua" w:cs="Arial"/>
        </w:rPr>
      </w:pPr>
      <w:r>
        <w:rPr>
          <w:rFonts w:ascii="Book Antiqua" w:hAnsi="Book Antiqua" w:cs="Arial"/>
        </w:rPr>
        <w:t xml:space="preserve">It is contended by the Secretary of State that the Immigration Rules provide a clear basis for considering immigration cases in compliance with Article 8 and reliance is placed on the decision of the Court of Appeal in </w:t>
      </w:r>
      <w:r w:rsidRPr="006F04E6">
        <w:rPr>
          <w:rFonts w:ascii="Book Antiqua" w:hAnsi="Book Antiqua" w:cs="Arial"/>
          <w:b/>
          <w:u w:val="single"/>
        </w:rPr>
        <w:t>MF (Nigeria) v SSHD</w:t>
      </w:r>
      <w:r w:rsidRPr="006F04E6">
        <w:rPr>
          <w:rFonts w:ascii="Book Antiqua" w:hAnsi="Book Antiqua" w:cs="Arial"/>
          <w:b/>
        </w:rPr>
        <w:t xml:space="preserve"> [2013] EWCA </w:t>
      </w:r>
      <w:proofErr w:type="spellStart"/>
      <w:r w:rsidRPr="006F04E6">
        <w:rPr>
          <w:rFonts w:ascii="Book Antiqua" w:hAnsi="Book Antiqua" w:cs="Arial"/>
          <w:b/>
        </w:rPr>
        <w:t>Civ</w:t>
      </w:r>
      <w:proofErr w:type="spellEnd"/>
      <w:r w:rsidRPr="006F04E6">
        <w:rPr>
          <w:rFonts w:ascii="Book Antiqua" w:hAnsi="Book Antiqua" w:cs="Arial"/>
          <w:b/>
        </w:rPr>
        <w:t xml:space="preserve"> 1192</w:t>
      </w:r>
      <w:r>
        <w:rPr>
          <w:rFonts w:ascii="Book Antiqua" w:hAnsi="Book Antiqua" w:cs="Arial"/>
        </w:rPr>
        <w:t xml:space="preserve"> where the Court of Appeal said that the new Rules are a complete code.  Reliance is also placed on the case of </w:t>
      </w:r>
      <w:r w:rsidRPr="006F04E6">
        <w:rPr>
          <w:rFonts w:ascii="Book Antiqua" w:hAnsi="Book Antiqua" w:cs="Arial"/>
          <w:b/>
          <w:u w:val="single"/>
        </w:rPr>
        <w:t>Ahmed v SSHD</w:t>
      </w:r>
      <w:r w:rsidRPr="006F04E6">
        <w:rPr>
          <w:rFonts w:ascii="Book Antiqua" w:hAnsi="Book Antiqua" w:cs="Arial"/>
          <w:b/>
        </w:rPr>
        <w:t xml:space="preserve"> [2014] EWHC 300 (Admin)</w:t>
      </w:r>
      <w:r>
        <w:rPr>
          <w:rFonts w:ascii="Book Antiqua" w:hAnsi="Book Antiqua" w:cs="Arial"/>
        </w:rPr>
        <w:t xml:space="preserve"> which states that the conventional Article 8 proportionality appraisal is one conducted within the framework of the Rules and guidance.  It is contended that the factors raised in the decision may be the ones which require some adjustment but they were not unreasonable in nature.  It is argued that the children do not suffer from any conditions which prevent them from being able to learn the language in Ukraine and that their out of school activities are activities which could be continued in the Ukraine.  It is further pointed out that the Appellants’ appeal rights were restricted to human rights grounds and the judge should have undertaken a proportionality assessment</w:t>
      </w:r>
      <w:r w:rsidR="00C97B61">
        <w:rPr>
          <w:rFonts w:ascii="Book Antiqua" w:hAnsi="Book Antiqua" w:cs="Arial"/>
        </w:rPr>
        <w:t xml:space="preserve"> and that, had</w:t>
      </w:r>
      <w:r>
        <w:rPr>
          <w:rFonts w:ascii="Book Antiqua" w:hAnsi="Book Antiqua" w:cs="Arial"/>
        </w:rPr>
        <w:t xml:space="preserve"> he done so and had he not erred in finding that it would not be reasonable to expect the Third Appellant to leave the </w:t>
      </w:r>
      <w:r w:rsidR="00C97B61">
        <w:rPr>
          <w:rFonts w:ascii="Book Antiqua" w:hAnsi="Book Antiqua" w:cs="Arial"/>
        </w:rPr>
        <w:t>UK,</w:t>
      </w:r>
      <w:r>
        <w:rPr>
          <w:rFonts w:ascii="Book Antiqua" w:hAnsi="Book Antiqua" w:cs="Arial"/>
        </w:rPr>
        <w:t xml:space="preserve"> it is contended that he would have concluded that the decision was proportionate to the public interest of maintaining an effective immigration control.  </w:t>
      </w:r>
    </w:p>
    <w:p w:rsidR="006F04E6" w:rsidRDefault="00974860" w:rsidP="00DC2ABF">
      <w:pPr>
        <w:numPr>
          <w:ilvl w:val="0"/>
          <w:numId w:val="3"/>
        </w:numPr>
        <w:spacing w:before="240"/>
        <w:jc w:val="both"/>
        <w:rPr>
          <w:rFonts w:ascii="Book Antiqua" w:hAnsi="Book Antiqua" w:cs="Arial"/>
        </w:rPr>
      </w:pPr>
      <w:r>
        <w:rPr>
          <w:rFonts w:ascii="Book Antiqua" w:hAnsi="Book Antiqua" w:cs="Arial"/>
        </w:rPr>
        <w:t xml:space="preserve">In granting permission First-tier Tribunal Judge Davies considered it arguable that the judge did not have proper </w:t>
      </w:r>
      <w:r w:rsidR="0062529C">
        <w:rPr>
          <w:rFonts w:ascii="Book Antiqua" w:hAnsi="Book Antiqua" w:cs="Arial"/>
        </w:rPr>
        <w:t>regard</w:t>
      </w:r>
      <w:r>
        <w:rPr>
          <w:rFonts w:ascii="Book Antiqua" w:hAnsi="Book Antiqua" w:cs="Arial"/>
        </w:rPr>
        <w:t xml:space="preserve"> to public interest consideration set out</w:t>
      </w:r>
      <w:r w:rsidR="00C97B61">
        <w:rPr>
          <w:rFonts w:ascii="Book Antiqua" w:hAnsi="Book Antiqua" w:cs="Arial"/>
        </w:rPr>
        <w:t xml:space="preserve"> in Section 117B of the Nationality, Immigration and Asylum Act 2002</w:t>
      </w:r>
      <w:r w:rsidR="00C97B61" w:rsidRPr="00C97B61">
        <w:rPr>
          <w:rFonts w:ascii="Book Antiqua" w:hAnsi="Book Antiqua" w:cs="Arial"/>
        </w:rPr>
        <w:t xml:space="preserve"> </w:t>
      </w:r>
      <w:r w:rsidR="00C97B61">
        <w:rPr>
          <w:rFonts w:ascii="Book Antiqua" w:hAnsi="Book Antiqua" w:cs="Arial"/>
        </w:rPr>
        <w:t>in concluding that it would not be reasonable for the Third Appellant to return to the Ukraine</w:t>
      </w:r>
      <w:r>
        <w:rPr>
          <w:rFonts w:ascii="Book Antiqua" w:hAnsi="Book Antiqua" w:cs="Arial"/>
        </w:rPr>
        <w:t xml:space="preserve">.  </w:t>
      </w:r>
    </w:p>
    <w:p w:rsidR="00E21051" w:rsidRDefault="00E21051" w:rsidP="00974860">
      <w:pPr>
        <w:spacing w:before="240"/>
        <w:jc w:val="both"/>
        <w:rPr>
          <w:rFonts w:ascii="Book Antiqua" w:hAnsi="Book Antiqua" w:cs="Arial"/>
          <w:b/>
        </w:rPr>
      </w:pPr>
    </w:p>
    <w:p w:rsidR="00E21051" w:rsidRDefault="00E21051" w:rsidP="00974860">
      <w:pPr>
        <w:spacing w:before="240"/>
        <w:jc w:val="both"/>
        <w:rPr>
          <w:rFonts w:ascii="Book Antiqua" w:hAnsi="Book Antiqua" w:cs="Arial"/>
          <w:b/>
        </w:rPr>
      </w:pPr>
    </w:p>
    <w:p w:rsidR="00974860" w:rsidRPr="001906AD" w:rsidRDefault="001906AD" w:rsidP="00974860">
      <w:pPr>
        <w:spacing w:before="240"/>
        <w:jc w:val="both"/>
        <w:rPr>
          <w:rFonts w:ascii="Book Antiqua" w:hAnsi="Book Antiqua" w:cs="Arial"/>
          <w:b/>
        </w:rPr>
      </w:pPr>
      <w:r w:rsidRPr="001906AD">
        <w:rPr>
          <w:rFonts w:ascii="Book Antiqua" w:hAnsi="Book Antiqua" w:cs="Arial"/>
          <w:b/>
        </w:rPr>
        <w:lastRenderedPageBreak/>
        <w:t>Submissions</w:t>
      </w:r>
    </w:p>
    <w:p w:rsidR="00974860" w:rsidRDefault="00974860" w:rsidP="00DC2ABF">
      <w:pPr>
        <w:numPr>
          <w:ilvl w:val="0"/>
          <w:numId w:val="3"/>
        </w:numPr>
        <w:spacing w:before="240"/>
        <w:jc w:val="both"/>
        <w:rPr>
          <w:rFonts w:ascii="Book Antiqua" w:hAnsi="Book Antiqua" w:cs="Arial"/>
        </w:rPr>
      </w:pPr>
      <w:r>
        <w:rPr>
          <w:rFonts w:ascii="Book Antiqua" w:hAnsi="Book Antiqua" w:cs="Arial"/>
        </w:rPr>
        <w:t xml:space="preserve">At the hearing before me Mr Lindsay submitted that the First-tier Tribunal Judge failed to conduct a proper proportionality assessment.  In his submission the judge had failed to undertake a balancing exercise in considering the appeal at paragraphs 21 to 33.  He contended that within those paragraphs there are no references to factors against the </w:t>
      </w:r>
      <w:r w:rsidR="00064DA7">
        <w:rPr>
          <w:rFonts w:ascii="Book Antiqua" w:hAnsi="Book Antiqua" w:cs="Arial"/>
        </w:rPr>
        <w:t xml:space="preserve">Third Appellant’s </w:t>
      </w:r>
      <w:r>
        <w:rPr>
          <w:rFonts w:ascii="Book Antiqua" w:hAnsi="Book Antiqua" w:cs="Arial"/>
        </w:rPr>
        <w:t xml:space="preserve">claimed right to remain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w:t>
      </w:r>
      <w:r w:rsidR="003022E6">
        <w:rPr>
          <w:rFonts w:ascii="Book Antiqua" w:hAnsi="Book Antiqua" w:cs="Arial"/>
        </w:rPr>
        <w:t xml:space="preserve">He submitted that </w:t>
      </w:r>
      <w:r>
        <w:rPr>
          <w:rFonts w:ascii="Book Antiqua" w:hAnsi="Book Antiqua" w:cs="Arial"/>
        </w:rPr>
        <w:t xml:space="preserve">the judge should </w:t>
      </w:r>
      <w:r w:rsidR="003022E6">
        <w:rPr>
          <w:rFonts w:ascii="Book Antiqua" w:hAnsi="Book Antiqua" w:cs="Arial"/>
        </w:rPr>
        <w:t xml:space="preserve">also </w:t>
      </w:r>
      <w:r>
        <w:rPr>
          <w:rFonts w:ascii="Book Antiqua" w:hAnsi="Book Antiqua" w:cs="Arial"/>
        </w:rPr>
        <w:t>have considered factors militating against the reason</w:t>
      </w:r>
      <w:r w:rsidR="003022E6">
        <w:rPr>
          <w:rFonts w:ascii="Book Antiqua" w:hAnsi="Book Antiqua" w:cs="Arial"/>
        </w:rPr>
        <w:t>ableness of remaining in the UK rather than considering only matters</w:t>
      </w:r>
      <w:r>
        <w:rPr>
          <w:rFonts w:ascii="Book Antiqua" w:hAnsi="Book Antiqua" w:cs="Arial"/>
        </w:rPr>
        <w:t xml:space="preserve"> on one side of the argument.  </w:t>
      </w:r>
      <w:r w:rsidR="003022E6">
        <w:rPr>
          <w:rFonts w:ascii="Book Antiqua" w:hAnsi="Book Antiqua" w:cs="Arial"/>
        </w:rPr>
        <w:t>He submitted that factors to be weighed on the public interest side included those in section</w:t>
      </w:r>
      <w:r>
        <w:rPr>
          <w:rFonts w:ascii="Book Antiqua" w:hAnsi="Book Antiqua" w:cs="Arial"/>
        </w:rPr>
        <w:t xml:space="preserve"> </w:t>
      </w:r>
      <w:r w:rsidR="00264147">
        <w:rPr>
          <w:rFonts w:ascii="Book Antiqua" w:hAnsi="Book Antiqua" w:cs="Arial"/>
        </w:rPr>
        <w:t xml:space="preserve">117B(4) and (5) </w:t>
      </w:r>
      <w:r w:rsidR="003022E6">
        <w:rPr>
          <w:rFonts w:ascii="Book Antiqua" w:hAnsi="Book Antiqua" w:cs="Arial"/>
        </w:rPr>
        <w:t xml:space="preserve">of the 2002 Act </w:t>
      </w:r>
      <w:r w:rsidR="00264147">
        <w:rPr>
          <w:rFonts w:ascii="Book Antiqua" w:hAnsi="Book Antiqua" w:cs="Arial"/>
        </w:rPr>
        <w:t xml:space="preserve">which can direct that in considering the public interest little weight should be given to </w:t>
      </w:r>
      <w:r w:rsidR="0062529C">
        <w:rPr>
          <w:rFonts w:ascii="Book Antiqua" w:hAnsi="Book Antiqua" w:cs="Arial"/>
        </w:rPr>
        <w:t>private</w:t>
      </w:r>
      <w:r w:rsidR="00264147">
        <w:rPr>
          <w:rFonts w:ascii="Book Antiqua" w:hAnsi="Book Antiqua" w:cs="Arial"/>
        </w:rPr>
        <w:t xml:space="preserve"> and family life which is precarious.  </w:t>
      </w:r>
      <w:r w:rsidR="00A53625">
        <w:rPr>
          <w:rFonts w:ascii="Book Antiqua" w:hAnsi="Book Antiqua" w:cs="Arial"/>
        </w:rPr>
        <w:t xml:space="preserve">In his submission, were it not for that error the judge might well have reached a different conclusion.  </w:t>
      </w:r>
    </w:p>
    <w:p w:rsidR="00A53625" w:rsidRDefault="00A53625" w:rsidP="00DC2ABF">
      <w:pPr>
        <w:numPr>
          <w:ilvl w:val="0"/>
          <w:numId w:val="3"/>
        </w:numPr>
        <w:spacing w:before="240"/>
        <w:jc w:val="both"/>
        <w:rPr>
          <w:rFonts w:ascii="Book Antiqua" w:hAnsi="Book Antiqua" w:cs="Arial"/>
        </w:rPr>
      </w:pPr>
      <w:r>
        <w:rPr>
          <w:rFonts w:ascii="Book Antiqua" w:hAnsi="Book Antiqua" w:cs="Arial"/>
        </w:rPr>
        <w:t xml:space="preserve">In his submissions Mr Khan contended that the judge had undertaken a proper proportionality assessment.  He pointed out that at paragraph 33 the judge referred to the public interest considerations in Section 117B of the 2002 Act.  He accepted that those had not been specified </w:t>
      </w:r>
      <w:r w:rsidR="003022E6">
        <w:rPr>
          <w:rFonts w:ascii="Book Antiqua" w:hAnsi="Book Antiqua" w:cs="Arial"/>
        </w:rPr>
        <w:t>but submitted that</w:t>
      </w:r>
      <w:r>
        <w:rPr>
          <w:rFonts w:ascii="Book Antiqua" w:hAnsi="Book Antiqua" w:cs="Arial"/>
        </w:rPr>
        <w:t xml:space="preserve"> it was clear that the judge had those in mind when considering the appeal.  He pointed to paragraph 18 where the judge talked about issues raised under Section 117B, although</w:t>
      </w:r>
      <w:r w:rsidR="003022E6">
        <w:rPr>
          <w:rFonts w:ascii="Book Antiqua" w:hAnsi="Book Antiqua" w:cs="Arial"/>
        </w:rPr>
        <w:t xml:space="preserve"> he accepted that</w:t>
      </w:r>
      <w:r>
        <w:rPr>
          <w:rFonts w:ascii="Book Antiqua" w:hAnsi="Book Antiqua" w:cs="Arial"/>
        </w:rPr>
        <w:t xml:space="preserve"> this was a rehearsal of the oral evidence</w:t>
      </w:r>
      <w:r w:rsidR="003022E6">
        <w:rPr>
          <w:rFonts w:ascii="Book Antiqua" w:hAnsi="Book Antiqua" w:cs="Arial"/>
        </w:rPr>
        <w:t xml:space="preserve">, he submitted that it is clear that these factors were </w:t>
      </w:r>
      <w:r>
        <w:rPr>
          <w:rFonts w:ascii="Book Antiqua" w:hAnsi="Book Antiqua" w:cs="Arial"/>
        </w:rPr>
        <w:t xml:space="preserve">still in </w:t>
      </w:r>
      <w:r w:rsidR="003022E6">
        <w:rPr>
          <w:rFonts w:ascii="Book Antiqua" w:hAnsi="Book Antiqua" w:cs="Arial"/>
        </w:rPr>
        <w:t xml:space="preserve">his </w:t>
      </w:r>
      <w:r>
        <w:rPr>
          <w:rFonts w:ascii="Book Antiqua" w:hAnsi="Book Antiqua" w:cs="Arial"/>
        </w:rPr>
        <w:t xml:space="preserve">mind when the judge dealt with the issues in the appeal.  He further contended that Section 117B(6) is relevant in that where it applies </w:t>
      </w:r>
      <w:r w:rsidR="005410B6">
        <w:rPr>
          <w:rFonts w:ascii="Book Antiqua" w:hAnsi="Book Antiqua" w:cs="Arial"/>
        </w:rPr>
        <w:t xml:space="preserve">and where it is found that it is not reasonable for a child to leave the UK the other public interest </w:t>
      </w:r>
      <w:r w:rsidR="0062529C">
        <w:rPr>
          <w:rFonts w:ascii="Book Antiqua" w:hAnsi="Book Antiqua" w:cs="Arial"/>
        </w:rPr>
        <w:t>factors</w:t>
      </w:r>
      <w:r w:rsidR="005410B6">
        <w:rPr>
          <w:rFonts w:ascii="Book Antiqua" w:hAnsi="Book Antiqua" w:cs="Arial"/>
        </w:rPr>
        <w:t xml:space="preserve"> in Section 117B are of less weight.  In his submission the judge appears to have </w:t>
      </w:r>
      <w:r w:rsidR="0062529C">
        <w:rPr>
          <w:rFonts w:ascii="Book Antiqua" w:hAnsi="Book Antiqua" w:cs="Arial"/>
        </w:rPr>
        <w:t>applied</w:t>
      </w:r>
      <w:r w:rsidR="005410B6">
        <w:rPr>
          <w:rFonts w:ascii="Book Antiqua" w:hAnsi="Book Antiqua" w:cs="Arial"/>
        </w:rPr>
        <w:t xml:space="preserve"> Section </w:t>
      </w:r>
      <w:r w:rsidR="003022E6">
        <w:rPr>
          <w:rFonts w:ascii="Book Antiqua" w:hAnsi="Book Antiqua" w:cs="Arial"/>
        </w:rPr>
        <w:t>117B (</w:t>
      </w:r>
      <w:r w:rsidR="005410B6">
        <w:rPr>
          <w:rFonts w:ascii="Book Antiqua" w:hAnsi="Book Antiqua" w:cs="Arial"/>
        </w:rPr>
        <w:t>6)</w:t>
      </w:r>
      <w:r w:rsidR="003022E6">
        <w:rPr>
          <w:rFonts w:ascii="Book Antiqua" w:hAnsi="Book Antiqua" w:cs="Arial"/>
        </w:rPr>
        <w:t xml:space="preserve"> at paragraph 33</w:t>
      </w:r>
      <w:r w:rsidR="005410B6">
        <w:rPr>
          <w:rFonts w:ascii="Book Antiqua" w:hAnsi="Book Antiqua" w:cs="Arial"/>
        </w:rPr>
        <w:t>.  Accordingly, in his submission</w:t>
      </w:r>
      <w:r w:rsidR="003022E6">
        <w:rPr>
          <w:rFonts w:ascii="Book Antiqua" w:hAnsi="Book Antiqua" w:cs="Arial"/>
        </w:rPr>
        <w:t>,</w:t>
      </w:r>
      <w:r w:rsidR="005410B6">
        <w:rPr>
          <w:rFonts w:ascii="Book Antiqua" w:hAnsi="Book Antiqua" w:cs="Arial"/>
        </w:rPr>
        <w:t xml:space="preserve"> the judge’s assessment of reasonableness was open to him on the evidence.  </w:t>
      </w:r>
      <w:r w:rsidR="003022E6">
        <w:rPr>
          <w:rFonts w:ascii="Book Antiqua" w:hAnsi="Book Antiqua" w:cs="Arial"/>
        </w:rPr>
        <w:t xml:space="preserve">He submitted that at </w:t>
      </w:r>
      <w:r w:rsidR="005410B6">
        <w:rPr>
          <w:rFonts w:ascii="Book Antiqua" w:hAnsi="Book Antiqua" w:cs="Arial"/>
        </w:rPr>
        <w:t xml:space="preserve">paragraph 28 the judge was looking not just at the language </w:t>
      </w:r>
      <w:r w:rsidR="0062529C">
        <w:rPr>
          <w:rFonts w:ascii="Book Antiqua" w:hAnsi="Book Antiqua" w:cs="Arial"/>
        </w:rPr>
        <w:t>issues</w:t>
      </w:r>
      <w:r w:rsidR="005410B6">
        <w:rPr>
          <w:rFonts w:ascii="Book Antiqua" w:hAnsi="Book Antiqua" w:cs="Arial"/>
        </w:rPr>
        <w:t xml:space="preserve">, but at the impact of those upon the Third </w:t>
      </w:r>
      <w:r w:rsidR="0062529C">
        <w:rPr>
          <w:rFonts w:ascii="Book Antiqua" w:hAnsi="Book Antiqua" w:cs="Arial"/>
        </w:rPr>
        <w:t>Appellant</w:t>
      </w:r>
      <w:r w:rsidR="005410B6">
        <w:rPr>
          <w:rFonts w:ascii="Book Antiqua" w:hAnsi="Book Antiqua" w:cs="Arial"/>
        </w:rPr>
        <w:t xml:space="preserve"> whose </w:t>
      </w:r>
      <w:r w:rsidR="0062529C">
        <w:rPr>
          <w:rFonts w:ascii="Book Antiqua" w:hAnsi="Book Antiqua" w:cs="Arial"/>
        </w:rPr>
        <w:t>education</w:t>
      </w:r>
      <w:r w:rsidR="005410B6">
        <w:rPr>
          <w:rFonts w:ascii="Book Antiqua" w:hAnsi="Book Antiqua" w:cs="Arial"/>
        </w:rPr>
        <w:t xml:space="preserve"> </w:t>
      </w:r>
      <w:r w:rsidR="0062529C">
        <w:rPr>
          <w:rFonts w:ascii="Book Antiqua" w:hAnsi="Book Antiqua" w:cs="Arial"/>
        </w:rPr>
        <w:t>would</w:t>
      </w:r>
      <w:r w:rsidR="005410B6">
        <w:rPr>
          <w:rFonts w:ascii="Book Antiqua" w:hAnsi="Book Antiqua" w:cs="Arial"/>
        </w:rPr>
        <w:t xml:space="preserve"> suffer because she does not </w:t>
      </w:r>
      <w:r w:rsidR="0062529C">
        <w:rPr>
          <w:rFonts w:ascii="Book Antiqua" w:hAnsi="Book Antiqua" w:cs="Arial"/>
        </w:rPr>
        <w:t>speak</w:t>
      </w:r>
      <w:r w:rsidR="005410B6">
        <w:rPr>
          <w:rFonts w:ascii="Book Antiqua" w:hAnsi="Book Antiqua" w:cs="Arial"/>
        </w:rPr>
        <w:t xml:space="preserve"> Ukrainian.  At paragraph 29 the judge highlighted political issues in </w:t>
      </w:r>
      <w:smartTag w:uri="urn:schemas-microsoft-com:office:smarttags" w:element="country-region">
        <w:smartTag w:uri="urn:schemas-microsoft-com:office:smarttags" w:element="place">
          <w:r w:rsidR="005410B6">
            <w:rPr>
              <w:rFonts w:ascii="Book Antiqua" w:hAnsi="Book Antiqua" w:cs="Arial"/>
            </w:rPr>
            <w:t>Ukraine</w:t>
          </w:r>
        </w:smartTag>
      </w:smartTag>
      <w:r w:rsidR="005410B6">
        <w:rPr>
          <w:rFonts w:ascii="Book Antiqua" w:hAnsi="Book Antiqua" w:cs="Arial"/>
        </w:rPr>
        <w:t xml:space="preserve">.  In his submission the judge took into </w:t>
      </w:r>
      <w:r w:rsidR="0062529C">
        <w:rPr>
          <w:rFonts w:ascii="Book Antiqua" w:hAnsi="Book Antiqua" w:cs="Arial"/>
        </w:rPr>
        <w:t>account</w:t>
      </w:r>
      <w:r w:rsidR="005410B6">
        <w:rPr>
          <w:rFonts w:ascii="Book Antiqua" w:hAnsi="Book Antiqua" w:cs="Arial"/>
        </w:rPr>
        <w:t xml:space="preserve"> </w:t>
      </w:r>
      <w:r w:rsidR="00D05036">
        <w:rPr>
          <w:rFonts w:ascii="Book Antiqua" w:hAnsi="Book Antiqua" w:cs="Arial"/>
        </w:rPr>
        <w:t xml:space="preserve">the </w:t>
      </w:r>
      <w:r w:rsidR="005410B6">
        <w:rPr>
          <w:rFonts w:ascii="Book Antiqua" w:hAnsi="Book Antiqua" w:cs="Arial"/>
        </w:rPr>
        <w:t xml:space="preserve">appropriate </w:t>
      </w:r>
      <w:r w:rsidR="0062529C">
        <w:rPr>
          <w:rFonts w:ascii="Book Antiqua" w:hAnsi="Book Antiqua" w:cs="Arial"/>
        </w:rPr>
        <w:t>factors</w:t>
      </w:r>
      <w:r w:rsidR="00E74C1B">
        <w:rPr>
          <w:rFonts w:ascii="Book Antiqua" w:hAnsi="Book Antiqua" w:cs="Arial"/>
        </w:rPr>
        <w:t xml:space="preserve">, including the immigration history of the parents which is referred to </w:t>
      </w:r>
      <w:proofErr w:type="spellStart"/>
      <w:r w:rsidR="00E74C1B">
        <w:rPr>
          <w:rFonts w:ascii="Book Antiqua" w:hAnsi="Book Antiqua" w:cs="Arial"/>
        </w:rPr>
        <w:t>at</w:t>
      </w:r>
      <w:proofErr w:type="spellEnd"/>
      <w:r w:rsidR="00E74C1B">
        <w:rPr>
          <w:rFonts w:ascii="Book Antiqua" w:hAnsi="Book Antiqua" w:cs="Arial"/>
        </w:rPr>
        <w:t xml:space="preserve"> paragraph 18. </w:t>
      </w:r>
      <w:r w:rsidR="005410B6">
        <w:rPr>
          <w:rFonts w:ascii="Book Antiqua" w:hAnsi="Book Antiqua" w:cs="Arial"/>
        </w:rPr>
        <w:t xml:space="preserve"> </w:t>
      </w:r>
      <w:r w:rsidR="00E74C1B">
        <w:rPr>
          <w:rFonts w:ascii="Book Antiqua" w:hAnsi="Book Antiqua" w:cs="Arial"/>
        </w:rPr>
        <w:t xml:space="preserve">He contended that once the judge found that it was not reasonable for the Third Appellant to leave the UK he applied the correct test in relation to the other Appellants.  </w:t>
      </w:r>
      <w:r w:rsidR="005410B6">
        <w:rPr>
          <w:rFonts w:ascii="Book Antiqua" w:hAnsi="Book Antiqua" w:cs="Arial"/>
        </w:rPr>
        <w:t xml:space="preserve"> </w:t>
      </w:r>
    </w:p>
    <w:p w:rsidR="001906AD" w:rsidRPr="001906AD" w:rsidRDefault="001906AD" w:rsidP="001906AD">
      <w:pPr>
        <w:spacing w:before="240"/>
        <w:jc w:val="both"/>
        <w:rPr>
          <w:rFonts w:ascii="Book Antiqua" w:hAnsi="Book Antiqua" w:cs="Arial"/>
          <w:b/>
        </w:rPr>
      </w:pPr>
      <w:r w:rsidRPr="001906AD">
        <w:rPr>
          <w:rFonts w:ascii="Book Antiqua" w:hAnsi="Book Antiqua" w:cs="Arial"/>
          <w:b/>
        </w:rPr>
        <w:t>Error of law</w:t>
      </w:r>
    </w:p>
    <w:p w:rsidR="001906AD" w:rsidRDefault="00E71572" w:rsidP="00DC2ABF">
      <w:pPr>
        <w:numPr>
          <w:ilvl w:val="0"/>
          <w:numId w:val="3"/>
        </w:numPr>
        <w:spacing w:before="240"/>
        <w:jc w:val="both"/>
        <w:rPr>
          <w:rFonts w:ascii="Book Antiqua" w:hAnsi="Book Antiqua" w:cs="Arial"/>
        </w:rPr>
      </w:pPr>
      <w:r>
        <w:rPr>
          <w:rFonts w:ascii="Book Antiqua" w:hAnsi="Book Antiqua" w:cs="Arial"/>
        </w:rPr>
        <w:t>The</w:t>
      </w:r>
      <w:r w:rsidR="001906AD">
        <w:rPr>
          <w:rFonts w:ascii="Book Antiqua" w:hAnsi="Book Antiqua" w:cs="Arial"/>
        </w:rPr>
        <w:t xml:space="preserve"> Secretary of State has not criticised </w:t>
      </w:r>
      <w:r>
        <w:rPr>
          <w:rFonts w:ascii="Book Antiqua" w:hAnsi="Book Antiqua" w:cs="Arial"/>
        </w:rPr>
        <w:t xml:space="preserve">the judge’s approach in determining the appeal of the Third </w:t>
      </w:r>
      <w:r w:rsidR="0062529C">
        <w:rPr>
          <w:rFonts w:ascii="Book Antiqua" w:hAnsi="Book Antiqua" w:cs="Arial"/>
        </w:rPr>
        <w:t>Appellant</w:t>
      </w:r>
      <w:r>
        <w:rPr>
          <w:rFonts w:ascii="Book Antiqua" w:hAnsi="Book Antiqua" w:cs="Arial"/>
        </w:rPr>
        <w:t xml:space="preserve"> first.  </w:t>
      </w:r>
      <w:r w:rsidR="001906AD">
        <w:rPr>
          <w:rFonts w:ascii="Book Antiqua" w:hAnsi="Book Antiqua" w:cs="Arial"/>
        </w:rPr>
        <w:t>In considering</w:t>
      </w:r>
      <w:r>
        <w:rPr>
          <w:rFonts w:ascii="Book Antiqua" w:hAnsi="Book Antiqua" w:cs="Arial"/>
        </w:rPr>
        <w:t xml:space="preserve"> issues relevant to the Third </w:t>
      </w:r>
      <w:r w:rsidR="0062529C">
        <w:rPr>
          <w:rFonts w:ascii="Book Antiqua" w:hAnsi="Book Antiqua" w:cs="Arial"/>
        </w:rPr>
        <w:t>Appellant</w:t>
      </w:r>
      <w:r>
        <w:rPr>
          <w:rFonts w:ascii="Book Antiqua" w:hAnsi="Book Antiqua" w:cs="Arial"/>
        </w:rPr>
        <w:t xml:space="preserve"> </w:t>
      </w:r>
      <w:r w:rsidR="001906AD">
        <w:rPr>
          <w:rFonts w:ascii="Book Antiqua" w:hAnsi="Book Antiqua" w:cs="Arial"/>
        </w:rPr>
        <w:t xml:space="preserve">the judge </w:t>
      </w:r>
      <w:r>
        <w:rPr>
          <w:rFonts w:ascii="Book Antiqua" w:hAnsi="Book Antiqua" w:cs="Arial"/>
        </w:rPr>
        <w:t xml:space="preserve">took into </w:t>
      </w:r>
      <w:r w:rsidR="0062529C">
        <w:rPr>
          <w:rFonts w:ascii="Book Antiqua" w:hAnsi="Book Antiqua" w:cs="Arial"/>
        </w:rPr>
        <w:t>account</w:t>
      </w:r>
      <w:r>
        <w:rPr>
          <w:rFonts w:ascii="Book Antiqua" w:hAnsi="Book Antiqua" w:cs="Arial"/>
        </w:rPr>
        <w:t xml:space="preserve"> the length of time she had been in the UK and acknowledged that she could not meet the Immigration Rules because she had not been in the UK for seven years at the date of application.  However, the judge went on to consider the appeal outside of the Immigration Rules. In considering the situation outside of the Rules the judge took into </w:t>
      </w:r>
      <w:r w:rsidR="0062529C">
        <w:rPr>
          <w:rFonts w:ascii="Book Antiqua" w:hAnsi="Book Antiqua" w:cs="Arial"/>
        </w:rPr>
        <w:t>account</w:t>
      </w:r>
      <w:r>
        <w:rPr>
          <w:rFonts w:ascii="Book Antiqua" w:hAnsi="Book Antiqua" w:cs="Arial"/>
        </w:rPr>
        <w:t xml:space="preserve"> the </w:t>
      </w:r>
      <w:r w:rsidR="0062529C">
        <w:rPr>
          <w:rFonts w:ascii="Book Antiqua" w:hAnsi="Book Antiqua" w:cs="Arial"/>
        </w:rPr>
        <w:t>length</w:t>
      </w:r>
      <w:r>
        <w:rPr>
          <w:rFonts w:ascii="Book Antiqua" w:hAnsi="Book Antiqua" w:cs="Arial"/>
        </w:rPr>
        <w:t xml:space="preserve"> of time the Third </w:t>
      </w:r>
      <w:r w:rsidR="0062529C">
        <w:rPr>
          <w:rFonts w:ascii="Book Antiqua" w:hAnsi="Book Antiqua" w:cs="Arial"/>
        </w:rPr>
        <w:t>Appellant</w:t>
      </w:r>
      <w:r>
        <w:rPr>
          <w:rFonts w:ascii="Book Antiqua" w:hAnsi="Book Antiqua" w:cs="Arial"/>
        </w:rPr>
        <w:t xml:space="preserve"> had been in the </w:t>
      </w:r>
      <w:r w:rsidR="001906AD">
        <w:rPr>
          <w:rFonts w:ascii="Book Antiqua" w:hAnsi="Book Antiqua" w:cs="Arial"/>
        </w:rPr>
        <w:t>UK (</w:t>
      </w:r>
      <w:r>
        <w:rPr>
          <w:rFonts w:ascii="Book Antiqua" w:hAnsi="Book Antiqua" w:cs="Arial"/>
        </w:rPr>
        <w:t>nine years</w:t>
      </w:r>
      <w:r w:rsidR="001906AD">
        <w:rPr>
          <w:rFonts w:ascii="Book Antiqua" w:hAnsi="Book Antiqua" w:cs="Arial"/>
        </w:rPr>
        <w:t xml:space="preserve"> at the date of the hearing) [27],</w:t>
      </w:r>
      <w:r>
        <w:rPr>
          <w:rFonts w:ascii="Book Antiqua" w:hAnsi="Book Antiqua" w:cs="Arial"/>
        </w:rPr>
        <w:t xml:space="preserve"> the child’s education and the fact </w:t>
      </w:r>
      <w:r>
        <w:rPr>
          <w:rFonts w:ascii="Book Antiqua" w:hAnsi="Book Antiqua" w:cs="Arial"/>
        </w:rPr>
        <w:lastRenderedPageBreak/>
        <w:t>that she is an above average student who enjoys going to school</w:t>
      </w:r>
      <w:r w:rsidR="001906AD">
        <w:rPr>
          <w:rFonts w:ascii="Book Antiqua" w:hAnsi="Book Antiqua" w:cs="Arial"/>
        </w:rPr>
        <w:t xml:space="preserve"> [27]</w:t>
      </w:r>
      <w:r>
        <w:rPr>
          <w:rFonts w:ascii="Book Antiqua" w:hAnsi="Book Antiqua" w:cs="Arial"/>
        </w:rPr>
        <w:t xml:space="preserve">, the fact that there was likely to be an adverse impact on the child’s </w:t>
      </w:r>
      <w:r w:rsidR="0062529C">
        <w:rPr>
          <w:rFonts w:ascii="Book Antiqua" w:hAnsi="Book Antiqua" w:cs="Arial"/>
        </w:rPr>
        <w:t>education</w:t>
      </w:r>
      <w:r>
        <w:rPr>
          <w:rFonts w:ascii="Book Antiqua" w:hAnsi="Book Antiqua" w:cs="Arial"/>
        </w:rPr>
        <w:t xml:space="preserve"> by </w:t>
      </w:r>
      <w:r w:rsidR="0062529C">
        <w:rPr>
          <w:rFonts w:ascii="Book Antiqua" w:hAnsi="Book Antiqua" w:cs="Arial"/>
        </w:rPr>
        <w:t>returning</w:t>
      </w:r>
      <w:r>
        <w:rPr>
          <w:rFonts w:ascii="Book Antiqua" w:hAnsi="Book Antiqua" w:cs="Arial"/>
        </w:rPr>
        <w:t xml:space="preserve"> to the Ukraine</w:t>
      </w:r>
      <w:r w:rsidR="001906AD">
        <w:rPr>
          <w:rFonts w:ascii="Book Antiqua" w:hAnsi="Book Antiqua" w:cs="Arial"/>
        </w:rPr>
        <w:t xml:space="preserve">, </w:t>
      </w:r>
      <w:r>
        <w:rPr>
          <w:rFonts w:ascii="Book Antiqua" w:hAnsi="Book Antiqua" w:cs="Arial"/>
        </w:rPr>
        <w:t xml:space="preserve">the adverse </w:t>
      </w:r>
      <w:r w:rsidR="0062529C">
        <w:rPr>
          <w:rFonts w:ascii="Book Antiqua" w:hAnsi="Book Antiqua" w:cs="Arial"/>
        </w:rPr>
        <w:t>impact</w:t>
      </w:r>
      <w:r>
        <w:rPr>
          <w:rFonts w:ascii="Book Antiqua" w:hAnsi="Book Antiqua" w:cs="Arial"/>
        </w:rPr>
        <w:t xml:space="preserve"> of her going to live in an unfamiliar environment, the adverse emotional impact she is likely to suffer in </w:t>
      </w:r>
      <w:r w:rsidR="0062529C">
        <w:rPr>
          <w:rFonts w:ascii="Book Antiqua" w:hAnsi="Book Antiqua" w:cs="Arial"/>
        </w:rPr>
        <w:t>leaving</w:t>
      </w:r>
      <w:r>
        <w:rPr>
          <w:rFonts w:ascii="Book Antiqua" w:hAnsi="Book Antiqua" w:cs="Arial"/>
        </w:rPr>
        <w:t xml:space="preserve"> her friends and other associates in the </w:t>
      </w:r>
      <w:r w:rsidR="001906AD">
        <w:rPr>
          <w:rFonts w:ascii="Book Antiqua" w:hAnsi="Book Antiqua" w:cs="Arial"/>
        </w:rPr>
        <w:t>UK [28]</w:t>
      </w:r>
      <w:r>
        <w:rPr>
          <w:rFonts w:ascii="Book Antiqua" w:hAnsi="Book Antiqua" w:cs="Arial"/>
        </w:rPr>
        <w:t xml:space="preserve">, the fact that the Ukraine is going through a period of instability which may influence where the </w:t>
      </w:r>
      <w:r w:rsidR="0062529C">
        <w:rPr>
          <w:rFonts w:ascii="Book Antiqua" w:hAnsi="Book Antiqua" w:cs="Arial"/>
        </w:rPr>
        <w:t>Appellant</w:t>
      </w:r>
      <w:r>
        <w:rPr>
          <w:rFonts w:ascii="Book Antiqua" w:hAnsi="Book Antiqua" w:cs="Arial"/>
        </w:rPr>
        <w:t>s would live there</w:t>
      </w:r>
      <w:r w:rsidR="001906AD">
        <w:rPr>
          <w:rFonts w:ascii="Book Antiqua" w:hAnsi="Book Antiqua" w:cs="Arial"/>
        </w:rPr>
        <w:t xml:space="preserve">, </w:t>
      </w:r>
      <w:r>
        <w:rPr>
          <w:rFonts w:ascii="Book Antiqua" w:hAnsi="Book Antiqua" w:cs="Arial"/>
        </w:rPr>
        <w:t xml:space="preserve">the fact that the family </w:t>
      </w:r>
      <w:r w:rsidR="0062529C">
        <w:rPr>
          <w:rFonts w:ascii="Book Antiqua" w:hAnsi="Book Antiqua" w:cs="Arial"/>
        </w:rPr>
        <w:t>would</w:t>
      </w:r>
      <w:r>
        <w:rPr>
          <w:rFonts w:ascii="Book Antiqua" w:hAnsi="Book Antiqua" w:cs="Arial"/>
        </w:rPr>
        <w:t xml:space="preserve"> need time and financial resources to be able to stand on their own two feet there and </w:t>
      </w:r>
      <w:r w:rsidR="0062529C">
        <w:rPr>
          <w:rFonts w:ascii="Book Antiqua" w:hAnsi="Book Antiqua" w:cs="Arial"/>
        </w:rPr>
        <w:t>possibly</w:t>
      </w:r>
      <w:r>
        <w:rPr>
          <w:rFonts w:ascii="Book Antiqua" w:hAnsi="Book Antiqua" w:cs="Arial"/>
        </w:rPr>
        <w:t xml:space="preserve"> in an area which is unfamiliar to them, the system of household registration in the Ukraine which means that it is not likely that the </w:t>
      </w:r>
      <w:r w:rsidR="0062529C">
        <w:rPr>
          <w:rFonts w:ascii="Book Antiqua" w:hAnsi="Book Antiqua" w:cs="Arial"/>
        </w:rPr>
        <w:t>Appellant</w:t>
      </w:r>
      <w:r>
        <w:rPr>
          <w:rFonts w:ascii="Book Antiqua" w:hAnsi="Book Antiqua" w:cs="Arial"/>
        </w:rPr>
        <w:t>s could register in an area to which they would have to relocate</w:t>
      </w:r>
      <w:r w:rsidR="001906AD">
        <w:rPr>
          <w:rFonts w:ascii="Book Antiqua" w:hAnsi="Book Antiqua" w:cs="Arial"/>
        </w:rPr>
        <w:t xml:space="preserve"> [29]</w:t>
      </w:r>
      <w:r>
        <w:rPr>
          <w:rFonts w:ascii="Book Antiqua" w:hAnsi="Book Antiqua" w:cs="Arial"/>
        </w:rPr>
        <w:t xml:space="preserve">.  </w:t>
      </w:r>
    </w:p>
    <w:p w:rsidR="005410B6" w:rsidRDefault="001906AD" w:rsidP="00DC2ABF">
      <w:pPr>
        <w:numPr>
          <w:ilvl w:val="0"/>
          <w:numId w:val="3"/>
        </w:numPr>
        <w:spacing w:before="240"/>
        <w:jc w:val="both"/>
        <w:rPr>
          <w:rFonts w:ascii="Book Antiqua" w:hAnsi="Book Antiqua" w:cs="Arial"/>
        </w:rPr>
      </w:pPr>
      <w:r>
        <w:rPr>
          <w:rFonts w:ascii="Book Antiqua" w:hAnsi="Book Antiqua" w:cs="Arial"/>
        </w:rPr>
        <w:t xml:space="preserve">The </w:t>
      </w:r>
      <w:r w:rsidR="002936EA">
        <w:rPr>
          <w:rFonts w:ascii="Book Antiqua" w:hAnsi="Book Antiqua" w:cs="Arial"/>
        </w:rPr>
        <w:t xml:space="preserve">judge </w:t>
      </w:r>
      <w:r>
        <w:rPr>
          <w:rFonts w:ascii="Book Antiqua" w:hAnsi="Book Antiqua" w:cs="Arial"/>
        </w:rPr>
        <w:t xml:space="preserve">also </w:t>
      </w:r>
      <w:r w:rsidR="002936EA">
        <w:rPr>
          <w:rFonts w:ascii="Book Antiqua" w:hAnsi="Book Antiqua" w:cs="Arial"/>
        </w:rPr>
        <w:t xml:space="preserve">took into account the decision of the Court of Appeal in </w:t>
      </w:r>
      <w:r w:rsidR="002936EA" w:rsidRPr="00574657">
        <w:rPr>
          <w:rFonts w:ascii="Book Antiqua" w:hAnsi="Book Antiqua" w:cs="Arial"/>
          <w:b/>
          <w:u w:val="single"/>
        </w:rPr>
        <w:t xml:space="preserve">MA (Pakistan) &amp; </w:t>
      </w:r>
      <w:proofErr w:type="spellStart"/>
      <w:r w:rsidR="002936EA" w:rsidRPr="00574657">
        <w:rPr>
          <w:rFonts w:ascii="Book Antiqua" w:hAnsi="Book Antiqua" w:cs="Arial"/>
          <w:b/>
          <w:u w:val="single"/>
        </w:rPr>
        <w:t>Ors</w:t>
      </w:r>
      <w:proofErr w:type="spellEnd"/>
      <w:r w:rsidR="002936EA" w:rsidRPr="00574657">
        <w:rPr>
          <w:rFonts w:ascii="Book Antiqua" w:hAnsi="Book Antiqua" w:cs="Arial"/>
          <w:b/>
        </w:rPr>
        <w:t xml:space="preserve"> [2016] EWCA </w:t>
      </w:r>
      <w:proofErr w:type="spellStart"/>
      <w:r w:rsidR="002936EA" w:rsidRPr="00574657">
        <w:rPr>
          <w:rFonts w:ascii="Book Antiqua" w:hAnsi="Book Antiqua" w:cs="Arial"/>
          <w:b/>
        </w:rPr>
        <w:t>Civ</w:t>
      </w:r>
      <w:proofErr w:type="spellEnd"/>
      <w:r w:rsidR="002936EA" w:rsidRPr="00574657">
        <w:rPr>
          <w:rFonts w:ascii="Book Antiqua" w:hAnsi="Book Antiqua" w:cs="Arial"/>
          <w:b/>
        </w:rPr>
        <w:t xml:space="preserve"> 705</w:t>
      </w:r>
      <w:r w:rsidR="002936EA">
        <w:rPr>
          <w:rFonts w:ascii="Book Antiqua" w:hAnsi="Book Antiqua" w:cs="Arial"/>
        </w:rPr>
        <w:t xml:space="preserve"> where at paragraph 46 the court noted:-</w:t>
      </w:r>
    </w:p>
    <w:p w:rsidR="001906AD" w:rsidRPr="00E21051" w:rsidRDefault="002936EA" w:rsidP="00E21051">
      <w:pPr>
        <w:spacing w:before="120"/>
        <w:ind w:left="1134" w:right="567"/>
        <w:jc w:val="both"/>
        <w:rPr>
          <w:rFonts w:ascii="Book Antiqua" w:hAnsi="Book Antiqua"/>
          <w:color w:val="000000"/>
          <w:sz w:val="22"/>
        </w:rPr>
      </w:pPr>
      <w:bookmarkStart w:id="1" w:name="para46"/>
      <w:r w:rsidRPr="00E21051">
        <w:rPr>
          <w:rFonts w:ascii="Book Antiqua" w:hAnsi="Book Antiqua" w:cs="Arial"/>
          <w:sz w:val="22"/>
        </w:rPr>
        <w:t>“</w:t>
      </w:r>
      <w:r w:rsidR="001906AD" w:rsidRPr="00E21051">
        <w:rPr>
          <w:rFonts w:ascii="Book Antiqua" w:hAnsi="Book Antiqua"/>
          <w:color w:val="000000"/>
          <w:sz w:val="22"/>
        </w:rPr>
        <w:t>Even on the approach of the Secretary of State, the fact that a child has been here for seven years must be given significant weight when carrying out the proportionality exercise. Indeed, the Secretary of State published guidance in August 2015 in the form of Immigration Directorate Instructions entitled "Family Life (as a partner or parent) and Private Life: 10 Year Routes" in which it is expressly stated that once the seven years' residence requirement is satisfied, there need to be "strong reasons" for refusing leave”</w:t>
      </w:r>
      <w:r w:rsidR="00B72035" w:rsidRPr="00E21051">
        <w:rPr>
          <w:rFonts w:ascii="Book Antiqua" w:hAnsi="Book Antiqua"/>
          <w:color w:val="000000"/>
          <w:sz w:val="22"/>
        </w:rPr>
        <w:t>.</w:t>
      </w:r>
    </w:p>
    <w:bookmarkEnd w:id="1"/>
    <w:p w:rsidR="004C0F29" w:rsidRDefault="00B72035" w:rsidP="00DC2ABF">
      <w:pPr>
        <w:numPr>
          <w:ilvl w:val="0"/>
          <w:numId w:val="3"/>
        </w:numPr>
        <w:spacing w:before="240"/>
        <w:jc w:val="both"/>
        <w:rPr>
          <w:rFonts w:ascii="Book Antiqua" w:hAnsi="Book Antiqua" w:cs="Arial"/>
        </w:rPr>
      </w:pPr>
      <w:r>
        <w:rPr>
          <w:rFonts w:ascii="Book Antiqua" w:hAnsi="Book Antiqua" w:cs="Arial"/>
        </w:rPr>
        <w:t xml:space="preserve">Having concluded that the Third Appellant could not meet the requirements of the Immigration Rules the judge considered the factors set out above and was, in my view, entitled to reach the view on the basis of this evidence that </w:t>
      </w:r>
      <w:r w:rsidR="002936EA">
        <w:rPr>
          <w:rFonts w:ascii="Book Antiqua" w:hAnsi="Book Antiqua" w:cs="Arial"/>
        </w:rPr>
        <w:t xml:space="preserve">it was not reasonable to expect the Third </w:t>
      </w:r>
      <w:r w:rsidR="0062529C">
        <w:rPr>
          <w:rFonts w:ascii="Book Antiqua" w:hAnsi="Book Antiqua" w:cs="Arial"/>
        </w:rPr>
        <w:t>Appellant</w:t>
      </w:r>
      <w:r w:rsidR="002936EA">
        <w:rPr>
          <w:rFonts w:ascii="Book Antiqua" w:hAnsi="Book Antiqua" w:cs="Arial"/>
        </w:rPr>
        <w:t xml:space="preserve"> to leave the UK. Having reached that conclusion it is clear that the judge found that the Third </w:t>
      </w:r>
      <w:r w:rsidR="0062529C">
        <w:rPr>
          <w:rFonts w:ascii="Book Antiqua" w:hAnsi="Book Antiqua" w:cs="Arial"/>
        </w:rPr>
        <w:t>Appellant</w:t>
      </w:r>
      <w:r w:rsidR="002936EA">
        <w:rPr>
          <w:rFonts w:ascii="Book Antiqua" w:hAnsi="Book Antiqua" w:cs="Arial"/>
        </w:rPr>
        <w:t xml:space="preserve"> met the substance of the Immigration</w:t>
      </w:r>
      <w:r>
        <w:rPr>
          <w:rFonts w:ascii="Book Antiqua" w:hAnsi="Book Antiqua" w:cs="Arial"/>
        </w:rPr>
        <w:t xml:space="preserve"> Rules despite not having been in the UK for 7 years at the date of the application. This</w:t>
      </w:r>
      <w:r w:rsidR="002936EA">
        <w:rPr>
          <w:rFonts w:ascii="Book Antiqua" w:hAnsi="Book Antiqua" w:cs="Arial"/>
        </w:rPr>
        <w:t xml:space="preserve"> was a weighty factor for the judge to consider in looking at proportionality.  It is clear from the finding at paragraph 32 that the judge considered that the factors relevant to the </w:t>
      </w:r>
      <w:r w:rsidR="0062529C">
        <w:rPr>
          <w:rFonts w:ascii="Book Antiqua" w:hAnsi="Book Antiqua" w:cs="Arial"/>
        </w:rPr>
        <w:t>assessment</w:t>
      </w:r>
      <w:r w:rsidR="002936EA">
        <w:rPr>
          <w:rFonts w:ascii="Book Antiqua" w:hAnsi="Book Antiqua" w:cs="Arial"/>
        </w:rPr>
        <w:t xml:space="preserve"> of reasonableness were the same factors to be considered in relation to proportionality.  </w:t>
      </w:r>
    </w:p>
    <w:p w:rsidR="004C0F29" w:rsidRDefault="00D7201F" w:rsidP="00DC2ABF">
      <w:pPr>
        <w:numPr>
          <w:ilvl w:val="0"/>
          <w:numId w:val="3"/>
        </w:numPr>
        <w:spacing w:before="240"/>
        <w:jc w:val="both"/>
        <w:rPr>
          <w:rFonts w:ascii="Book Antiqua" w:hAnsi="Book Antiqua" w:cs="Arial"/>
        </w:rPr>
      </w:pPr>
      <w:r>
        <w:rPr>
          <w:rFonts w:ascii="Book Antiqua" w:hAnsi="Book Antiqua" w:cs="Arial"/>
        </w:rPr>
        <w:t>The only matter raised by Mr Lindsay at the hearing which could have been made against the finding made by the judge are those in Section 117B(4) and (5)</w:t>
      </w:r>
      <w:r w:rsidR="008533E5">
        <w:rPr>
          <w:rFonts w:ascii="Book Antiqua" w:hAnsi="Book Antiqua" w:cs="Arial"/>
        </w:rPr>
        <w:t>. Section</w:t>
      </w:r>
      <w:r>
        <w:rPr>
          <w:rFonts w:ascii="Book Antiqua" w:hAnsi="Book Antiqua" w:cs="Arial"/>
        </w:rPr>
        <w:t xml:space="preserve"> 117B(4) </w:t>
      </w:r>
      <w:r w:rsidR="008533E5">
        <w:rPr>
          <w:rFonts w:ascii="Book Antiqua" w:hAnsi="Book Antiqua" w:cs="Arial"/>
        </w:rPr>
        <w:t xml:space="preserve">provides </w:t>
      </w:r>
      <w:r>
        <w:rPr>
          <w:rFonts w:ascii="Book Antiqua" w:hAnsi="Book Antiqua" w:cs="Arial"/>
        </w:rPr>
        <w:t xml:space="preserve">that little weight should be given to a private life or a relationship formed with a qualifying partner established when a person is in the UK unlawfully, and 117B(5) </w:t>
      </w:r>
      <w:r w:rsidR="008533E5">
        <w:rPr>
          <w:rFonts w:ascii="Book Antiqua" w:hAnsi="Book Antiqua" w:cs="Arial"/>
        </w:rPr>
        <w:t>provides</w:t>
      </w:r>
      <w:r>
        <w:rPr>
          <w:rFonts w:ascii="Book Antiqua" w:hAnsi="Book Antiqua" w:cs="Arial"/>
        </w:rPr>
        <w:t xml:space="preserve"> that little weight should be given to a private life established by a person at a time when the person’s immigration </w:t>
      </w:r>
      <w:r w:rsidR="0062529C">
        <w:rPr>
          <w:rFonts w:ascii="Book Antiqua" w:hAnsi="Book Antiqua" w:cs="Arial"/>
        </w:rPr>
        <w:t>status</w:t>
      </w:r>
      <w:r>
        <w:rPr>
          <w:rFonts w:ascii="Book Antiqua" w:hAnsi="Book Antiqua" w:cs="Arial"/>
        </w:rPr>
        <w:t xml:space="preserve"> is precarious.  Howeve</w:t>
      </w:r>
      <w:r w:rsidR="004C0F29">
        <w:rPr>
          <w:rFonts w:ascii="Book Antiqua" w:hAnsi="Book Antiqua" w:cs="Arial"/>
        </w:rPr>
        <w:t xml:space="preserve">r, further to those two provisions, </w:t>
      </w:r>
      <w:r>
        <w:rPr>
          <w:rFonts w:ascii="Book Antiqua" w:hAnsi="Book Antiqua" w:cs="Arial"/>
        </w:rPr>
        <w:t xml:space="preserve">Section 117B(6) gives a stronger </w:t>
      </w:r>
      <w:r w:rsidR="0062529C">
        <w:rPr>
          <w:rFonts w:ascii="Book Antiqua" w:hAnsi="Book Antiqua" w:cs="Arial"/>
        </w:rPr>
        <w:t>indication</w:t>
      </w:r>
      <w:r>
        <w:rPr>
          <w:rFonts w:ascii="Book Antiqua" w:hAnsi="Book Antiqua" w:cs="Arial"/>
        </w:rPr>
        <w:t xml:space="preserve"> of the public interest in circumstances where it would not be </w:t>
      </w:r>
      <w:r w:rsidR="0062529C">
        <w:rPr>
          <w:rFonts w:ascii="Book Antiqua" w:hAnsi="Book Antiqua" w:cs="Arial"/>
        </w:rPr>
        <w:t>reasonable</w:t>
      </w:r>
      <w:r>
        <w:rPr>
          <w:rFonts w:ascii="Book Antiqua" w:hAnsi="Book Antiqua" w:cs="Arial"/>
        </w:rPr>
        <w:t xml:space="preserve"> to expect a child to leave the UK.  </w:t>
      </w:r>
    </w:p>
    <w:p w:rsidR="004C0F29" w:rsidRDefault="00D7201F" w:rsidP="00DC2ABF">
      <w:pPr>
        <w:numPr>
          <w:ilvl w:val="0"/>
          <w:numId w:val="3"/>
        </w:numPr>
        <w:spacing w:before="240"/>
        <w:jc w:val="both"/>
        <w:rPr>
          <w:rFonts w:ascii="Book Antiqua" w:hAnsi="Book Antiqua" w:cs="Arial"/>
        </w:rPr>
      </w:pPr>
      <w:r>
        <w:rPr>
          <w:rFonts w:ascii="Book Antiqua" w:hAnsi="Book Antiqua" w:cs="Arial"/>
        </w:rPr>
        <w:t xml:space="preserve">In my view, had the judge expressly considered 117B(4) and (5) it could not have made any material difference to the outcome.  I accept that the judge could have expressly considered Section 117B(4) and (5), however </w:t>
      </w:r>
      <w:r w:rsidR="004C0F29">
        <w:rPr>
          <w:rFonts w:ascii="Book Antiqua" w:hAnsi="Book Antiqua" w:cs="Arial"/>
        </w:rPr>
        <w:t>he</w:t>
      </w:r>
      <w:r>
        <w:rPr>
          <w:rFonts w:ascii="Book Antiqua" w:hAnsi="Book Antiqua" w:cs="Arial"/>
        </w:rPr>
        <w:t xml:space="preserve"> referred to the oral evidence </w:t>
      </w:r>
      <w:r w:rsidR="004C0F29">
        <w:rPr>
          <w:rFonts w:ascii="Book Antiqua" w:hAnsi="Book Antiqua" w:cs="Arial"/>
        </w:rPr>
        <w:t xml:space="preserve">as to </w:t>
      </w:r>
      <w:r>
        <w:rPr>
          <w:rFonts w:ascii="Book Antiqua" w:hAnsi="Book Antiqua" w:cs="Arial"/>
        </w:rPr>
        <w:t xml:space="preserve">the </w:t>
      </w:r>
      <w:r>
        <w:rPr>
          <w:rFonts w:ascii="Book Antiqua" w:hAnsi="Book Antiqua" w:cs="Arial"/>
        </w:rPr>
        <w:lastRenderedPageBreak/>
        <w:t xml:space="preserve">precarious nature of the immigration status of the </w:t>
      </w:r>
      <w:r w:rsidR="0062529C">
        <w:rPr>
          <w:rFonts w:ascii="Book Antiqua" w:hAnsi="Book Antiqua" w:cs="Arial"/>
        </w:rPr>
        <w:t>parents</w:t>
      </w:r>
      <w:r>
        <w:rPr>
          <w:rFonts w:ascii="Book Antiqua" w:hAnsi="Book Antiqua" w:cs="Arial"/>
        </w:rPr>
        <w:t xml:space="preserve"> at paragraph 18 and referred to the public interest considerations in Section 117B at paragraph 33.  </w:t>
      </w:r>
    </w:p>
    <w:p w:rsidR="0062529C" w:rsidRDefault="00D7201F" w:rsidP="00DC2ABF">
      <w:pPr>
        <w:numPr>
          <w:ilvl w:val="0"/>
          <w:numId w:val="3"/>
        </w:numPr>
        <w:spacing w:before="240"/>
        <w:jc w:val="both"/>
        <w:rPr>
          <w:rFonts w:ascii="Book Antiqua" w:hAnsi="Book Antiqua" w:cs="Arial"/>
        </w:rPr>
      </w:pPr>
      <w:r>
        <w:rPr>
          <w:rFonts w:ascii="Book Antiqua" w:hAnsi="Book Antiqua" w:cs="Arial"/>
        </w:rPr>
        <w:t xml:space="preserve">I bear in mind the guidance in </w:t>
      </w:r>
      <w:r w:rsidRPr="00D7201F">
        <w:rPr>
          <w:rFonts w:ascii="Book Antiqua" w:hAnsi="Book Antiqua" w:cs="Arial"/>
          <w:b/>
          <w:u w:val="single"/>
        </w:rPr>
        <w:t>MD (Turkey) v Secretary of State for the Home Department</w:t>
      </w:r>
      <w:r w:rsidRPr="00D7201F">
        <w:rPr>
          <w:rFonts w:ascii="Book Antiqua" w:hAnsi="Book Antiqua" w:cs="Arial"/>
          <w:b/>
        </w:rPr>
        <w:t xml:space="preserve"> [2017] EWCA </w:t>
      </w:r>
      <w:proofErr w:type="spellStart"/>
      <w:r w:rsidRPr="00D7201F">
        <w:rPr>
          <w:rFonts w:ascii="Book Antiqua" w:hAnsi="Book Antiqua" w:cs="Arial"/>
          <w:b/>
        </w:rPr>
        <w:t>Civ</w:t>
      </w:r>
      <w:proofErr w:type="spellEnd"/>
      <w:r w:rsidRPr="00D7201F">
        <w:rPr>
          <w:rFonts w:ascii="Book Antiqua" w:hAnsi="Book Antiqua" w:cs="Arial"/>
          <w:b/>
        </w:rPr>
        <w:t xml:space="preserve"> 1958</w:t>
      </w:r>
      <w:r>
        <w:rPr>
          <w:rFonts w:ascii="Book Antiqua" w:hAnsi="Book Antiqua" w:cs="Arial"/>
        </w:rPr>
        <w:t xml:space="preserve"> where Lord Justice Singh said at paragraph 26 that the duty to give reasons requires that reasons must be “proper, intelligible and adequate” and that adequacy in this context</w:t>
      </w:r>
      <w:r w:rsidR="0062529C">
        <w:rPr>
          <w:rFonts w:ascii="Book Antiqua" w:hAnsi="Book Antiqua" w:cs="Arial"/>
        </w:rPr>
        <w:t>:-</w:t>
      </w:r>
    </w:p>
    <w:p w:rsidR="002936EA" w:rsidRPr="00E21051" w:rsidRDefault="00D7201F" w:rsidP="00E21051">
      <w:pPr>
        <w:spacing w:before="120" w:after="120"/>
        <w:ind w:left="1134" w:right="567"/>
        <w:jc w:val="both"/>
        <w:rPr>
          <w:rFonts w:ascii="Book Antiqua" w:hAnsi="Book Antiqua" w:cs="Arial"/>
          <w:sz w:val="22"/>
        </w:rPr>
      </w:pPr>
      <w:r w:rsidRPr="00E21051">
        <w:rPr>
          <w:rFonts w:ascii="Book Antiqua" w:hAnsi="Book Antiqua" w:cs="Arial"/>
          <w:sz w:val="22"/>
        </w:rPr>
        <w:t>“</w:t>
      </w:r>
      <w:r w:rsidR="004C0F29" w:rsidRPr="00E21051">
        <w:rPr>
          <w:rFonts w:ascii="Book Antiqua" w:hAnsi="Book Antiqua" w:cs="Arial"/>
          <w:sz w:val="22"/>
        </w:rPr>
        <w:t>…</w:t>
      </w:r>
      <w:r w:rsidR="00E21051" w:rsidRPr="00E21051">
        <w:rPr>
          <w:rFonts w:ascii="Book Antiqua" w:hAnsi="Book Antiqua" w:cs="Arial"/>
          <w:sz w:val="22"/>
        </w:rPr>
        <w:t xml:space="preserve"> </w:t>
      </w:r>
      <w:r w:rsidRPr="00E21051">
        <w:rPr>
          <w:rFonts w:ascii="Book Antiqua" w:hAnsi="Book Antiqua" w:cs="Arial"/>
          <w:sz w:val="22"/>
        </w:rPr>
        <w:t>is precisely that, no more and no less.  It is not a coun</w:t>
      </w:r>
      <w:r w:rsidR="004C0F29" w:rsidRPr="00E21051">
        <w:rPr>
          <w:rFonts w:ascii="Book Antiqua" w:hAnsi="Book Antiqua" w:cs="Arial"/>
          <w:sz w:val="22"/>
        </w:rPr>
        <w:t>sel</w:t>
      </w:r>
      <w:r w:rsidRPr="00E21051">
        <w:rPr>
          <w:rFonts w:ascii="Book Antiqua" w:hAnsi="Book Antiqua" w:cs="Arial"/>
          <w:sz w:val="22"/>
        </w:rPr>
        <w:t xml:space="preserve"> of perfection.  Still less should provide an opportunity to undertake a qualitative </w:t>
      </w:r>
      <w:r w:rsidR="0062529C" w:rsidRPr="00E21051">
        <w:rPr>
          <w:rFonts w:ascii="Book Antiqua" w:hAnsi="Book Antiqua" w:cs="Arial"/>
          <w:sz w:val="22"/>
        </w:rPr>
        <w:t>assessment</w:t>
      </w:r>
      <w:r w:rsidRPr="00E21051">
        <w:rPr>
          <w:rFonts w:ascii="Book Antiqua" w:hAnsi="Book Antiqua" w:cs="Arial"/>
          <w:sz w:val="22"/>
        </w:rPr>
        <w:t xml:space="preserve"> of the reasons to see if they are wanting, perhaps even surprising, on their merits.  The purpose of the duty to give reasons is, in part, to enable the losing part to know why she has lost.  </w:t>
      </w:r>
      <w:r w:rsidR="0062529C" w:rsidRPr="00E21051">
        <w:rPr>
          <w:rFonts w:ascii="Book Antiqua" w:hAnsi="Book Antiqua" w:cs="Arial"/>
          <w:sz w:val="22"/>
        </w:rPr>
        <w:t>It is also to enable an appellate court or Tribunal to see what the reasons for the decision are so that they can be examined in case some error of protest is being committed”.</w:t>
      </w:r>
    </w:p>
    <w:p w:rsidR="00D7201F" w:rsidRDefault="004C0F29" w:rsidP="004C0F29">
      <w:pPr>
        <w:numPr>
          <w:ilvl w:val="0"/>
          <w:numId w:val="3"/>
        </w:numPr>
        <w:spacing w:before="240"/>
        <w:jc w:val="both"/>
        <w:rPr>
          <w:rFonts w:ascii="Book Antiqua" w:hAnsi="Book Antiqua" w:cs="Arial"/>
        </w:rPr>
      </w:pPr>
      <w:r>
        <w:rPr>
          <w:rFonts w:ascii="Book Antiqua" w:hAnsi="Book Antiqua" w:cs="Arial"/>
        </w:rPr>
        <w:t>In my view the judge’s consideration of this matter is adequate. The factors taken into account, the weight attached to these factors and the reasons for allowing the appeal are clear from reading the decision</w:t>
      </w:r>
      <w:r w:rsidR="0062529C">
        <w:rPr>
          <w:rFonts w:ascii="Book Antiqua" w:hAnsi="Book Antiqua" w:cs="Arial"/>
        </w:rPr>
        <w:t xml:space="preserve">. In these circumstances there is no material error of law in the judge’s approach to this appeal.  </w:t>
      </w:r>
    </w:p>
    <w:p w:rsidR="0062529C" w:rsidRPr="0062529C" w:rsidRDefault="0062529C" w:rsidP="0062529C">
      <w:pPr>
        <w:spacing w:before="240"/>
        <w:jc w:val="both"/>
        <w:rPr>
          <w:rFonts w:ascii="Book Antiqua" w:hAnsi="Book Antiqua" w:cs="Arial"/>
          <w:b/>
          <w:u w:val="single"/>
        </w:rPr>
      </w:pPr>
      <w:r w:rsidRPr="0062529C">
        <w:rPr>
          <w:rFonts w:ascii="Book Antiqua" w:hAnsi="Book Antiqua" w:cs="Arial"/>
          <w:b/>
          <w:u w:val="single"/>
        </w:rPr>
        <w:t xml:space="preserve">Notice of Decision </w:t>
      </w:r>
    </w:p>
    <w:p w:rsidR="0062529C" w:rsidRDefault="0062529C" w:rsidP="00DC2ABF">
      <w:pPr>
        <w:numPr>
          <w:ilvl w:val="0"/>
          <w:numId w:val="3"/>
        </w:numPr>
        <w:spacing w:before="240"/>
        <w:jc w:val="both"/>
        <w:rPr>
          <w:rFonts w:ascii="Book Antiqua" w:hAnsi="Book Antiqua" w:cs="Arial"/>
        </w:rPr>
      </w:pPr>
      <w:r>
        <w:rPr>
          <w:rFonts w:ascii="Book Antiqua" w:hAnsi="Book Antiqua" w:cs="Arial"/>
        </w:rPr>
        <w:t>The decision of the First-tier Tribunal Judge does not contain a material error of law.</w:t>
      </w:r>
    </w:p>
    <w:p w:rsidR="0062529C" w:rsidRDefault="0062529C" w:rsidP="00DC2ABF">
      <w:pPr>
        <w:numPr>
          <w:ilvl w:val="0"/>
          <w:numId w:val="3"/>
        </w:numPr>
        <w:spacing w:before="240"/>
        <w:jc w:val="both"/>
        <w:rPr>
          <w:rFonts w:ascii="Book Antiqua" w:hAnsi="Book Antiqua" w:cs="Arial"/>
        </w:rPr>
      </w:pPr>
      <w:r>
        <w:rPr>
          <w:rFonts w:ascii="Book Antiqua" w:hAnsi="Book Antiqua" w:cs="Arial"/>
        </w:rPr>
        <w:t xml:space="preserve">The decision of the First-tier Tribunal shall stand.  </w:t>
      </w:r>
    </w:p>
    <w:p w:rsidR="005572A7" w:rsidRDefault="005572A7" w:rsidP="005572A7">
      <w:pPr>
        <w:jc w:val="both"/>
        <w:rPr>
          <w:rFonts w:ascii="Book Antiqua" w:hAnsi="Book Antiqua" w:cs="Arial"/>
          <w:b/>
          <w:u w:val="single"/>
        </w:rPr>
      </w:pPr>
    </w:p>
    <w:p w:rsidR="005572A7" w:rsidRPr="009D2749" w:rsidRDefault="005572A7" w:rsidP="005572A7">
      <w:pPr>
        <w:jc w:val="both"/>
        <w:rPr>
          <w:rFonts w:ascii="Book Antiqua" w:hAnsi="Book Antiqua" w:cs="Arial"/>
        </w:rPr>
      </w:pPr>
      <w:r w:rsidRPr="009D2749">
        <w:rPr>
          <w:rFonts w:ascii="Book Antiqua" w:hAnsi="Book Antiqua" w:cs="Arial"/>
          <w:b/>
          <w:u w:val="single"/>
        </w:rPr>
        <w:t>Direction Regarding Anonymity – Rule 14 of the Tribunal Procedure (Upper Tribunal) Rules 2008</w:t>
      </w:r>
    </w:p>
    <w:p w:rsidR="005572A7" w:rsidRPr="009D2749" w:rsidRDefault="005572A7" w:rsidP="005572A7">
      <w:pPr>
        <w:jc w:val="both"/>
        <w:rPr>
          <w:rFonts w:ascii="Book Antiqua" w:hAnsi="Book Antiqua" w:cs="Arial"/>
        </w:rPr>
      </w:pPr>
    </w:p>
    <w:p w:rsidR="005572A7" w:rsidRDefault="005572A7" w:rsidP="004C0F29">
      <w:pPr>
        <w:jc w:val="both"/>
        <w:rPr>
          <w:rFonts w:ascii="Book Antiqua" w:hAnsi="Book Antiqua" w:cs="Arial"/>
        </w:rPr>
      </w:pPr>
      <w:r w:rsidRPr="009D2749">
        <w:rPr>
          <w:rFonts w:ascii="Book Antiqua" w:hAnsi="Book Antiqua" w:cs="Arial"/>
        </w:rPr>
        <w:t xml:space="preserve">Unless and </w:t>
      </w:r>
      <w:r w:rsidRPr="009D2749">
        <w:rPr>
          <w:rFonts w:ascii="Book Antiqua" w:hAnsi="Book Antiqua"/>
        </w:rPr>
        <w:t xml:space="preserve">until a Tribunal or court directs otherwise, the </w:t>
      </w:r>
      <w:r>
        <w:rPr>
          <w:rFonts w:ascii="Book Antiqua" w:hAnsi="Book Antiqua"/>
        </w:rPr>
        <w:t>Appellants are</w:t>
      </w:r>
      <w:r w:rsidRPr="009D2749">
        <w:rPr>
          <w:rFonts w:ascii="Book Antiqua" w:hAnsi="Book Antiqua"/>
        </w:rPr>
        <w:t xml:space="preserve"> granted anonymity.  No report of these proceedings shall directly or indirectly identify </w:t>
      </w:r>
      <w:r>
        <w:rPr>
          <w:rFonts w:ascii="Book Antiqua" w:hAnsi="Book Antiqua"/>
        </w:rPr>
        <w:t xml:space="preserve">them </w:t>
      </w:r>
      <w:r w:rsidRPr="009D2749">
        <w:rPr>
          <w:rFonts w:ascii="Book Antiqua" w:hAnsi="Book Antiqua"/>
        </w:rPr>
        <w:t xml:space="preserve">or any member of their family.  This direction applies both to the </w:t>
      </w:r>
      <w:r>
        <w:rPr>
          <w:rFonts w:ascii="Book Antiqua" w:hAnsi="Book Antiqua"/>
        </w:rPr>
        <w:t>Appellants</w:t>
      </w:r>
      <w:r w:rsidRPr="009D2749">
        <w:rPr>
          <w:rFonts w:ascii="Book Antiqua" w:hAnsi="Book Antiqua"/>
        </w:rPr>
        <w:t xml:space="preserve"> and to the </w:t>
      </w:r>
      <w:r>
        <w:rPr>
          <w:rFonts w:ascii="Book Antiqua" w:hAnsi="Book Antiqua"/>
        </w:rPr>
        <w:t>Respondent</w:t>
      </w:r>
      <w:r w:rsidRPr="009D2749">
        <w:rPr>
          <w:rFonts w:ascii="Book Antiqua" w:hAnsi="Book Antiqua"/>
        </w:rPr>
        <w:t>.  Failure to comply with this direction could lead to contempt of court proceedings.</w:t>
      </w:r>
    </w:p>
    <w:p w:rsidR="004C0F29" w:rsidRDefault="004C0F29" w:rsidP="004C0F29">
      <w:pPr>
        <w:jc w:val="both"/>
        <w:rPr>
          <w:rFonts w:ascii="Book Antiqua" w:hAnsi="Book Antiqua" w:cs="Arial"/>
        </w:rPr>
      </w:pPr>
    </w:p>
    <w:p w:rsidR="004C0F29" w:rsidRDefault="004C0F29" w:rsidP="004C0F29">
      <w:pPr>
        <w:jc w:val="both"/>
        <w:rPr>
          <w:rFonts w:ascii="Book Antiqua" w:hAnsi="Book Antiqua" w:cs="Arial"/>
        </w:rPr>
      </w:pPr>
    </w:p>
    <w:p w:rsidR="004C0F29" w:rsidRPr="00F5664C" w:rsidRDefault="004C0F29" w:rsidP="004C0F2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18</w:t>
      </w:r>
      <w:r w:rsidRPr="004C0F29">
        <w:rPr>
          <w:rFonts w:ascii="Book Antiqua" w:hAnsi="Book Antiqua" w:cs="Arial"/>
          <w:vertAlign w:val="superscript"/>
        </w:rPr>
        <w:t>th</w:t>
      </w:r>
      <w:r>
        <w:rPr>
          <w:rFonts w:ascii="Book Antiqua" w:hAnsi="Book Antiqua" w:cs="Arial"/>
        </w:rPr>
        <w:t xml:space="preserve"> June 2018</w:t>
      </w:r>
    </w:p>
    <w:p w:rsidR="004C0F29" w:rsidRDefault="004C0F29" w:rsidP="004C0F29">
      <w:pPr>
        <w:tabs>
          <w:tab w:val="left" w:pos="2520"/>
        </w:tabs>
        <w:jc w:val="both"/>
        <w:rPr>
          <w:rFonts w:ascii="Book Antiqua" w:hAnsi="Book Antiqua" w:cs="Arial"/>
        </w:rPr>
      </w:pPr>
    </w:p>
    <w:p w:rsidR="004C0F29" w:rsidRDefault="004C0F29" w:rsidP="004C0F29">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p w:rsidR="00E21051" w:rsidRDefault="00E21051" w:rsidP="009D2749">
      <w:pPr>
        <w:jc w:val="both"/>
        <w:rPr>
          <w:rFonts w:ascii="Book Antiqua" w:hAnsi="Book Antiqua" w:cs="Arial"/>
        </w:rPr>
      </w:pPr>
    </w:p>
    <w:p w:rsidR="00E21051" w:rsidRDefault="00E21051">
      <w:pPr>
        <w:rPr>
          <w:rFonts w:ascii="Book Antiqua" w:hAnsi="Book Antiqua" w:cs="Arial"/>
        </w:rPr>
      </w:pPr>
      <w:r>
        <w:rPr>
          <w:rFonts w:ascii="Book Antiqua" w:hAnsi="Book Antiqua" w:cs="Arial"/>
        </w:rPr>
        <w:br w:type="page"/>
      </w:r>
    </w:p>
    <w:p w:rsidR="00E21051" w:rsidRDefault="00E21051" w:rsidP="009D2749">
      <w:pPr>
        <w:jc w:val="both"/>
        <w:rPr>
          <w:rFonts w:ascii="Book Antiqua" w:hAnsi="Book Antiqua" w:cs="Arial"/>
        </w:rPr>
      </w:pPr>
    </w:p>
    <w:p w:rsidR="009D2749" w:rsidRPr="009D2749" w:rsidRDefault="009D2749" w:rsidP="009D2749">
      <w:pPr>
        <w:jc w:val="both"/>
        <w:rPr>
          <w:rFonts w:ascii="Book Antiqua" w:hAnsi="Book Antiqua" w:cs="Arial"/>
          <w:b/>
          <w:u w:val="single"/>
        </w:rPr>
      </w:pPr>
      <w:r w:rsidRPr="009D2749">
        <w:rPr>
          <w:rFonts w:ascii="Book Antiqua" w:hAnsi="Book Antiqua" w:cs="Arial"/>
          <w:b/>
          <w:u w:val="single"/>
        </w:rPr>
        <w:t xml:space="preserve">TO THE </w:t>
      </w:r>
      <w:r w:rsidR="0062529C">
        <w:rPr>
          <w:rFonts w:ascii="Book Antiqua" w:hAnsi="Book Antiqua" w:cs="Arial"/>
          <w:b/>
          <w:u w:val="single"/>
        </w:rPr>
        <w:t>RESPONDENT</w:t>
      </w:r>
    </w:p>
    <w:p w:rsidR="009D2749" w:rsidRPr="009D2749" w:rsidRDefault="009D2749" w:rsidP="009D2749">
      <w:pPr>
        <w:ind w:left="567" w:hanging="567"/>
        <w:jc w:val="both"/>
        <w:rPr>
          <w:rFonts w:ascii="Book Antiqua" w:hAnsi="Book Antiqua" w:cs="Arial"/>
        </w:rPr>
      </w:pPr>
      <w:r w:rsidRPr="009D2749">
        <w:rPr>
          <w:rFonts w:ascii="Book Antiqua" w:hAnsi="Book Antiqua" w:cs="Arial"/>
          <w:b/>
          <w:u w:val="single"/>
        </w:rPr>
        <w:t>FEE AWARD</w:t>
      </w:r>
    </w:p>
    <w:p w:rsidR="009D2749" w:rsidRPr="009D2749" w:rsidRDefault="009D2749" w:rsidP="009D2749">
      <w:pPr>
        <w:ind w:left="567" w:hanging="567"/>
        <w:jc w:val="both"/>
        <w:rPr>
          <w:rFonts w:ascii="Book Antiqua" w:hAnsi="Book Antiqua" w:cs="Arial"/>
        </w:rPr>
      </w:pPr>
    </w:p>
    <w:p w:rsidR="009D2749" w:rsidRDefault="0062529C" w:rsidP="009D2749">
      <w:pPr>
        <w:jc w:val="both"/>
        <w:rPr>
          <w:rFonts w:ascii="Book Antiqua" w:hAnsi="Book Antiqua" w:cs="Arial"/>
        </w:rPr>
      </w:pPr>
      <w:r>
        <w:rPr>
          <w:rFonts w:ascii="Book Antiqua" w:hAnsi="Book Antiqua" w:cs="Arial"/>
        </w:rPr>
        <w:t xml:space="preserve">I maintain the fee award made by the First-tier Tribunal.  </w:t>
      </w:r>
    </w:p>
    <w:p w:rsidR="009D2749" w:rsidRDefault="009D2749" w:rsidP="009D2749">
      <w:pPr>
        <w:jc w:val="both"/>
        <w:rPr>
          <w:rFonts w:ascii="Book Antiqua" w:hAnsi="Book Antiqua" w:cs="Arial"/>
        </w:rPr>
      </w:pPr>
    </w:p>
    <w:p w:rsidR="009D2749" w:rsidRDefault="009D2749" w:rsidP="009D2749">
      <w:pPr>
        <w:jc w:val="both"/>
        <w:rPr>
          <w:rFonts w:ascii="Book Antiqua" w:hAnsi="Book Antiqua" w:cs="Arial"/>
        </w:rPr>
      </w:pPr>
    </w:p>
    <w:p w:rsidR="009D2749" w:rsidRPr="00F5664C" w:rsidRDefault="009D2749"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4C0F29">
        <w:rPr>
          <w:rFonts w:ascii="Book Antiqua" w:hAnsi="Book Antiqua" w:cs="Arial"/>
        </w:rPr>
        <w:t>: 18</w:t>
      </w:r>
      <w:r w:rsidR="004C0F29" w:rsidRPr="004C0F29">
        <w:rPr>
          <w:rFonts w:ascii="Book Antiqua" w:hAnsi="Book Antiqua" w:cs="Arial"/>
          <w:vertAlign w:val="superscript"/>
        </w:rPr>
        <w:t>th</w:t>
      </w:r>
      <w:r w:rsidR="004C0F29">
        <w:rPr>
          <w:rFonts w:ascii="Book Antiqua" w:hAnsi="Book Antiqua" w:cs="Arial"/>
        </w:rPr>
        <w:t xml:space="preserve"> June 2018</w:t>
      </w:r>
    </w:p>
    <w:p w:rsidR="009D2749" w:rsidRPr="00F5664C" w:rsidRDefault="009D2749" w:rsidP="009D2749">
      <w:pPr>
        <w:tabs>
          <w:tab w:val="left" w:pos="2520"/>
        </w:tabs>
        <w:jc w:val="both"/>
        <w:rPr>
          <w:rFonts w:ascii="Book Antiqua" w:hAnsi="Book Antiqua" w:cs="Arial"/>
        </w:rPr>
      </w:pPr>
    </w:p>
    <w:p w:rsidR="009D2749" w:rsidRDefault="009D2749" w:rsidP="009D2749">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sectPr w:rsidR="009D274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799" w:rsidRDefault="00302799">
      <w:r>
        <w:separator/>
      </w:r>
    </w:p>
  </w:endnote>
  <w:endnote w:type="continuationSeparator" w:id="0">
    <w:p w:rsidR="00302799" w:rsidRDefault="00302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6BB" w:rsidRPr="00F5664C" w:rsidRDefault="008776B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D506F8">
      <w:rPr>
        <w:rStyle w:val="PageNumber"/>
        <w:rFonts w:ascii="Book Antiqua" w:hAnsi="Book Antiqua" w:cs="Arial"/>
        <w:noProof/>
        <w:sz w:val="16"/>
        <w:szCs w:val="16"/>
      </w:rPr>
      <w:t>7</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6BB" w:rsidRPr="00F5664C" w:rsidRDefault="008776B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799" w:rsidRDefault="00302799">
      <w:r>
        <w:separator/>
      </w:r>
    </w:p>
  </w:footnote>
  <w:footnote w:type="continuationSeparator" w:id="0">
    <w:p w:rsidR="00302799" w:rsidRDefault="00302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6BB" w:rsidRPr="00C33BC7" w:rsidRDefault="008776BB" w:rsidP="00C33BC7">
    <w:pPr>
      <w:pStyle w:val="Header"/>
      <w:jc w:val="right"/>
      <w:rPr>
        <w:rFonts w:ascii="Book Antiqua" w:hAnsi="Book Antiqua" w:cs="Arial"/>
        <w:sz w:val="16"/>
        <w:szCs w:val="16"/>
      </w:rPr>
    </w:pPr>
    <w:r>
      <w:rPr>
        <w:rFonts w:ascii="Book Antiqua" w:hAnsi="Book Antiqua" w:cs="Arial"/>
        <w:sz w:val="16"/>
        <w:szCs w:val="16"/>
      </w:rPr>
      <w:t xml:space="preserve">Appeal Numbers: </w:t>
    </w:r>
    <w:r w:rsidRPr="00C33BC7">
      <w:rPr>
        <w:rFonts w:ascii="Book Antiqua" w:hAnsi="Book Antiqua" w:cs="Arial"/>
        <w:sz w:val="16"/>
        <w:szCs w:val="16"/>
      </w:rPr>
      <w:t>HU/13094/2016</w:t>
    </w:r>
  </w:p>
  <w:p w:rsidR="008776BB" w:rsidRPr="00C33BC7" w:rsidRDefault="008776BB" w:rsidP="00C33BC7">
    <w:pPr>
      <w:pStyle w:val="Header"/>
      <w:jc w:val="right"/>
      <w:rPr>
        <w:rFonts w:ascii="Book Antiqua" w:hAnsi="Book Antiqua" w:cs="Arial"/>
        <w:sz w:val="16"/>
        <w:szCs w:val="16"/>
      </w:rPr>
    </w:pPr>
    <w:r w:rsidRPr="00C33BC7">
      <w:rPr>
        <w:rFonts w:ascii="Book Antiqua" w:hAnsi="Book Antiqua" w:cs="Arial"/>
        <w:sz w:val="16"/>
        <w:szCs w:val="16"/>
      </w:rPr>
      <w:t>HU/18576/2016</w:t>
    </w:r>
  </w:p>
  <w:p w:rsidR="008776BB" w:rsidRPr="00C33BC7" w:rsidRDefault="008776BB" w:rsidP="00C33BC7">
    <w:pPr>
      <w:pStyle w:val="Header"/>
      <w:jc w:val="right"/>
      <w:rPr>
        <w:rFonts w:ascii="Book Antiqua" w:hAnsi="Book Antiqua" w:cs="Arial"/>
        <w:sz w:val="16"/>
        <w:szCs w:val="16"/>
      </w:rPr>
    </w:pPr>
    <w:r w:rsidRPr="00C33BC7">
      <w:rPr>
        <w:rFonts w:ascii="Book Antiqua" w:hAnsi="Book Antiqua" w:cs="Arial"/>
        <w:sz w:val="16"/>
        <w:szCs w:val="16"/>
      </w:rPr>
      <w:t>HU/18581/2016</w:t>
    </w:r>
  </w:p>
  <w:p w:rsidR="008776BB" w:rsidRDefault="008776BB" w:rsidP="00C33BC7">
    <w:pPr>
      <w:pStyle w:val="Header"/>
      <w:tabs>
        <w:tab w:val="clear" w:pos="4153"/>
        <w:tab w:val="clear" w:pos="8306"/>
        <w:tab w:val="right" w:pos="9639"/>
      </w:tabs>
      <w:jc w:val="right"/>
      <w:rPr>
        <w:rFonts w:ascii="Book Antiqua" w:hAnsi="Book Antiqua" w:cs="Arial"/>
        <w:sz w:val="16"/>
        <w:szCs w:val="16"/>
      </w:rPr>
    </w:pPr>
    <w:r w:rsidRPr="00C33BC7">
      <w:rPr>
        <w:rFonts w:ascii="Book Antiqua" w:hAnsi="Book Antiqua" w:cs="Arial"/>
        <w:sz w:val="16"/>
        <w:szCs w:val="16"/>
      </w:rPr>
      <w:t>HU/18585/2016</w:t>
    </w:r>
  </w:p>
  <w:p w:rsidR="00E21051" w:rsidRPr="00F5664C" w:rsidRDefault="00E21051" w:rsidP="00C33BC7">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6BB" w:rsidRPr="00F5664C" w:rsidRDefault="008776B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09C596C"/>
    <w:multiLevelType w:val="hybridMultilevel"/>
    <w:tmpl w:val="BA3ABA66"/>
    <w:lvl w:ilvl="0" w:tplc="0809000F">
      <w:start w:val="1"/>
      <w:numFmt w:val="decimal"/>
      <w:lvlText w:val="%1."/>
      <w:lvlJc w:val="left"/>
      <w:pPr>
        <w:tabs>
          <w:tab w:val="num" w:pos="1080"/>
        </w:tabs>
        <w:ind w:left="1080" w:hanging="360"/>
      </w:pPr>
    </w:lvl>
    <w:lvl w:ilvl="1" w:tplc="5A6EB164">
      <w:start w:val="1"/>
      <w:numFmt w:val="decimal"/>
      <w:lvlText w:val="(%2)"/>
      <w:lvlJc w:val="left"/>
      <w:pPr>
        <w:tabs>
          <w:tab w:val="num" w:pos="1440"/>
        </w:tabs>
        <w:ind w:left="1440" w:hanging="360"/>
      </w:pPr>
      <w:rPr>
        <w:rFonts w:hint="default"/>
      </w:rPr>
    </w:lvl>
    <w:lvl w:ilvl="2" w:tplc="E4BE00FC">
      <w:start w:val="1"/>
      <w:numFmt w:val="lowerRoman"/>
      <w:lvlText w:val="(%3)"/>
      <w:lvlJc w:val="left"/>
      <w:pPr>
        <w:tabs>
          <w:tab w:val="num" w:pos="2700"/>
        </w:tabs>
        <w:ind w:left="2700" w:hanging="720"/>
      </w:pPr>
      <w:rPr>
        <w:rFonts w:hint="default"/>
      </w:rPr>
    </w:lvl>
    <w:lvl w:ilvl="3" w:tplc="CA745D5C">
      <w:start w:val="2"/>
      <w:numFmt w:val="bullet"/>
      <w:lvlText w:val="-"/>
      <w:lvlJc w:val="left"/>
      <w:pPr>
        <w:tabs>
          <w:tab w:val="num" w:pos="2955"/>
        </w:tabs>
        <w:ind w:left="2955" w:hanging="435"/>
      </w:pPr>
      <w:rPr>
        <w:rFonts w:ascii="Book Antiqua" w:eastAsia="Times New Roman" w:hAnsi="Book Antiqua" w:cs="Arial" w:hint="default"/>
        <w:color w:val="auto"/>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4D60EB8"/>
    <w:multiLevelType w:val="multilevel"/>
    <w:tmpl w:val="D7B858E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5C424F1"/>
    <w:multiLevelType w:val="multilevel"/>
    <w:tmpl w:val="DD08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B85690"/>
    <w:multiLevelType w:val="multilevel"/>
    <w:tmpl w:val="0158D7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BAE264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3"/>
  </w:num>
  <w:num w:numId="3">
    <w:abstractNumId w:val="3"/>
  </w:num>
  <w:num w:numId="4">
    <w:abstractNumId w:val="10"/>
  </w:num>
  <w:num w:numId="5">
    <w:abstractNumId w:val="21"/>
  </w:num>
  <w:num w:numId="6">
    <w:abstractNumId w:val="11"/>
  </w:num>
  <w:num w:numId="7">
    <w:abstractNumId w:val="19"/>
  </w:num>
  <w:num w:numId="8">
    <w:abstractNumId w:val="8"/>
  </w:num>
  <w:num w:numId="9">
    <w:abstractNumId w:val="7"/>
  </w:num>
  <w:num w:numId="10">
    <w:abstractNumId w:val="16"/>
  </w:num>
  <w:num w:numId="11">
    <w:abstractNumId w:val="15"/>
  </w:num>
  <w:num w:numId="12">
    <w:abstractNumId w:val="1"/>
  </w:num>
  <w:num w:numId="13">
    <w:abstractNumId w:val="14"/>
  </w:num>
  <w:num w:numId="14">
    <w:abstractNumId w:val="0"/>
  </w:num>
  <w:num w:numId="15">
    <w:abstractNumId w:val="4"/>
  </w:num>
  <w:num w:numId="16">
    <w:abstractNumId w:val="6"/>
  </w:num>
  <w:num w:numId="17">
    <w:abstractNumId w:val="12"/>
  </w:num>
  <w:num w:numId="18">
    <w:abstractNumId w:val="9"/>
  </w:num>
  <w:num w:numId="19">
    <w:abstractNumId w:val="20"/>
  </w:num>
  <w:num w:numId="20">
    <w:abstractNumId w:val="18"/>
  </w:num>
  <w:num w:numId="21">
    <w:abstractNumId w:val="2"/>
  </w:num>
  <w:num w:numId="22">
    <w:abstractNumId w:val="17"/>
    <w:lvlOverride w:ilvl="0">
      <w:startOverride w:val="4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D3C"/>
    <w:rsid w:val="00000621"/>
    <w:rsid w:val="000036C2"/>
    <w:rsid w:val="00013787"/>
    <w:rsid w:val="00033D3D"/>
    <w:rsid w:val="000369F5"/>
    <w:rsid w:val="00064DA7"/>
    <w:rsid w:val="00071A7E"/>
    <w:rsid w:val="000746C0"/>
    <w:rsid w:val="00074D1D"/>
    <w:rsid w:val="00092580"/>
    <w:rsid w:val="000A41BD"/>
    <w:rsid w:val="000D5D94"/>
    <w:rsid w:val="000E4659"/>
    <w:rsid w:val="000E7853"/>
    <w:rsid w:val="001165A7"/>
    <w:rsid w:val="00142356"/>
    <w:rsid w:val="00151487"/>
    <w:rsid w:val="00151BB7"/>
    <w:rsid w:val="00155D8A"/>
    <w:rsid w:val="0016457F"/>
    <w:rsid w:val="00165B5F"/>
    <w:rsid w:val="00167D3A"/>
    <w:rsid w:val="001906AD"/>
    <w:rsid w:val="001A1E2C"/>
    <w:rsid w:val="001D10F8"/>
    <w:rsid w:val="001F2716"/>
    <w:rsid w:val="0020133A"/>
    <w:rsid w:val="002027EE"/>
    <w:rsid w:val="00207617"/>
    <w:rsid w:val="00231182"/>
    <w:rsid w:val="002542EA"/>
    <w:rsid w:val="00264147"/>
    <w:rsid w:val="00283659"/>
    <w:rsid w:val="002936EA"/>
    <w:rsid w:val="002A6BAD"/>
    <w:rsid w:val="002C13D4"/>
    <w:rsid w:val="002C4E73"/>
    <w:rsid w:val="002D68BF"/>
    <w:rsid w:val="003022E6"/>
    <w:rsid w:val="00302799"/>
    <w:rsid w:val="00335205"/>
    <w:rsid w:val="00335420"/>
    <w:rsid w:val="00336CBF"/>
    <w:rsid w:val="003546C8"/>
    <w:rsid w:val="003649EF"/>
    <w:rsid w:val="00367F2D"/>
    <w:rsid w:val="003A7CF2"/>
    <w:rsid w:val="003B0789"/>
    <w:rsid w:val="003C5CE5"/>
    <w:rsid w:val="003E267B"/>
    <w:rsid w:val="003E30F0"/>
    <w:rsid w:val="003E7CD1"/>
    <w:rsid w:val="003F3D22"/>
    <w:rsid w:val="00402B9E"/>
    <w:rsid w:val="00423932"/>
    <w:rsid w:val="004249CB"/>
    <w:rsid w:val="0044127D"/>
    <w:rsid w:val="004448DB"/>
    <w:rsid w:val="00446C9A"/>
    <w:rsid w:val="00454D06"/>
    <w:rsid w:val="00477193"/>
    <w:rsid w:val="0049353B"/>
    <w:rsid w:val="004A1848"/>
    <w:rsid w:val="004A3012"/>
    <w:rsid w:val="004C0F29"/>
    <w:rsid w:val="00507FEC"/>
    <w:rsid w:val="00510F0E"/>
    <w:rsid w:val="005302B3"/>
    <w:rsid w:val="0054105A"/>
    <w:rsid w:val="005410B6"/>
    <w:rsid w:val="005479E1"/>
    <w:rsid w:val="005570FD"/>
    <w:rsid w:val="005572A7"/>
    <w:rsid w:val="005575EA"/>
    <w:rsid w:val="00574657"/>
    <w:rsid w:val="0057790C"/>
    <w:rsid w:val="00593795"/>
    <w:rsid w:val="005A75FF"/>
    <w:rsid w:val="005B7789"/>
    <w:rsid w:val="005F21D1"/>
    <w:rsid w:val="006232B3"/>
    <w:rsid w:val="0062529C"/>
    <w:rsid w:val="0065791C"/>
    <w:rsid w:val="00664DD7"/>
    <w:rsid w:val="00690B8A"/>
    <w:rsid w:val="006B5AB6"/>
    <w:rsid w:val="006C0AB8"/>
    <w:rsid w:val="006D1DFA"/>
    <w:rsid w:val="006D506B"/>
    <w:rsid w:val="006E3C90"/>
    <w:rsid w:val="006F04E6"/>
    <w:rsid w:val="006F0EE5"/>
    <w:rsid w:val="00704B61"/>
    <w:rsid w:val="00721106"/>
    <w:rsid w:val="00723AE3"/>
    <w:rsid w:val="00742A8D"/>
    <w:rsid w:val="007552A9"/>
    <w:rsid w:val="00761858"/>
    <w:rsid w:val="00766055"/>
    <w:rsid w:val="00767D59"/>
    <w:rsid w:val="00776E97"/>
    <w:rsid w:val="00780FD7"/>
    <w:rsid w:val="007912AD"/>
    <w:rsid w:val="007A1F28"/>
    <w:rsid w:val="007B0824"/>
    <w:rsid w:val="007F64D9"/>
    <w:rsid w:val="008303B8"/>
    <w:rsid w:val="00833DCE"/>
    <w:rsid w:val="00841DE1"/>
    <w:rsid w:val="00842418"/>
    <w:rsid w:val="008533E5"/>
    <w:rsid w:val="008648A7"/>
    <w:rsid w:val="00871D34"/>
    <w:rsid w:val="008776BB"/>
    <w:rsid w:val="008A3539"/>
    <w:rsid w:val="008B270C"/>
    <w:rsid w:val="008C3D3D"/>
    <w:rsid w:val="008D4131"/>
    <w:rsid w:val="008D5D3C"/>
    <w:rsid w:val="008F1932"/>
    <w:rsid w:val="008F294D"/>
    <w:rsid w:val="00921062"/>
    <w:rsid w:val="0093083E"/>
    <w:rsid w:val="00966ECF"/>
    <w:rsid w:val="009727A3"/>
    <w:rsid w:val="00974860"/>
    <w:rsid w:val="00987774"/>
    <w:rsid w:val="009A11E8"/>
    <w:rsid w:val="009B5DB4"/>
    <w:rsid w:val="009D2749"/>
    <w:rsid w:val="009E4E62"/>
    <w:rsid w:val="009F46DD"/>
    <w:rsid w:val="009F5220"/>
    <w:rsid w:val="009F7C4D"/>
    <w:rsid w:val="00A14E48"/>
    <w:rsid w:val="00A15234"/>
    <w:rsid w:val="00A201AB"/>
    <w:rsid w:val="00A26AC7"/>
    <w:rsid w:val="00A31C8B"/>
    <w:rsid w:val="00A53625"/>
    <w:rsid w:val="00A547BD"/>
    <w:rsid w:val="00A727E3"/>
    <w:rsid w:val="00A845DC"/>
    <w:rsid w:val="00A97AEE"/>
    <w:rsid w:val="00AA291D"/>
    <w:rsid w:val="00AC5CF6"/>
    <w:rsid w:val="00B144FA"/>
    <w:rsid w:val="00B16F58"/>
    <w:rsid w:val="00B22ECB"/>
    <w:rsid w:val="00B30648"/>
    <w:rsid w:val="00B3524D"/>
    <w:rsid w:val="00B40F69"/>
    <w:rsid w:val="00B46616"/>
    <w:rsid w:val="00B610E3"/>
    <w:rsid w:val="00B61205"/>
    <w:rsid w:val="00B617C4"/>
    <w:rsid w:val="00B626FA"/>
    <w:rsid w:val="00B7040A"/>
    <w:rsid w:val="00B72035"/>
    <w:rsid w:val="00B96FA0"/>
    <w:rsid w:val="00BD4196"/>
    <w:rsid w:val="00BF22CA"/>
    <w:rsid w:val="00BF3E77"/>
    <w:rsid w:val="00C26032"/>
    <w:rsid w:val="00C265B0"/>
    <w:rsid w:val="00C321B5"/>
    <w:rsid w:val="00C33BC7"/>
    <w:rsid w:val="00C345E1"/>
    <w:rsid w:val="00C51BFE"/>
    <w:rsid w:val="00C55DF4"/>
    <w:rsid w:val="00C977BA"/>
    <w:rsid w:val="00C97B61"/>
    <w:rsid w:val="00CB6E35"/>
    <w:rsid w:val="00CE1A46"/>
    <w:rsid w:val="00CF253F"/>
    <w:rsid w:val="00CF56B4"/>
    <w:rsid w:val="00D05036"/>
    <w:rsid w:val="00D20F09"/>
    <w:rsid w:val="00D22636"/>
    <w:rsid w:val="00D40FD9"/>
    <w:rsid w:val="00D506F8"/>
    <w:rsid w:val="00D53769"/>
    <w:rsid w:val="00D7201F"/>
    <w:rsid w:val="00D77591"/>
    <w:rsid w:val="00D84800"/>
    <w:rsid w:val="00D85C13"/>
    <w:rsid w:val="00D91BE3"/>
    <w:rsid w:val="00D94AFC"/>
    <w:rsid w:val="00DB70AE"/>
    <w:rsid w:val="00DB7231"/>
    <w:rsid w:val="00DC2ABF"/>
    <w:rsid w:val="00DD2FC9"/>
    <w:rsid w:val="00DD5071"/>
    <w:rsid w:val="00DD5C39"/>
    <w:rsid w:val="00DE26AF"/>
    <w:rsid w:val="00DE7DB7"/>
    <w:rsid w:val="00E00A0A"/>
    <w:rsid w:val="00E011F0"/>
    <w:rsid w:val="00E07F57"/>
    <w:rsid w:val="00E21051"/>
    <w:rsid w:val="00E33E03"/>
    <w:rsid w:val="00E50BCE"/>
    <w:rsid w:val="00E554F9"/>
    <w:rsid w:val="00E61292"/>
    <w:rsid w:val="00E71572"/>
    <w:rsid w:val="00E74C1B"/>
    <w:rsid w:val="00E76309"/>
    <w:rsid w:val="00E77C4D"/>
    <w:rsid w:val="00E81D01"/>
    <w:rsid w:val="00E92A7C"/>
    <w:rsid w:val="00EE45D8"/>
    <w:rsid w:val="00F004CD"/>
    <w:rsid w:val="00F22EDA"/>
    <w:rsid w:val="00F3224D"/>
    <w:rsid w:val="00F33E0E"/>
    <w:rsid w:val="00F5664C"/>
    <w:rsid w:val="00F63974"/>
    <w:rsid w:val="00FB1CFE"/>
    <w:rsid w:val="00FB7E80"/>
    <w:rsid w:val="00FD054A"/>
    <w:rsid w:val="00FE2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28D38F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apple-converted-space">
    <w:name w:val="apple-converted-space"/>
    <w:basedOn w:val="DefaultParagraphFont"/>
    <w:rsid w:val="00190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72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2703</Words>
  <Characters>13228</Characters>
  <Application>Microsoft Office Word</Application>
  <DocSecurity>0</DocSecurity>
  <Lines>110</Lines>
  <Paragraphs>31</Paragraphs>
  <ScaleCrop>false</ScaleCrop>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2018-07-13T13:50:00Z</dcterms:created>
  <dcterms:modified xsi:type="dcterms:W3CDTF">2018-07-13T13:50:00Z</dcterms:modified>
</cp:coreProperties>
</file>