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714FA" w14:textId="77777777" w:rsidR="00933B65" w:rsidRPr="00202923" w:rsidRDefault="00FE0046" w:rsidP="00933B65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202923">
        <w:rPr>
          <w:noProof/>
          <w:sz w:val="16"/>
          <w:szCs w:val="16"/>
        </w:rPr>
        <w:drawing>
          <wp:inline distT="0" distB="0" distL="0" distR="0" wp14:anchorId="5B79C2AD" wp14:editId="692E4FBF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2E90" w14:textId="77777777" w:rsidR="00202923" w:rsidRPr="00202923" w:rsidRDefault="00202923" w:rsidP="00202923">
      <w:pPr>
        <w:rPr>
          <w:rFonts w:ascii="Book Antiqua" w:hAnsi="Book Antiqua" w:cs="Arial"/>
          <w:color w:val="000000"/>
          <w:sz w:val="16"/>
          <w:szCs w:val="16"/>
        </w:rPr>
      </w:pPr>
    </w:p>
    <w:p w14:paraId="409CA5E5" w14:textId="77777777"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14:paraId="54950B52" w14:textId="77777777" w:rsidR="00933B65" w:rsidRPr="00F97703" w:rsidRDefault="00933B65" w:rsidP="008A64A7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 xml:space="preserve">Appeal Number: </w:t>
      </w:r>
      <w:bookmarkStart w:id="0" w:name="_Hlk523392035"/>
      <w:bookmarkStart w:id="1" w:name="_GoBack"/>
      <w:r w:rsidR="00DB4CD7">
        <w:rPr>
          <w:rFonts w:ascii="Book Antiqua" w:hAnsi="Book Antiqua" w:cs="Arial"/>
          <w:caps/>
          <w:color w:val="000000"/>
        </w:rPr>
        <w:t>HU/1</w:t>
      </w:r>
      <w:r w:rsidR="001F35D0">
        <w:rPr>
          <w:rFonts w:ascii="Book Antiqua" w:hAnsi="Book Antiqua" w:cs="Arial"/>
          <w:caps/>
          <w:color w:val="000000"/>
        </w:rPr>
        <w:t>3244/2017</w:t>
      </w:r>
      <w:bookmarkEnd w:id="0"/>
      <w:bookmarkEnd w:id="1"/>
    </w:p>
    <w:p w14:paraId="74E02D6A" w14:textId="77777777" w:rsidR="00933B65" w:rsidRPr="00F97703" w:rsidRDefault="00933B65" w:rsidP="00933B65">
      <w:pPr>
        <w:jc w:val="center"/>
        <w:rPr>
          <w:rFonts w:ascii="Book Antiqua" w:hAnsi="Book Antiqua" w:cs="Arial"/>
          <w:color w:val="000000"/>
        </w:rPr>
      </w:pPr>
    </w:p>
    <w:p w14:paraId="365DADA5" w14:textId="77777777" w:rsidR="00202923" w:rsidRDefault="00202923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14:paraId="573B3989" w14:textId="380A54F0" w:rsidR="00933B65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7F69516D" w14:textId="77777777" w:rsidR="00202923" w:rsidRPr="00F97703" w:rsidRDefault="00202923" w:rsidP="00933B65">
      <w:pPr>
        <w:jc w:val="center"/>
        <w:rPr>
          <w:rFonts w:ascii="Book Antiqua" w:hAnsi="Book Antiqua" w:cs="Arial"/>
          <w:b/>
          <w:u w:val="single"/>
        </w:rPr>
      </w:pPr>
    </w:p>
    <w:p w14:paraId="161B2AB1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912"/>
        <w:gridCol w:w="3726"/>
      </w:tblGrid>
      <w:tr w:rsidR="00933B65" w:rsidRPr="002154EF" w14:paraId="54D682FD" w14:textId="77777777" w:rsidTr="002154EF">
        <w:tc>
          <w:tcPr>
            <w:tcW w:w="6048" w:type="dxa"/>
            <w:shd w:val="clear" w:color="auto" w:fill="auto"/>
          </w:tcPr>
          <w:p w14:paraId="2B418DB0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Heard at </w:t>
            </w:r>
            <w:r w:rsidR="008B5B9B" w:rsidRPr="002154EF">
              <w:rPr>
                <w:rFonts w:ascii="Book Antiqua" w:hAnsi="Book Antiqua" w:cs="Arial"/>
                <w:b/>
              </w:rPr>
              <w:t xml:space="preserve">Glasgow </w:t>
            </w:r>
          </w:p>
        </w:tc>
        <w:tc>
          <w:tcPr>
            <w:tcW w:w="3780" w:type="dxa"/>
            <w:shd w:val="clear" w:color="auto" w:fill="auto"/>
          </w:tcPr>
          <w:p w14:paraId="0CE5540F" w14:textId="77777777" w:rsidR="00933B65" w:rsidRPr="002154EF" w:rsidRDefault="002104B4" w:rsidP="002154EF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            </w:t>
            </w:r>
            <w:r w:rsidR="00933B65" w:rsidRPr="002154EF">
              <w:rPr>
                <w:rFonts w:ascii="Book Antiqua" w:hAnsi="Book Antiqua" w:cs="Arial"/>
                <w:b/>
                <w:color w:val="000000"/>
              </w:rPr>
              <w:t xml:space="preserve">Determination </w:t>
            </w:r>
            <w:r w:rsidR="00321C6F" w:rsidRPr="002154EF">
              <w:rPr>
                <w:rFonts w:ascii="Book Antiqua" w:hAnsi="Book Antiqua" w:cs="Arial"/>
                <w:b/>
                <w:color w:val="000000"/>
              </w:rPr>
              <w:t>issu</w:t>
            </w:r>
            <w:r w:rsidR="00933B65" w:rsidRPr="002154EF">
              <w:rPr>
                <w:rFonts w:ascii="Book Antiqua" w:hAnsi="Book Antiqua" w:cs="Arial"/>
                <w:b/>
                <w:color w:val="000000"/>
              </w:rPr>
              <w:t>ed</w:t>
            </w:r>
          </w:p>
        </w:tc>
      </w:tr>
      <w:tr w:rsidR="00933B65" w:rsidRPr="002154EF" w14:paraId="3F9C26E0" w14:textId="77777777" w:rsidTr="002154EF">
        <w:tc>
          <w:tcPr>
            <w:tcW w:w="6048" w:type="dxa"/>
            <w:shd w:val="clear" w:color="auto" w:fill="auto"/>
          </w:tcPr>
          <w:p w14:paraId="446BFEF3" w14:textId="77777777" w:rsidR="00933B65" w:rsidRPr="002154EF" w:rsidRDefault="002104B4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</w:t>
            </w:r>
            <w:r w:rsidR="00933B65" w:rsidRPr="002154EF">
              <w:rPr>
                <w:rFonts w:ascii="Book Antiqua" w:hAnsi="Book Antiqua" w:cs="Arial"/>
                <w:b/>
              </w:rPr>
              <w:t xml:space="preserve">n </w:t>
            </w:r>
            <w:r w:rsidR="001F35D0">
              <w:rPr>
                <w:rFonts w:ascii="Book Antiqua" w:hAnsi="Book Antiqua" w:cs="Arial"/>
                <w:b/>
              </w:rPr>
              <w:t>23 August 2018</w:t>
            </w:r>
          </w:p>
        </w:tc>
        <w:tc>
          <w:tcPr>
            <w:tcW w:w="3780" w:type="dxa"/>
            <w:shd w:val="clear" w:color="auto" w:fill="auto"/>
          </w:tcPr>
          <w:p w14:paraId="7E207E59" w14:textId="77777777" w:rsidR="00933B65" w:rsidRPr="002154EF" w:rsidRDefault="002104B4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           On 03 September 2018</w:t>
            </w:r>
          </w:p>
        </w:tc>
      </w:tr>
      <w:tr w:rsidR="00933B65" w:rsidRPr="002154EF" w14:paraId="30D97826" w14:textId="77777777" w:rsidTr="002154EF">
        <w:tc>
          <w:tcPr>
            <w:tcW w:w="6048" w:type="dxa"/>
            <w:shd w:val="clear" w:color="auto" w:fill="auto"/>
          </w:tcPr>
          <w:p w14:paraId="648C33AB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780" w:type="dxa"/>
            <w:shd w:val="clear" w:color="auto" w:fill="auto"/>
          </w:tcPr>
          <w:p w14:paraId="71A70E38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4AC992DA" w14:textId="77777777" w:rsidR="00202923" w:rsidRDefault="00202923" w:rsidP="00933B65">
      <w:pPr>
        <w:jc w:val="center"/>
        <w:rPr>
          <w:rFonts w:ascii="Book Antiqua" w:hAnsi="Book Antiqua" w:cs="Arial"/>
          <w:b/>
        </w:rPr>
      </w:pPr>
    </w:p>
    <w:p w14:paraId="21E322BF" w14:textId="127FC58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14:paraId="21B8C42B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484A63BD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8B5B9B">
        <w:rPr>
          <w:rFonts w:ascii="Book Antiqua" w:hAnsi="Book Antiqua" w:cs="Arial"/>
          <w:b/>
          <w:color w:val="000000"/>
        </w:rPr>
        <w:t>MACLEMAN</w:t>
      </w:r>
    </w:p>
    <w:p w14:paraId="68E11363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781F3415" w14:textId="77777777" w:rsidR="00202923" w:rsidRDefault="00202923" w:rsidP="00933B65">
      <w:pPr>
        <w:jc w:val="center"/>
        <w:rPr>
          <w:rFonts w:ascii="Book Antiqua" w:hAnsi="Book Antiqua" w:cs="Arial"/>
          <w:b/>
        </w:rPr>
      </w:pPr>
    </w:p>
    <w:p w14:paraId="1DB1B2FB" w14:textId="7C021CFE"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14:paraId="452BFDE2" w14:textId="77777777" w:rsidR="00933B65" w:rsidRDefault="00933B65" w:rsidP="00933B65">
      <w:pPr>
        <w:jc w:val="center"/>
        <w:rPr>
          <w:rFonts w:ascii="Book Antiqua" w:hAnsi="Book Antiqua" w:cs="Arial"/>
          <w:b/>
        </w:rPr>
      </w:pPr>
    </w:p>
    <w:p w14:paraId="43B79181" w14:textId="77777777" w:rsidR="00933B65" w:rsidRPr="00F97703" w:rsidRDefault="00BF586A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 I</w:t>
      </w:r>
      <w:r w:rsidR="008B5B9B">
        <w:rPr>
          <w:rFonts w:ascii="Book Antiqua" w:hAnsi="Book Antiqua" w:cs="Arial"/>
          <w:b/>
        </w:rPr>
        <w:t xml:space="preserve"> </w:t>
      </w:r>
    </w:p>
    <w:p w14:paraId="7455E9DC" w14:textId="77777777"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14:paraId="1EF9A19F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14:paraId="69BA1E9C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24353C50" w14:textId="77777777" w:rsidR="00D44C2B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2"/>
    </w:p>
    <w:p w14:paraId="1D54402B" w14:textId="77777777" w:rsidR="00933B65" w:rsidRPr="00F97703" w:rsidRDefault="00933B65" w:rsidP="008A64A7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14:paraId="442E7163" w14:textId="0B3A5055" w:rsidR="00933B65" w:rsidRDefault="00933B65" w:rsidP="00933B65">
      <w:pPr>
        <w:rPr>
          <w:rFonts w:ascii="Book Antiqua" w:hAnsi="Book Antiqua" w:cs="Arial"/>
        </w:rPr>
      </w:pPr>
    </w:p>
    <w:p w14:paraId="572874F7" w14:textId="77777777" w:rsidR="00202923" w:rsidRPr="00F97703" w:rsidRDefault="00202923" w:rsidP="00933B65">
      <w:pPr>
        <w:rPr>
          <w:rFonts w:ascii="Book Antiqua" w:hAnsi="Book Antiqua" w:cs="Arial"/>
        </w:rPr>
      </w:pPr>
    </w:p>
    <w:p w14:paraId="44C0AC8B" w14:textId="77777777" w:rsidR="00933B65" w:rsidRPr="00F97703" w:rsidRDefault="00933B65" w:rsidP="00933B65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Pr="00F97703">
        <w:rPr>
          <w:rFonts w:ascii="Book Antiqua" w:hAnsi="Book Antiqua" w:cs="Arial"/>
        </w:rPr>
        <w:tab/>
      </w:r>
      <w:r w:rsidR="00FD75C7">
        <w:rPr>
          <w:rFonts w:ascii="Book Antiqua" w:hAnsi="Book Antiqua" w:cs="Arial"/>
        </w:rPr>
        <w:t xml:space="preserve">Mr S Winter, instructed by </w:t>
      </w:r>
      <w:r w:rsidR="00AD7611">
        <w:rPr>
          <w:rFonts w:ascii="Book Antiqua" w:hAnsi="Book Antiqua" w:cs="Arial"/>
        </w:rPr>
        <w:t>Sky</w:t>
      </w:r>
      <w:r w:rsidR="004739C8">
        <w:rPr>
          <w:rFonts w:ascii="Book Antiqua" w:hAnsi="Book Antiqua" w:cs="Arial"/>
        </w:rPr>
        <w:t xml:space="preserve">, </w:t>
      </w:r>
      <w:r w:rsidR="003D7D3D">
        <w:rPr>
          <w:rFonts w:ascii="Book Antiqua" w:hAnsi="Book Antiqua" w:cs="Arial"/>
        </w:rPr>
        <w:t>Solicitors</w:t>
      </w:r>
      <w:r w:rsidR="004739C8">
        <w:rPr>
          <w:rFonts w:ascii="Book Antiqua" w:hAnsi="Book Antiqua" w:cs="Arial"/>
        </w:rPr>
        <w:t>, Ilford</w:t>
      </w:r>
    </w:p>
    <w:p w14:paraId="2EA83893" w14:textId="77777777" w:rsidR="00933B65" w:rsidRPr="00F97703" w:rsidRDefault="00933B65" w:rsidP="008A64A7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Pr="00F97703">
        <w:rPr>
          <w:rFonts w:ascii="Book Antiqua" w:hAnsi="Book Antiqua" w:cs="Arial"/>
        </w:rPr>
        <w:tab/>
      </w:r>
      <w:r w:rsidR="00FD75C7">
        <w:rPr>
          <w:rFonts w:ascii="Book Antiqua" w:hAnsi="Book Antiqua" w:cs="Arial"/>
        </w:rPr>
        <w:t xml:space="preserve">Mr A Govan, </w:t>
      </w:r>
      <w:r w:rsidR="003D7D3D">
        <w:rPr>
          <w:rFonts w:ascii="Book Antiqua" w:hAnsi="Book Antiqua" w:cs="Arial"/>
        </w:rPr>
        <w:t>Senior</w:t>
      </w:r>
      <w:r>
        <w:rPr>
          <w:rFonts w:ascii="Book Antiqua" w:hAnsi="Book Antiqua" w:cs="Arial"/>
        </w:rPr>
        <w:t xml:space="preserve"> Home Office Presenting Officer</w:t>
      </w:r>
    </w:p>
    <w:p w14:paraId="068F1E59" w14:textId="2EB87A2D" w:rsidR="00933B65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7633E9F5" w14:textId="77777777" w:rsidR="00202923" w:rsidRPr="00F97703" w:rsidRDefault="00202923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3B8BDFA0" w14:textId="77777777" w:rsidR="00321C6F" w:rsidRPr="002B54F9" w:rsidRDefault="00933B65" w:rsidP="00734D2D">
      <w:pPr>
        <w:tabs>
          <w:tab w:val="left" w:pos="2520"/>
        </w:tabs>
        <w:jc w:val="center"/>
        <w:rPr>
          <w:rFonts w:ascii="Book Antiqua" w:hAnsi="Book Antiqua" w:cs="Arial"/>
          <w:sz w:val="20"/>
          <w:szCs w:val="20"/>
        </w:rPr>
      </w:pPr>
      <w:r w:rsidRPr="00F97703">
        <w:rPr>
          <w:rFonts w:ascii="Book Antiqua" w:hAnsi="Book Antiqua" w:cs="Arial"/>
          <w:b/>
          <w:u w:val="single"/>
        </w:rPr>
        <w:t>DETERMINATION AND REASONS</w:t>
      </w:r>
    </w:p>
    <w:p w14:paraId="000EC5CF" w14:textId="77777777" w:rsidR="00D31D54" w:rsidRDefault="00007BAC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</w:t>
      </w:r>
      <w:r w:rsidR="00D31D54">
        <w:rPr>
          <w:rFonts w:ascii="Book Antiqua" w:hAnsi="Book Antiqua" w:cs="Arial"/>
        </w:rPr>
        <w:t>is decision is to be read with:</w:t>
      </w:r>
    </w:p>
    <w:p w14:paraId="51C75104" w14:textId="77777777" w:rsidR="00007BAC" w:rsidRPr="00D31D54" w:rsidRDefault="00D31D54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 w:cs="Arial"/>
        </w:rPr>
      </w:pPr>
      <w:r w:rsidRPr="00D31D54">
        <w:rPr>
          <w:rFonts w:ascii="Book Antiqua" w:hAnsi="Book Antiqua" w:cs="Arial"/>
        </w:rPr>
        <w:t>The</w:t>
      </w:r>
      <w:r w:rsidR="00007BAC" w:rsidRPr="00D31D54">
        <w:rPr>
          <w:rFonts w:ascii="Book Antiqua" w:hAnsi="Book Antiqua" w:cs="Arial"/>
        </w:rPr>
        <w:t xml:space="preserve"> respondent</w:t>
      </w:r>
      <w:r>
        <w:rPr>
          <w:rFonts w:ascii="Book Antiqua" w:hAnsi="Book Antiqua" w:cs="Arial"/>
        </w:rPr>
        <w:t xml:space="preserve">’s decision dated </w:t>
      </w:r>
      <w:r w:rsidR="00F427EA">
        <w:rPr>
          <w:rFonts w:ascii="Book Antiqua" w:hAnsi="Book Antiqua" w:cs="Arial"/>
        </w:rPr>
        <w:t>9 October 2017,</w:t>
      </w:r>
      <w:r w:rsidR="00007BAC" w:rsidRPr="00D31D54">
        <w:rPr>
          <w:rFonts w:ascii="Book Antiqua" w:hAnsi="Book Antiqua" w:cs="Arial"/>
        </w:rPr>
        <w:t xml:space="preserve"> refus</w:t>
      </w:r>
      <w:r w:rsidR="000777B7">
        <w:rPr>
          <w:rFonts w:ascii="Book Antiqua" w:hAnsi="Book Antiqua" w:cs="Arial"/>
        </w:rPr>
        <w:t>ing the appellant’s</w:t>
      </w:r>
      <w:r w:rsidR="00007BAC" w:rsidRPr="00D31D54">
        <w:rPr>
          <w:rFonts w:ascii="Book Antiqua" w:hAnsi="Book Antiqua" w:cs="Arial"/>
        </w:rPr>
        <w:t xml:space="preserve"> </w:t>
      </w:r>
      <w:r w:rsidR="002217BA">
        <w:rPr>
          <w:rFonts w:ascii="Book Antiqua" w:hAnsi="Book Antiqua" w:cs="Arial"/>
        </w:rPr>
        <w:t>application for leave to remain</w:t>
      </w:r>
      <w:r w:rsidR="000777B7">
        <w:rPr>
          <w:rFonts w:ascii="Book Antiqua" w:hAnsi="Book Antiqua" w:cs="Arial"/>
        </w:rPr>
        <w:t>.</w:t>
      </w:r>
      <w:r w:rsidR="00007BAC" w:rsidRPr="00D31D54">
        <w:rPr>
          <w:rFonts w:ascii="Book Antiqua" w:hAnsi="Book Antiqua" w:cs="Arial"/>
        </w:rPr>
        <w:t xml:space="preserve"> </w:t>
      </w:r>
    </w:p>
    <w:p w14:paraId="667BF6D8" w14:textId="77777777" w:rsidR="000777B7" w:rsidRDefault="000777B7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appellant’s grounds of appeal to the First-tier Tribunal</w:t>
      </w:r>
      <w:r w:rsidR="00810037">
        <w:rPr>
          <w:rFonts w:ascii="Book Antiqua" w:hAnsi="Book Antiqua" w:cs="Arial"/>
        </w:rPr>
        <w:t>, dated 24 October 2017</w:t>
      </w:r>
      <w:r>
        <w:rPr>
          <w:rFonts w:ascii="Book Antiqua" w:hAnsi="Book Antiqua" w:cs="Arial"/>
        </w:rPr>
        <w:t>.</w:t>
      </w:r>
    </w:p>
    <w:p w14:paraId="3CB9B5A1" w14:textId="77777777" w:rsidR="00007BAC" w:rsidRDefault="000777B7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decision of FtT</w:t>
      </w:r>
      <w:r w:rsidR="00007BAC">
        <w:rPr>
          <w:rFonts w:ascii="Book Antiqua" w:hAnsi="Book Antiqua" w:cs="Arial"/>
        </w:rPr>
        <w:t xml:space="preserve"> Judge </w:t>
      </w:r>
      <w:r w:rsidR="00E04129">
        <w:rPr>
          <w:rFonts w:ascii="Book Antiqua" w:hAnsi="Book Antiqua" w:cs="Arial"/>
        </w:rPr>
        <w:t>Mackenzie,</w:t>
      </w:r>
      <w:r w:rsidR="00007BAC">
        <w:rPr>
          <w:rFonts w:ascii="Book Antiqua" w:hAnsi="Book Antiqua" w:cs="Arial"/>
        </w:rPr>
        <w:t xml:space="preserve"> promulgated on</w:t>
      </w:r>
      <w:r w:rsidR="00E04129">
        <w:rPr>
          <w:rFonts w:ascii="Book Antiqua" w:hAnsi="Book Antiqua" w:cs="Arial"/>
        </w:rPr>
        <w:t xml:space="preserve"> 1 May 2018, dismissing his appeal.</w:t>
      </w:r>
      <w:r w:rsidR="00007BAC">
        <w:rPr>
          <w:rFonts w:ascii="Book Antiqua" w:hAnsi="Book Antiqua" w:cs="Arial"/>
        </w:rPr>
        <w:t xml:space="preserve"> </w:t>
      </w:r>
    </w:p>
    <w:p w14:paraId="3B79B050" w14:textId="77777777" w:rsidR="00F47052" w:rsidRDefault="00C15A7E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lastRenderedPageBreak/>
        <w:t xml:space="preserve">The appellant’s grounds of appeal </w:t>
      </w:r>
      <w:r w:rsidR="00F125AD">
        <w:rPr>
          <w:rFonts w:ascii="Book Antiqua" w:hAnsi="Book Antiqua" w:cs="Arial"/>
        </w:rPr>
        <w:t xml:space="preserve">to the UT, stated </w:t>
      </w:r>
      <w:r>
        <w:rPr>
          <w:rFonts w:ascii="Book Antiqua" w:hAnsi="Book Antiqua" w:cs="Arial"/>
        </w:rPr>
        <w:t xml:space="preserve">in the </w:t>
      </w:r>
      <w:r w:rsidRPr="00F1787C">
        <w:rPr>
          <w:rFonts w:ascii="Book Antiqua" w:hAnsi="Book Antiqua"/>
        </w:rPr>
        <w:t>application for permission to appeal</w:t>
      </w:r>
      <w:r w:rsidR="006E3DE1">
        <w:rPr>
          <w:rFonts w:ascii="Book Antiqua" w:hAnsi="Book Antiqua"/>
        </w:rPr>
        <w:t xml:space="preserve"> </w:t>
      </w:r>
      <w:r w:rsidR="001D3A0B">
        <w:rPr>
          <w:rFonts w:ascii="Book Antiqua" w:hAnsi="Book Antiqua"/>
        </w:rPr>
        <w:t>dated 14 May 2018.</w:t>
      </w:r>
    </w:p>
    <w:p w14:paraId="466DCA33" w14:textId="77777777" w:rsidR="00007BAC" w:rsidRDefault="00F47052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The grant of permission</w:t>
      </w:r>
      <w:r w:rsidR="001D3A0B">
        <w:rPr>
          <w:rFonts w:ascii="Book Antiqua" w:hAnsi="Book Antiqua"/>
        </w:rPr>
        <w:t xml:space="preserve"> by FtT Judge </w:t>
      </w:r>
      <w:r w:rsidR="00EF5785">
        <w:rPr>
          <w:rFonts w:ascii="Book Antiqua" w:hAnsi="Book Antiqua"/>
        </w:rPr>
        <w:t>Landes</w:t>
      </w:r>
      <w:r w:rsidR="001D3A0B">
        <w:rPr>
          <w:rFonts w:ascii="Book Antiqua" w:hAnsi="Book Antiqua"/>
        </w:rPr>
        <w:t xml:space="preserve">, dated 31 </w:t>
      </w:r>
      <w:r w:rsidR="00EF5785">
        <w:rPr>
          <w:rFonts w:ascii="Book Antiqua" w:hAnsi="Book Antiqua"/>
        </w:rPr>
        <w:t>M</w:t>
      </w:r>
      <w:r w:rsidR="001D3A0B">
        <w:rPr>
          <w:rFonts w:ascii="Book Antiqua" w:hAnsi="Book Antiqua"/>
        </w:rPr>
        <w:t>ay 2018</w:t>
      </w:r>
      <w:r w:rsidR="00EF5785">
        <w:rPr>
          <w:rFonts w:ascii="Book Antiqua" w:hAnsi="Book Antiqua"/>
        </w:rPr>
        <w:t>.</w:t>
      </w:r>
      <w:r w:rsidR="00470675">
        <w:rPr>
          <w:rFonts w:ascii="Book Antiqua" w:hAnsi="Book Antiqua"/>
        </w:rPr>
        <w:t xml:space="preserve"> </w:t>
      </w:r>
    </w:p>
    <w:p w14:paraId="7CF2D7E5" w14:textId="77777777" w:rsidR="00F125AD" w:rsidRDefault="00F125AD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respondent’s rule 24 response, dated </w:t>
      </w:r>
      <w:r w:rsidR="00EF5785">
        <w:rPr>
          <w:rFonts w:ascii="Book Antiqua" w:hAnsi="Book Antiqua"/>
        </w:rPr>
        <w:t>18 July 2018</w:t>
      </w:r>
      <w:r>
        <w:rPr>
          <w:rFonts w:ascii="Book Antiqua" w:hAnsi="Book Antiqua"/>
        </w:rPr>
        <w:t>, to the grant of permission</w:t>
      </w:r>
      <w:r w:rsidR="00AA199C">
        <w:rPr>
          <w:rFonts w:ascii="Book Antiqua" w:hAnsi="Book Antiqua"/>
        </w:rPr>
        <w:t>.</w:t>
      </w:r>
    </w:p>
    <w:p w14:paraId="0B517670" w14:textId="77777777" w:rsidR="00F93055" w:rsidRPr="00F93055" w:rsidRDefault="00107A26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Page O of the </w:t>
      </w:r>
      <w:r w:rsidR="006D784E">
        <w:rPr>
          <w:rFonts w:ascii="Book Antiqua" w:hAnsi="Book Antiqua" w:cs="Arial"/>
        </w:rPr>
        <w:t>respondent’s</w:t>
      </w:r>
      <w:r>
        <w:rPr>
          <w:rFonts w:ascii="Book Antiqua" w:hAnsi="Book Antiqua" w:cs="Arial"/>
        </w:rPr>
        <w:t xml:space="preserve"> bundle lists 3 English language tests taken by the </w:t>
      </w:r>
      <w:r w:rsidR="00BA02C6">
        <w:rPr>
          <w:rFonts w:ascii="Book Antiqua" w:hAnsi="Book Antiqua" w:cs="Arial"/>
        </w:rPr>
        <w:t xml:space="preserve">appellant, on 19 June, 18 July and </w:t>
      </w:r>
      <w:r w:rsidR="008A7E52">
        <w:rPr>
          <w:rFonts w:ascii="Book Antiqua" w:hAnsi="Book Antiqua" w:cs="Arial"/>
        </w:rPr>
        <w:t xml:space="preserve">18 September 2012.  His </w:t>
      </w:r>
      <w:r w:rsidR="006D784E">
        <w:rPr>
          <w:rFonts w:ascii="Book Antiqua" w:hAnsi="Book Antiqua" w:cs="Arial"/>
        </w:rPr>
        <w:t>application for leave on family life gro</w:t>
      </w:r>
      <w:r w:rsidR="00F93055">
        <w:rPr>
          <w:rFonts w:ascii="Book Antiqua" w:hAnsi="Book Antiqua" w:cs="Arial"/>
        </w:rPr>
        <w:t xml:space="preserve">unds </w:t>
      </w:r>
      <w:r w:rsidR="008A7E52">
        <w:rPr>
          <w:rFonts w:ascii="Book Antiqua" w:hAnsi="Book Antiqua" w:cs="Arial"/>
        </w:rPr>
        <w:t>was refused under</w:t>
      </w:r>
      <w:r w:rsidR="00FA16C5">
        <w:rPr>
          <w:rFonts w:ascii="Book Antiqua" w:hAnsi="Book Antiqua" w:cs="Arial"/>
        </w:rPr>
        <w:t xml:space="preserve"> paragraph S-LTR 4.2 of the rules because the certificate obtained on </w:t>
      </w:r>
      <w:r w:rsidR="006D784E">
        <w:rPr>
          <w:rFonts w:ascii="Book Antiqua" w:hAnsi="Book Antiqua" w:cs="Arial"/>
        </w:rPr>
        <w:t>19 June 2012 was fraudulent.</w:t>
      </w:r>
    </w:p>
    <w:p w14:paraId="4F395F1C" w14:textId="77777777" w:rsidR="000505C0" w:rsidRPr="007A5429" w:rsidRDefault="00321C6F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</w:t>
      </w:r>
      <w:r w:rsidR="00AF308D">
        <w:rPr>
          <w:rFonts w:ascii="Book Antiqua" w:hAnsi="Book Antiqua" w:cs="Arial"/>
        </w:rPr>
        <w:t xml:space="preserve">appellant denied that he took any English language test on </w:t>
      </w:r>
      <w:r w:rsidR="004F1F9B">
        <w:rPr>
          <w:rFonts w:ascii="Book Antiqua" w:hAnsi="Book Antiqua" w:cs="Arial"/>
        </w:rPr>
        <w:t>19 June 2012</w:t>
      </w:r>
      <w:r w:rsidR="00A41C8A">
        <w:rPr>
          <w:rFonts w:ascii="Book Antiqua" w:hAnsi="Book Antiqua" w:cs="Arial"/>
        </w:rPr>
        <w:t xml:space="preserve">.  </w:t>
      </w:r>
      <w:r w:rsidR="00957EE0">
        <w:rPr>
          <w:rFonts w:ascii="Book Antiqua" w:hAnsi="Book Antiqua" w:cs="Arial"/>
        </w:rPr>
        <w:t xml:space="preserve">The judge found </w:t>
      </w:r>
      <w:r w:rsidR="00690F61">
        <w:rPr>
          <w:rFonts w:ascii="Book Antiqua" w:hAnsi="Book Antiqua" w:cs="Arial"/>
        </w:rPr>
        <w:t xml:space="preserve">that the respondent had discharged her burden of proof about the certificate, </w:t>
      </w:r>
      <w:r w:rsidR="007A5429">
        <w:rPr>
          <w:rFonts w:ascii="Book Antiqua" w:hAnsi="Book Antiqua" w:cs="Arial"/>
        </w:rPr>
        <w:t>and that the appellant failed to discharge the burden which then fell on him.</w:t>
      </w:r>
      <w:r w:rsidR="00BA3065">
        <w:rPr>
          <w:rFonts w:ascii="Book Antiqua" w:hAnsi="Book Antiqua" w:cs="Arial"/>
        </w:rPr>
        <w:t xml:space="preserve">  The grounds, in so far as they dispute that finding, do not rise above disagreement.</w:t>
      </w:r>
    </w:p>
    <w:p w14:paraId="67028664" w14:textId="77777777" w:rsidR="007A5429" w:rsidRDefault="005A63F6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The appellant</w:t>
      </w:r>
      <w:r w:rsidR="002914A0">
        <w:rPr>
          <w:rFonts w:ascii="Book Antiqua" w:hAnsi="Book Antiqua"/>
        </w:rPr>
        <w:t xml:space="preserve"> had another argument, however, which did not depend on resolving that issue and which stood independent of any dispute on the facts.</w:t>
      </w:r>
      <w:r w:rsidR="00106B6A">
        <w:rPr>
          <w:rFonts w:ascii="Book Antiqua" w:hAnsi="Book Antiqua"/>
        </w:rPr>
        <w:t xml:space="preserve">  Any certificate obtained on 19 June 2012 was</w:t>
      </w:r>
      <w:r w:rsidR="0045642E">
        <w:rPr>
          <w:rFonts w:ascii="Book Antiqua" w:hAnsi="Book Antiqua"/>
        </w:rPr>
        <w:t xml:space="preserve"> not used to </w:t>
      </w:r>
      <w:r w:rsidR="007F7830">
        <w:rPr>
          <w:rFonts w:ascii="Book Antiqua" w:hAnsi="Book Antiqua"/>
        </w:rPr>
        <w:t xml:space="preserve">support any application </w:t>
      </w:r>
      <w:r w:rsidR="00AD502C">
        <w:rPr>
          <w:rFonts w:ascii="Book Antiqua" w:hAnsi="Book Antiqua"/>
        </w:rPr>
        <w:t xml:space="preserve">to the </w:t>
      </w:r>
      <w:r w:rsidR="00CB6012">
        <w:rPr>
          <w:rFonts w:ascii="Book Antiqua" w:hAnsi="Book Antiqua"/>
        </w:rPr>
        <w:t xml:space="preserve">respondent.  </w:t>
      </w:r>
      <w:r w:rsidR="00A75F9B">
        <w:rPr>
          <w:rFonts w:ascii="Book Antiqua" w:hAnsi="Book Antiqua"/>
        </w:rPr>
        <w:t>Th</w:t>
      </w:r>
      <w:r w:rsidR="00106B6A">
        <w:rPr>
          <w:rFonts w:ascii="Book Antiqua" w:hAnsi="Book Antiqua"/>
        </w:rPr>
        <w:t xml:space="preserve">e </w:t>
      </w:r>
      <w:r w:rsidR="00A75F9B">
        <w:rPr>
          <w:rFonts w:ascii="Book Antiqua" w:hAnsi="Book Antiqua"/>
        </w:rPr>
        <w:t xml:space="preserve">appellant </w:t>
      </w:r>
      <w:r w:rsidR="00106B6A">
        <w:rPr>
          <w:rFonts w:ascii="Book Antiqua" w:hAnsi="Book Antiqua"/>
        </w:rPr>
        <w:t xml:space="preserve">contended that </w:t>
      </w:r>
      <w:bookmarkStart w:id="3" w:name="_Hlk522796837"/>
      <w:r w:rsidR="000014A2">
        <w:rPr>
          <w:rFonts w:ascii="Book Antiqua" w:hAnsi="Book Antiqua"/>
        </w:rPr>
        <w:t xml:space="preserve">paragraph S-LTR 4.2 </w:t>
      </w:r>
      <w:bookmarkEnd w:id="3"/>
      <w:r w:rsidR="000014A2">
        <w:rPr>
          <w:rFonts w:ascii="Book Antiqua" w:hAnsi="Book Antiqua"/>
        </w:rPr>
        <w:t>therefore did not apply.</w:t>
      </w:r>
    </w:p>
    <w:p w14:paraId="66EAA6A2" w14:textId="77777777" w:rsidR="000014A2" w:rsidRDefault="000014A2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FtT did not deal with that </w:t>
      </w:r>
      <w:r w:rsidR="00B5635A">
        <w:rPr>
          <w:rFonts w:ascii="Book Antiqua" w:hAnsi="Book Antiqua"/>
        </w:rPr>
        <w:t>submission.  To that extent, its decision must be set aside and remade.</w:t>
      </w:r>
    </w:p>
    <w:p w14:paraId="53077BCD" w14:textId="77777777" w:rsidR="00362AFD" w:rsidRDefault="007D26D2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ground on which an </w:t>
      </w:r>
      <w:r w:rsidR="000C70E0">
        <w:rPr>
          <w:rFonts w:ascii="Book Antiqua" w:hAnsi="Book Antiqua"/>
        </w:rPr>
        <w:t>application</w:t>
      </w:r>
      <w:r>
        <w:rPr>
          <w:rFonts w:ascii="Book Antiqua" w:hAnsi="Book Antiqua"/>
        </w:rPr>
        <w:t xml:space="preserve"> may be refused for suitability </w:t>
      </w:r>
      <w:r w:rsidR="000C70E0">
        <w:rPr>
          <w:rFonts w:ascii="Book Antiqua" w:hAnsi="Book Antiqua"/>
        </w:rPr>
        <w:t xml:space="preserve">under </w:t>
      </w:r>
      <w:r w:rsidR="00362AFD">
        <w:rPr>
          <w:rFonts w:ascii="Book Antiqua" w:hAnsi="Book Antiqua"/>
        </w:rPr>
        <w:t>paragraph S-LTR 4.2</w:t>
      </w:r>
      <w:r w:rsidR="000C70E0">
        <w:rPr>
          <w:rFonts w:ascii="Book Antiqua" w:hAnsi="Book Antiqua"/>
        </w:rPr>
        <w:t xml:space="preserve"> is that:</w:t>
      </w:r>
    </w:p>
    <w:p w14:paraId="61255757" w14:textId="152F5DC3" w:rsidR="000C70E0" w:rsidRPr="00202923" w:rsidRDefault="00202923" w:rsidP="00202923">
      <w:pPr>
        <w:spacing w:before="240"/>
        <w:ind w:left="1134"/>
        <w:jc w:val="both"/>
        <w:rPr>
          <w:rFonts w:ascii="Book Antiqua" w:hAnsi="Book Antiqua"/>
          <w:sz w:val="22"/>
          <w:szCs w:val="20"/>
        </w:rPr>
      </w:pPr>
      <w:r>
        <w:rPr>
          <w:rFonts w:ascii="Book Antiqua" w:hAnsi="Book Antiqua"/>
          <w:sz w:val="22"/>
          <w:szCs w:val="20"/>
        </w:rPr>
        <w:t>‘</w:t>
      </w:r>
      <w:r w:rsidR="00D42E62" w:rsidRPr="00202923">
        <w:rPr>
          <w:rFonts w:ascii="Book Antiqua" w:hAnsi="Book Antiqua"/>
          <w:sz w:val="22"/>
          <w:szCs w:val="20"/>
        </w:rPr>
        <w:t>T</w:t>
      </w:r>
      <w:r w:rsidR="0082233C" w:rsidRPr="00202923">
        <w:rPr>
          <w:rFonts w:ascii="Book Antiqua" w:hAnsi="Book Antiqua"/>
          <w:sz w:val="22"/>
          <w:szCs w:val="20"/>
        </w:rPr>
        <w:t>he applicant has made false representations or failed to disclose any material fact in a previous application</w:t>
      </w:r>
      <w:r w:rsidR="0098386F" w:rsidRPr="00202923">
        <w:rPr>
          <w:rFonts w:ascii="Book Antiqua" w:hAnsi="Book Antiqua"/>
          <w:sz w:val="22"/>
          <w:szCs w:val="20"/>
        </w:rPr>
        <w:t xml:space="preserve"> for entry clearance, leave to enter, leave to remain </w:t>
      </w:r>
      <w:r w:rsidR="00D42E62" w:rsidRPr="00202923">
        <w:rPr>
          <w:rFonts w:ascii="Book Antiqua" w:hAnsi="Book Antiqua"/>
          <w:sz w:val="22"/>
          <w:szCs w:val="20"/>
        </w:rPr>
        <w:t>or</w:t>
      </w:r>
      <w:r w:rsidR="0098386F" w:rsidRPr="00202923">
        <w:rPr>
          <w:rFonts w:ascii="Book Antiqua" w:hAnsi="Book Antiqua"/>
          <w:sz w:val="22"/>
          <w:szCs w:val="20"/>
        </w:rPr>
        <w:t xml:space="preserve"> a variation of leave</w:t>
      </w:r>
      <w:r w:rsidR="007F28D5" w:rsidRPr="00202923">
        <w:rPr>
          <w:rFonts w:ascii="Book Antiqua" w:hAnsi="Book Antiqua"/>
          <w:sz w:val="22"/>
          <w:szCs w:val="20"/>
        </w:rPr>
        <w:t xml:space="preserve">, or in </w:t>
      </w:r>
      <w:r w:rsidR="00E020D8" w:rsidRPr="00202923">
        <w:rPr>
          <w:rFonts w:ascii="Book Antiqua" w:hAnsi="Book Antiqua"/>
          <w:sz w:val="22"/>
          <w:szCs w:val="20"/>
        </w:rPr>
        <w:t xml:space="preserve">a </w:t>
      </w:r>
      <w:r w:rsidR="007F28D5" w:rsidRPr="00202923">
        <w:rPr>
          <w:rFonts w:ascii="Book Antiqua" w:hAnsi="Book Antiqua"/>
          <w:sz w:val="22"/>
          <w:szCs w:val="20"/>
        </w:rPr>
        <w:t>previous human rights claim;</w:t>
      </w:r>
      <w:r w:rsidR="00D42E62" w:rsidRPr="00202923">
        <w:rPr>
          <w:rFonts w:ascii="Book Antiqua" w:hAnsi="Book Antiqua"/>
          <w:sz w:val="22"/>
          <w:szCs w:val="20"/>
        </w:rPr>
        <w:t xml:space="preserve"> or did so in order to obtain from the Secretary of State or a </w:t>
      </w:r>
      <w:r w:rsidR="00E020D8" w:rsidRPr="00202923">
        <w:rPr>
          <w:rFonts w:ascii="Book Antiqua" w:hAnsi="Book Antiqua"/>
          <w:sz w:val="22"/>
          <w:szCs w:val="20"/>
        </w:rPr>
        <w:t>third</w:t>
      </w:r>
      <w:r w:rsidR="00D42E62" w:rsidRPr="00202923">
        <w:rPr>
          <w:rFonts w:ascii="Book Antiqua" w:hAnsi="Book Antiqua"/>
          <w:sz w:val="22"/>
          <w:szCs w:val="20"/>
        </w:rPr>
        <w:t xml:space="preserve"> party a document required to support such an application </w:t>
      </w:r>
      <w:r w:rsidR="00E020D8" w:rsidRPr="00202923">
        <w:rPr>
          <w:rFonts w:ascii="Book Antiqua" w:hAnsi="Book Antiqua"/>
          <w:sz w:val="22"/>
          <w:szCs w:val="20"/>
        </w:rPr>
        <w:t xml:space="preserve">or claim </w:t>
      </w:r>
      <w:r w:rsidR="00D42E62" w:rsidRPr="00202923">
        <w:rPr>
          <w:rFonts w:ascii="Book Antiqua" w:hAnsi="Book Antiqua"/>
          <w:sz w:val="22"/>
          <w:szCs w:val="20"/>
        </w:rPr>
        <w:t>(whether or not the application or claim was successful).</w:t>
      </w:r>
      <w:r>
        <w:rPr>
          <w:rFonts w:ascii="Book Antiqua" w:hAnsi="Book Antiqua"/>
          <w:sz w:val="22"/>
          <w:szCs w:val="20"/>
        </w:rPr>
        <w:t>’</w:t>
      </w:r>
    </w:p>
    <w:p w14:paraId="709485B6" w14:textId="77777777" w:rsidR="009635AB" w:rsidRPr="009635AB" w:rsidRDefault="00537026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Mr Govan </w:t>
      </w:r>
      <w:r w:rsidR="002F0614">
        <w:rPr>
          <w:rFonts w:ascii="Book Antiqua" w:hAnsi="Book Antiqua" w:cs="Arial"/>
        </w:rPr>
        <w:t>argued that the circumstances of this case might fall within the alternative</w:t>
      </w:r>
      <w:r w:rsidR="00537331">
        <w:rPr>
          <w:rFonts w:ascii="Book Antiqua" w:hAnsi="Book Antiqua" w:cs="Arial"/>
        </w:rPr>
        <w:t xml:space="preserve"> after the semicolon, but </w:t>
      </w:r>
      <w:r w:rsidR="00383A21">
        <w:rPr>
          <w:rFonts w:ascii="Book Antiqua" w:hAnsi="Book Antiqua" w:cs="Arial"/>
        </w:rPr>
        <w:t>I do not see how that can fit.  As Mr Winter observed, the alternative still requires there to be some application or claim</w:t>
      </w:r>
      <w:r w:rsidR="002F0614">
        <w:rPr>
          <w:rFonts w:ascii="Book Antiqua" w:hAnsi="Book Antiqua" w:cs="Arial"/>
        </w:rPr>
        <w:t>.</w:t>
      </w:r>
    </w:p>
    <w:p w14:paraId="0CDA808B" w14:textId="77777777" w:rsidR="00BC0826" w:rsidRPr="00BC0826" w:rsidRDefault="009635AB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I also considered whether the facts might fall within</w:t>
      </w:r>
      <w:r w:rsidR="00BC0826">
        <w:rPr>
          <w:rFonts w:ascii="Book Antiqua" w:hAnsi="Book Antiqua" w:cs="Arial"/>
        </w:rPr>
        <w:t xml:space="preserve"> “failure to disclose”, but that would be a far-fetched requirement.</w:t>
      </w:r>
    </w:p>
    <w:p w14:paraId="35821DDA" w14:textId="77777777" w:rsidR="000C2F9E" w:rsidRPr="000C2F9E" w:rsidRDefault="00195479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Mr Govan </w:t>
      </w:r>
      <w:r w:rsidR="00C33AA3">
        <w:rPr>
          <w:rFonts w:ascii="Book Antiqua" w:hAnsi="Book Antiqua" w:cs="Arial"/>
        </w:rPr>
        <w:t>argued further</w:t>
      </w:r>
      <w:r>
        <w:rPr>
          <w:rFonts w:ascii="Book Antiqua" w:hAnsi="Book Antiqua" w:cs="Arial"/>
        </w:rPr>
        <w:t xml:space="preserve"> that even if </w:t>
      </w:r>
      <w:r w:rsidR="00C0454E">
        <w:rPr>
          <w:rFonts w:ascii="Book Antiqua" w:hAnsi="Book Antiqua" w:cs="Arial"/>
        </w:rPr>
        <w:t>S-LTR 4.2 did not apply, the case might have failed under another provision</w:t>
      </w:r>
      <w:r w:rsidR="00AB2FA2">
        <w:rPr>
          <w:rFonts w:ascii="Book Antiqua" w:hAnsi="Book Antiqua" w:cs="Arial"/>
        </w:rPr>
        <w:t>, such as</w:t>
      </w:r>
      <w:r w:rsidR="00C0454E">
        <w:rPr>
          <w:rFonts w:ascii="Book Antiqua" w:hAnsi="Book Antiqua" w:cs="Arial"/>
        </w:rPr>
        <w:t xml:space="preserve"> S</w:t>
      </w:r>
      <w:r w:rsidR="00AB2FA2">
        <w:rPr>
          <w:rFonts w:ascii="Book Antiqua" w:hAnsi="Book Antiqua" w:cs="Arial"/>
        </w:rPr>
        <w:t>-LTR 1.6.</w:t>
      </w:r>
    </w:p>
    <w:p w14:paraId="5BC0075D" w14:textId="77777777" w:rsidR="001952E0" w:rsidRPr="001952E0" w:rsidRDefault="00780ED3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I agree with the submission by Mr Winter that the point comes much too late.  It is not to be found as an alternative in the original decision</w:t>
      </w:r>
      <w:r w:rsidR="009740B2">
        <w:rPr>
          <w:rFonts w:ascii="Book Antiqua" w:hAnsi="Book Antiqua" w:cs="Arial"/>
        </w:rPr>
        <w:t>, was not argued in the FtT, and is not in the rule 24 response.</w:t>
      </w:r>
    </w:p>
    <w:p w14:paraId="70E76C73" w14:textId="77777777" w:rsidR="00E16333" w:rsidRPr="00E16333" w:rsidRDefault="00C33AA3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In any event, a</w:t>
      </w:r>
      <w:r w:rsidR="00D112CB">
        <w:rPr>
          <w:rFonts w:ascii="Book Antiqua" w:hAnsi="Book Antiqua" w:cs="Arial"/>
        </w:rPr>
        <w:t xml:space="preserve"> refusal based on failure to mention a certificate </w:t>
      </w:r>
      <w:r>
        <w:rPr>
          <w:rFonts w:ascii="Book Antiqua" w:hAnsi="Book Antiqua" w:cs="Arial"/>
        </w:rPr>
        <w:t>which was never</w:t>
      </w:r>
      <w:r w:rsidR="00D112CB">
        <w:rPr>
          <w:rFonts w:ascii="Book Antiqua" w:hAnsi="Book Antiqua" w:cs="Arial"/>
        </w:rPr>
        <w:t xml:space="preserve"> produ</w:t>
      </w:r>
      <w:r w:rsidR="00455CF4">
        <w:rPr>
          <w:rFonts w:ascii="Book Antiqua" w:hAnsi="Book Antiqua" w:cs="Arial"/>
        </w:rPr>
        <w:t>c</w:t>
      </w:r>
      <w:r w:rsidR="00D112CB">
        <w:rPr>
          <w:rFonts w:ascii="Book Antiqua" w:hAnsi="Book Antiqua" w:cs="Arial"/>
        </w:rPr>
        <w:t>e</w:t>
      </w:r>
      <w:r w:rsidR="00455CF4">
        <w:rPr>
          <w:rFonts w:ascii="Book Antiqua" w:hAnsi="Book Antiqua" w:cs="Arial"/>
        </w:rPr>
        <w:t xml:space="preserve">d or relied upon again seems far-fetched, as observed in relation to </w:t>
      </w:r>
      <w:r w:rsidR="00E16333">
        <w:rPr>
          <w:rFonts w:ascii="Book Antiqua" w:hAnsi="Book Antiqua" w:cs="Arial"/>
        </w:rPr>
        <w:t>S-LTR 4.2.</w:t>
      </w:r>
    </w:p>
    <w:p w14:paraId="793866AB" w14:textId="77777777" w:rsidR="00BC20A3" w:rsidRPr="00BC20A3" w:rsidRDefault="00A11A63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lastRenderedPageBreak/>
        <w:t xml:space="preserve">It was common ground that apart from </w:t>
      </w:r>
      <w:r w:rsidR="00456EF6">
        <w:rPr>
          <w:rFonts w:ascii="Book Antiqua" w:hAnsi="Book Antiqua" w:cs="Arial"/>
        </w:rPr>
        <w:t xml:space="preserve">any refusal associated with </w:t>
      </w:r>
      <w:r>
        <w:rPr>
          <w:rFonts w:ascii="Book Antiqua" w:hAnsi="Book Antiqua" w:cs="Arial"/>
        </w:rPr>
        <w:t>S-LTR 4.2 th</w:t>
      </w:r>
      <w:r w:rsidR="00456EF6">
        <w:rPr>
          <w:rFonts w:ascii="Book Antiqua" w:hAnsi="Book Antiqua" w:cs="Arial"/>
        </w:rPr>
        <w:t>e appellant’s</w:t>
      </w:r>
      <w:r>
        <w:rPr>
          <w:rFonts w:ascii="Book Antiqua" w:hAnsi="Book Antiqua" w:cs="Arial"/>
        </w:rPr>
        <w:t xml:space="preserve"> application would have met the terms of the immigration rules for leave to be granted.  </w:t>
      </w:r>
      <w:r w:rsidR="004D246C">
        <w:rPr>
          <w:rFonts w:ascii="Book Antiqua" w:hAnsi="Book Antiqua" w:cs="Arial"/>
        </w:rPr>
        <w:t>The statutory appeal lies on human rights grounds only</w:t>
      </w:r>
      <w:r w:rsidR="00E25362">
        <w:rPr>
          <w:rFonts w:ascii="Book Antiqua" w:hAnsi="Book Antiqua" w:cs="Arial"/>
        </w:rPr>
        <w:t>, but the</w:t>
      </w:r>
      <w:r w:rsidR="0074705D">
        <w:rPr>
          <w:rFonts w:ascii="Book Antiqua" w:hAnsi="Book Antiqua" w:cs="Arial"/>
        </w:rPr>
        <w:t xml:space="preserve"> rules in this respect are designed to </w:t>
      </w:r>
      <w:r w:rsidR="00D3100F">
        <w:rPr>
          <w:rFonts w:ascii="Book Antiqua" w:hAnsi="Book Antiqua" w:cs="Arial"/>
        </w:rPr>
        <w:t xml:space="preserve">comply with </w:t>
      </w:r>
      <w:r w:rsidR="0074705D">
        <w:rPr>
          <w:rFonts w:ascii="Book Antiqua" w:hAnsi="Book Antiqua" w:cs="Arial"/>
        </w:rPr>
        <w:t>article 8.</w:t>
      </w:r>
      <w:r w:rsidR="00E25362">
        <w:rPr>
          <w:rFonts w:ascii="Book Antiqua" w:hAnsi="Book Antiqua" w:cs="Arial"/>
        </w:rPr>
        <w:t xml:space="preserve">  It follows that the appeal succeeds on human rights grounds.</w:t>
      </w:r>
      <w:r w:rsidR="0074705D">
        <w:rPr>
          <w:rFonts w:ascii="Book Antiqua" w:hAnsi="Book Antiqua" w:cs="Arial"/>
        </w:rPr>
        <w:t xml:space="preserve">  </w:t>
      </w:r>
      <w:r w:rsidR="002F0614">
        <w:rPr>
          <w:rFonts w:ascii="Book Antiqua" w:hAnsi="Book Antiqua" w:cs="Arial"/>
        </w:rPr>
        <w:t xml:space="preserve"> </w:t>
      </w:r>
    </w:p>
    <w:p w14:paraId="03C7A7BC" w14:textId="77777777" w:rsidR="00321C6F" w:rsidRPr="00321C6F" w:rsidRDefault="00E25362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</w:t>
      </w:r>
      <w:r w:rsidR="008A64A7">
        <w:rPr>
          <w:rFonts w:ascii="Book Antiqua" w:hAnsi="Book Antiqua" w:cs="Arial"/>
        </w:rPr>
        <w:t>de</w:t>
      </w:r>
      <w:r w:rsidR="00DA3D04">
        <w:rPr>
          <w:rFonts w:ascii="Book Antiqua" w:hAnsi="Book Antiqua" w:cs="Arial"/>
        </w:rPr>
        <w:t>cision</w:t>
      </w:r>
      <w:r w:rsidR="008A64A7">
        <w:rPr>
          <w:rFonts w:ascii="Book Antiqua" w:hAnsi="Book Antiqua" w:cs="Arial"/>
        </w:rPr>
        <w:t xml:space="preserve"> </w:t>
      </w:r>
      <w:r w:rsidR="00321C6F">
        <w:rPr>
          <w:rFonts w:ascii="Book Antiqua" w:hAnsi="Book Antiqua" w:cs="Arial"/>
        </w:rPr>
        <w:t xml:space="preserve">of the First-tier Tribunal </w:t>
      </w:r>
      <w:r w:rsidR="008A64A7">
        <w:rPr>
          <w:rFonts w:ascii="Book Antiqua" w:hAnsi="Book Antiqua" w:cs="Arial"/>
        </w:rPr>
        <w:t>is set aside</w:t>
      </w:r>
      <w:r>
        <w:rPr>
          <w:rFonts w:ascii="Book Antiqua" w:hAnsi="Book Antiqua" w:cs="Arial"/>
        </w:rPr>
        <w:t>, and the appeal, as originally brought to the FtT, is allowed.</w:t>
      </w:r>
    </w:p>
    <w:p w14:paraId="1D7A8348" w14:textId="77777777" w:rsidR="00321C6F" w:rsidRPr="00A56832" w:rsidRDefault="001F35D0" w:rsidP="001F35D0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FtT made an</w:t>
      </w:r>
      <w:r w:rsidR="00321C6F">
        <w:rPr>
          <w:rFonts w:ascii="Book Antiqua" w:hAnsi="Book Antiqua"/>
        </w:rPr>
        <w:t xml:space="preserve"> anonymity direction</w:t>
      </w:r>
      <w:r>
        <w:rPr>
          <w:rFonts w:ascii="Book Antiqua" w:hAnsi="Book Antiqua"/>
        </w:rPr>
        <w:t>, which ha</w:t>
      </w:r>
      <w:r w:rsidR="00983AA0">
        <w:rPr>
          <w:rFonts w:ascii="Book Antiqua" w:hAnsi="Book Antiqua"/>
        </w:rPr>
        <w:t>s</w:t>
      </w:r>
      <w:r>
        <w:rPr>
          <w:rFonts w:ascii="Book Antiqua" w:hAnsi="Book Antiqua"/>
        </w:rPr>
        <w:t xml:space="preserve"> been maintained herein.</w:t>
      </w:r>
      <w:r w:rsidR="00321C6F">
        <w:rPr>
          <w:rFonts w:ascii="Book Antiqua" w:hAnsi="Book Antiqua"/>
        </w:rPr>
        <w:t xml:space="preserve">  </w:t>
      </w:r>
    </w:p>
    <w:p w14:paraId="000B2C8A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47B85345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0046" w:rsidRPr="009445D2">
        <w:rPr>
          <w:noProof/>
          <w:sz w:val="22"/>
          <w:szCs w:val="22"/>
        </w:rPr>
        <w:drawing>
          <wp:inline distT="0" distB="0" distL="0" distR="0" wp14:anchorId="30B6379E" wp14:editId="59806B15">
            <wp:extent cx="1533525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4D32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34213116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1F35D0">
        <w:rPr>
          <w:rFonts w:ascii="Book Antiqua" w:hAnsi="Book Antiqua" w:cs="Arial"/>
        </w:rPr>
        <w:t xml:space="preserve">23 August </w:t>
      </w:r>
      <w:r w:rsidR="000B442A">
        <w:rPr>
          <w:rFonts w:ascii="Book Antiqua" w:hAnsi="Book Antiqua" w:cs="Arial"/>
        </w:rPr>
        <w:t>20</w:t>
      </w:r>
      <w:r w:rsidR="00A810D2">
        <w:rPr>
          <w:rFonts w:ascii="Book Antiqua" w:hAnsi="Book Antiqua" w:cs="Arial"/>
        </w:rPr>
        <w:t>1</w:t>
      </w:r>
      <w:r w:rsidR="00B170ED">
        <w:rPr>
          <w:rFonts w:ascii="Book Antiqua" w:hAnsi="Book Antiqua" w:cs="Arial"/>
        </w:rPr>
        <w:t>8</w:t>
      </w:r>
      <w:r>
        <w:rPr>
          <w:rFonts w:ascii="Book Antiqua" w:hAnsi="Book Antiqua" w:cs="Arial"/>
        </w:rPr>
        <w:t xml:space="preserve"> </w:t>
      </w:r>
    </w:p>
    <w:p w14:paraId="7864DC20" w14:textId="77777777" w:rsidR="00321C6F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Upper Tribunal Judge Macleman</w:t>
      </w:r>
    </w:p>
    <w:p w14:paraId="505DAE3C" w14:textId="77777777" w:rsidR="00933B65" w:rsidRPr="00F97703" w:rsidRDefault="00933B65" w:rsidP="00933B65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14:paraId="34F22251" w14:textId="77777777" w:rsidR="00266FFE" w:rsidRDefault="00266FFE"/>
    <w:p w14:paraId="481B5431" w14:textId="77777777" w:rsidR="006D2D9A" w:rsidRDefault="006D2D9A"/>
    <w:sectPr w:rsidR="006D2D9A" w:rsidSect="002E506D">
      <w:headerReference w:type="default" r:id="rId10"/>
      <w:footerReference w:type="default" r:id="rId11"/>
      <w:footerReference w:type="first" r:id="rId12"/>
      <w:pgSz w:w="11906" w:h="16838" w:code="9"/>
      <w:pgMar w:top="1191" w:right="1134" w:bottom="119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FF62C" w14:textId="77777777" w:rsidR="00724692" w:rsidRDefault="00724692">
      <w:r>
        <w:separator/>
      </w:r>
    </w:p>
  </w:endnote>
  <w:endnote w:type="continuationSeparator" w:id="0">
    <w:p w14:paraId="4243558F" w14:textId="77777777" w:rsidR="00724692" w:rsidRDefault="00724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97588" w14:textId="2C06CE23" w:rsidR="008D4782" w:rsidRPr="00593795" w:rsidRDefault="008D4782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ED637A">
      <w:rPr>
        <w:rStyle w:val="PageNumber"/>
        <w:rFonts w:ascii="Arial" w:hAnsi="Arial" w:cs="Arial"/>
        <w:noProof/>
        <w:sz w:val="16"/>
        <w:szCs w:val="16"/>
      </w:rPr>
      <w:t>3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0188F" w14:textId="77777777" w:rsidR="008D4782" w:rsidRPr="00090CF9" w:rsidRDefault="008D4782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</w:t>
    </w:r>
    <w:r w:rsidR="00224AFD">
      <w:rPr>
        <w:rFonts w:ascii="Arial" w:hAnsi="Arial" w:cs="Arial"/>
        <w:b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9A023" w14:textId="77777777" w:rsidR="00724692" w:rsidRDefault="00724692">
      <w:r>
        <w:separator/>
      </w:r>
    </w:p>
  </w:footnote>
  <w:footnote w:type="continuationSeparator" w:id="0">
    <w:p w14:paraId="38009163" w14:textId="77777777" w:rsidR="00724692" w:rsidRDefault="00724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DF622" w14:textId="77777777" w:rsidR="008D4782" w:rsidRPr="003C5CE5" w:rsidRDefault="008D4782" w:rsidP="00614E94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Appeal Number: </w:t>
    </w:r>
    <w:r w:rsidR="003350F3">
      <w:rPr>
        <w:rFonts w:ascii="Arial" w:hAnsi="Arial" w:cs="Arial"/>
        <w:sz w:val="16"/>
        <w:szCs w:val="16"/>
      </w:rPr>
      <w:t>HU/1</w:t>
    </w:r>
    <w:r w:rsidR="00224AFD" w:rsidRPr="00224AFD">
      <w:rPr>
        <w:rFonts w:ascii="Arial" w:hAnsi="Arial" w:cs="Arial"/>
        <w:sz w:val="16"/>
        <w:szCs w:val="16"/>
      </w:rPr>
      <w:t>3244/2017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9AEE4A1-4823-42B1-95F0-22AF52FA1C79}"/>
    <w:docVar w:name="dgnword-eventsink" w:val="674734336"/>
  </w:docVars>
  <w:rsids>
    <w:rsidRoot w:val="00933B65"/>
    <w:rsid w:val="000014A2"/>
    <w:rsid w:val="00005159"/>
    <w:rsid w:val="00007BAC"/>
    <w:rsid w:val="000177DE"/>
    <w:rsid w:val="00037422"/>
    <w:rsid w:val="000505C0"/>
    <w:rsid w:val="00050F40"/>
    <w:rsid w:val="000777B7"/>
    <w:rsid w:val="00087C41"/>
    <w:rsid w:val="000B442A"/>
    <w:rsid w:val="000C2F9E"/>
    <w:rsid w:val="000C70E0"/>
    <w:rsid w:val="00106B6A"/>
    <w:rsid w:val="00107A26"/>
    <w:rsid w:val="001103E2"/>
    <w:rsid w:val="00117089"/>
    <w:rsid w:val="00172233"/>
    <w:rsid w:val="00184269"/>
    <w:rsid w:val="001952E0"/>
    <w:rsid w:val="00195479"/>
    <w:rsid w:val="001D3A0B"/>
    <w:rsid w:val="001D6343"/>
    <w:rsid w:val="001E0145"/>
    <w:rsid w:val="001F35D0"/>
    <w:rsid w:val="001F3A81"/>
    <w:rsid w:val="00202923"/>
    <w:rsid w:val="002065B8"/>
    <w:rsid w:val="002104B4"/>
    <w:rsid w:val="002135A6"/>
    <w:rsid w:val="002154EF"/>
    <w:rsid w:val="002217BA"/>
    <w:rsid w:val="00224440"/>
    <w:rsid w:val="00224AFD"/>
    <w:rsid w:val="002551E0"/>
    <w:rsid w:val="00266FFE"/>
    <w:rsid w:val="00274F92"/>
    <w:rsid w:val="002914A0"/>
    <w:rsid w:val="002C683E"/>
    <w:rsid w:val="002E506D"/>
    <w:rsid w:val="002F0614"/>
    <w:rsid w:val="00321C6F"/>
    <w:rsid w:val="003350F3"/>
    <w:rsid w:val="00362AFD"/>
    <w:rsid w:val="003812EE"/>
    <w:rsid w:val="00383A21"/>
    <w:rsid w:val="003C1934"/>
    <w:rsid w:val="003D7D3D"/>
    <w:rsid w:val="003D7F34"/>
    <w:rsid w:val="003E6445"/>
    <w:rsid w:val="004171D0"/>
    <w:rsid w:val="00441640"/>
    <w:rsid w:val="004541E5"/>
    <w:rsid w:val="00455CF4"/>
    <w:rsid w:val="0045642E"/>
    <w:rsid w:val="00456EF6"/>
    <w:rsid w:val="0046122D"/>
    <w:rsid w:val="00470675"/>
    <w:rsid w:val="004739C8"/>
    <w:rsid w:val="004A012D"/>
    <w:rsid w:val="004D246C"/>
    <w:rsid w:val="004F1F9B"/>
    <w:rsid w:val="00513527"/>
    <w:rsid w:val="0051652D"/>
    <w:rsid w:val="00537026"/>
    <w:rsid w:val="00537331"/>
    <w:rsid w:val="0057020B"/>
    <w:rsid w:val="00590CEE"/>
    <w:rsid w:val="00594CA2"/>
    <w:rsid w:val="00595C55"/>
    <w:rsid w:val="005A1712"/>
    <w:rsid w:val="005A63F6"/>
    <w:rsid w:val="005B6B9C"/>
    <w:rsid w:val="005F6D40"/>
    <w:rsid w:val="00614020"/>
    <w:rsid w:val="00614E94"/>
    <w:rsid w:val="0063091E"/>
    <w:rsid w:val="0065091A"/>
    <w:rsid w:val="00657E4A"/>
    <w:rsid w:val="00690F61"/>
    <w:rsid w:val="006D2D9A"/>
    <w:rsid w:val="006D784E"/>
    <w:rsid w:val="006D7C16"/>
    <w:rsid w:val="006E3DE1"/>
    <w:rsid w:val="00724692"/>
    <w:rsid w:val="00734D2D"/>
    <w:rsid w:val="007412E0"/>
    <w:rsid w:val="0074705D"/>
    <w:rsid w:val="00774C7C"/>
    <w:rsid w:val="00780ED3"/>
    <w:rsid w:val="007A5429"/>
    <w:rsid w:val="007C6053"/>
    <w:rsid w:val="007D26D2"/>
    <w:rsid w:val="007F28D5"/>
    <w:rsid w:val="007F7538"/>
    <w:rsid w:val="007F7830"/>
    <w:rsid w:val="0080239D"/>
    <w:rsid w:val="00810037"/>
    <w:rsid w:val="00810338"/>
    <w:rsid w:val="0082233C"/>
    <w:rsid w:val="0084433E"/>
    <w:rsid w:val="00861DE2"/>
    <w:rsid w:val="008832E8"/>
    <w:rsid w:val="008A64A7"/>
    <w:rsid w:val="008A7E52"/>
    <w:rsid w:val="008B5B9B"/>
    <w:rsid w:val="008C2761"/>
    <w:rsid w:val="008D4782"/>
    <w:rsid w:val="008F2CE1"/>
    <w:rsid w:val="00923BA9"/>
    <w:rsid w:val="00926DE2"/>
    <w:rsid w:val="00933B65"/>
    <w:rsid w:val="00957EE0"/>
    <w:rsid w:val="009635AB"/>
    <w:rsid w:val="009701EB"/>
    <w:rsid w:val="009740B2"/>
    <w:rsid w:val="0098386F"/>
    <w:rsid w:val="00983AA0"/>
    <w:rsid w:val="009E3D21"/>
    <w:rsid w:val="009F361B"/>
    <w:rsid w:val="00A11A63"/>
    <w:rsid w:val="00A41C8A"/>
    <w:rsid w:val="00A75F9B"/>
    <w:rsid w:val="00A810D2"/>
    <w:rsid w:val="00A86A8D"/>
    <w:rsid w:val="00AA199C"/>
    <w:rsid w:val="00AA25A1"/>
    <w:rsid w:val="00AA5502"/>
    <w:rsid w:val="00AB2FA2"/>
    <w:rsid w:val="00AD502C"/>
    <w:rsid w:val="00AD7611"/>
    <w:rsid w:val="00AF308D"/>
    <w:rsid w:val="00B10807"/>
    <w:rsid w:val="00B170ED"/>
    <w:rsid w:val="00B52844"/>
    <w:rsid w:val="00B5635A"/>
    <w:rsid w:val="00B81FD7"/>
    <w:rsid w:val="00BA02C6"/>
    <w:rsid w:val="00BA3065"/>
    <w:rsid w:val="00BB2B34"/>
    <w:rsid w:val="00BB470C"/>
    <w:rsid w:val="00BB69F4"/>
    <w:rsid w:val="00BC0611"/>
    <w:rsid w:val="00BC0826"/>
    <w:rsid w:val="00BC20A3"/>
    <w:rsid w:val="00BC220A"/>
    <w:rsid w:val="00BE34CF"/>
    <w:rsid w:val="00BF586A"/>
    <w:rsid w:val="00C01F6A"/>
    <w:rsid w:val="00C0454E"/>
    <w:rsid w:val="00C15A7E"/>
    <w:rsid w:val="00C33AA3"/>
    <w:rsid w:val="00C51B29"/>
    <w:rsid w:val="00C6098F"/>
    <w:rsid w:val="00C628F1"/>
    <w:rsid w:val="00CB6012"/>
    <w:rsid w:val="00CD5AEE"/>
    <w:rsid w:val="00CF0FE6"/>
    <w:rsid w:val="00D112CB"/>
    <w:rsid w:val="00D3100F"/>
    <w:rsid w:val="00D31D54"/>
    <w:rsid w:val="00D42E62"/>
    <w:rsid w:val="00D44C2B"/>
    <w:rsid w:val="00DA30CF"/>
    <w:rsid w:val="00DA3D04"/>
    <w:rsid w:val="00DA7500"/>
    <w:rsid w:val="00DB4CD7"/>
    <w:rsid w:val="00DC699D"/>
    <w:rsid w:val="00E020D8"/>
    <w:rsid w:val="00E04129"/>
    <w:rsid w:val="00E16333"/>
    <w:rsid w:val="00E25362"/>
    <w:rsid w:val="00EA3D98"/>
    <w:rsid w:val="00ED637A"/>
    <w:rsid w:val="00EE6CE7"/>
    <w:rsid w:val="00EF5785"/>
    <w:rsid w:val="00F125AD"/>
    <w:rsid w:val="00F2723E"/>
    <w:rsid w:val="00F40619"/>
    <w:rsid w:val="00F427EA"/>
    <w:rsid w:val="00F47052"/>
    <w:rsid w:val="00F648C0"/>
    <w:rsid w:val="00F85C8A"/>
    <w:rsid w:val="00F93055"/>
    <w:rsid w:val="00FA0A2E"/>
    <w:rsid w:val="00FA16C5"/>
    <w:rsid w:val="00FA2A43"/>
    <w:rsid w:val="00FA7FC0"/>
    <w:rsid w:val="00FB0516"/>
    <w:rsid w:val="00FD2A18"/>
    <w:rsid w:val="00FD75C7"/>
    <w:rsid w:val="00FE0046"/>
    <w:rsid w:val="00FF48B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BA14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DA75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A7500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E60B1-9702-4A40-9F8D-0C5ED8C85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2018-09-17T13:32:00Z</dcterms:created>
  <dcterms:modified xsi:type="dcterms:W3CDTF">2018-09-17T13:32:00Z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