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BB0BED" w:rsidRDefault="00754737" w:rsidP="00503887">
      <w:pPr>
        <w:jc w:val="center"/>
        <w:rPr>
          <w:rFonts w:ascii="Book Antiqua" w:hAnsi="Book Antiqua" w:cs="Arial"/>
          <w:color w:val="000000"/>
        </w:rPr>
      </w:pPr>
      <w:r w:rsidRPr="00DA77D9">
        <w:rPr>
          <w:rFonts w:ascii="Book Antiqua" w:hAnsi="Book Antiqua"/>
          <w:noProof/>
        </w:rPr>
        <w:drawing>
          <wp:inline distT="0" distB="0" distL="0" distR="0">
            <wp:extent cx="146939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69390" cy="1104900"/>
                    </a:xfrm>
                    <a:prstGeom prst="rect">
                      <a:avLst/>
                    </a:prstGeom>
                    <a:noFill/>
                    <a:ln>
                      <a:noFill/>
                    </a:ln>
                  </pic:spPr>
                </pic:pic>
              </a:graphicData>
            </a:graphic>
          </wp:inline>
        </w:drawing>
      </w:r>
    </w:p>
    <w:p w:rsidR="001230F1" w:rsidRPr="00BB0BED" w:rsidRDefault="001230F1" w:rsidP="001230F1">
      <w:pPr>
        <w:rPr>
          <w:rFonts w:ascii="Book Antiqua" w:hAnsi="Book Antiqua" w:cs="Arial"/>
          <w:color w:val="000000"/>
          <w:sz w:val="16"/>
          <w:szCs w:val="16"/>
        </w:rPr>
      </w:pP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AB2694"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Pr="00BB0BED">
        <w:rPr>
          <w:rFonts w:ascii="Book Antiqua" w:hAnsi="Book Antiqua" w:cs="Arial"/>
          <w:b/>
          <w:color w:val="000000"/>
        </w:rPr>
        <w:tab/>
      </w:r>
      <w:r w:rsidR="00CF4F17">
        <w:rPr>
          <w:rFonts w:ascii="Book Antiqua" w:hAnsi="Book Antiqua" w:cs="Arial"/>
          <w:color w:val="000000"/>
        </w:rPr>
        <w:t>Appeal Number:</w:t>
      </w:r>
      <w:r w:rsidR="001230F1">
        <w:rPr>
          <w:rFonts w:ascii="Book Antiqua" w:hAnsi="Book Antiqua" w:cs="Arial"/>
          <w:color w:val="000000"/>
        </w:rPr>
        <w:t xml:space="preserve"> </w:t>
      </w:r>
      <w:bookmarkStart w:id="0" w:name="_GoBack"/>
      <w:r w:rsidR="001D7D47">
        <w:rPr>
          <w:rFonts w:ascii="Book Antiqua" w:hAnsi="Book Antiqua" w:cs="Arial"/>
          <w:color w:val="000000"/>
        </w:rPr>
        <w:t>HU/13528/</w:t>
      </w:r>
      <w:r w:rsidR="004B3B36">
        <w:rPr>
          <w:rFonts w:ascii="Book Antiqua" w:hAnsi="Book Antiqua" w:cs="Arial"/>
          <w:color w:val="000000"/>
        </w:rPr>
        <w:t>20</w:t>
      </w:r>
      <w:r w:rsidR="001D7D47">
        <w:rPr>
          <w:rFonts w:ascii="Book Antiqua" w:hAnsi="Book Antiqua" w:cs="Arial"/>
          <w:color w:val="000000"/>
        </w:rPr>
        <w:t>16</w:t>
      </w:r>
      <w:bookmarkEnd w:id="0"/>
    </w:p>
    <w:p w:rsidR="00D676BC" w:rsidRDefault="00E0733F" w:rsidP="00503887">
      <w:pPr>
        <w:tabs>
          <w:tab w:val="right" w:pos="9720"/>
        </w:tabs>
        <w:ind w:right="-82"/>
        <w:rPr>
          <w:rFonts w:ascii="Book Antiqua" w:hAnsi="Book Antiqua" w:cs="Arial"/>
          <w:color w:val="000000"/>
        </w:rPr>
      </w:pPr>
      <w:r>
        <w:rPr>
          <w:rFonts w:ascii="Book Antiqua" w:hAnsi="Book Antiqua" w:cs="Arial"/>
          <w:color w:val="000000"/>
        </w:rPr>
        <w:tab/>
      </w:r>
    </w:p>
    <w:p w:rsidR="00262D84" w:rsidRDefault="00262D84" w:rsidP="00503887">
      <w:pPr>
        <w:tabs>
          <w:tab w:val="right" w:pos="9720"/>
        </w:tabs>
        <w:ind w:right="-82"/>
        <w:rPr>
          <w:rFonts w:ascii="Book Antiqua" w:hAnsi="Book Antiqua" w:cs="Arial"/>
          <w:color w:val="000000"/>
        </w:rPr>
      </w:pPr>
    </w:p>
    <w:p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Default="00D219F1" w:rsidP="00503887">
      <w:pPr>
        <w:jc w:val="center"/>
        <w:rPr>
          <w:rFonts w:ascii="Book Antiqua" w:hAnsi="Book Antiqua" w:cs="Arial"/>
          <w:b/>
          <w:u w:val="single"/>
        </w:rPr>
      </w:pPr>
    </w:p>
    <w:p w:rsidR="001230F1" w:rsidRDefault="001230F1" w:rsidP="00503887">
      <w:pPr>
        <w:jc w:val="center"/>
        <w:rPr>
          <w:rFonts w:ascii="Book Antiqua" w:hAnsi="Book Antiqua" w:cs="Arial"/>
          <w:b/>
          <w:u w:val="single"/>
        </w:rPr>
      </w:pPr>
    </w:p>
    <w:p w:rsidR="00AA2888" w:rsidRPr="00AA2888" w:rsidRDefault="00F70090" w:rsidP="00AA2888">
      <w:pPr>
        <w:rPr>
          <w:rFonts w:ascii="Book Antiqua" w:hAnsi="Book Antiqua" w:cs="Arial"/>
          <w:b/>
        </w:rPr>
      </w:pPr>
      <w:r>
        <w:rPr>
          <w:rFonts w:ascii="Book Antiqua" w:hAnsi="Book Antiqua" w:cs="Arial"/>
          <w:b/>
        </w:rPr>
        <w:t xml:space="preserve">Heard at: </w:t>
      </w:r>
      <w:r w:rsidR="008C3554">
        <w:rPr>
          <w:rFonts w:ascii="Book Antiqua" w:hAnsi="Book Antiqua" w:cs="Arial"/>
          <w:b/>
        </w:rPr>
        <w:t>Manchester</w:t>
      </w:r>
      <w:r w:rsidR="00133AE2">
        <w:rPr>
          <w:rFonts w:ascii="Book Antiqua" w:hAnsi="Book Antiqua" w:cs="Arial"/>
          <w:b/>
        </w:rPr>
        <w:tab/>
      </w:r>
      <w:r w:rsidR="00133AE2">
        <w:rPr>
          <w:rFonts w:ascii="Book Antiqua" w:hAnsi="Book Antiqua" w:cs="Arial"/>
          <w:b/>
        </w:rPr>
        <w:tab/>
      </w:r>
      <w:r w:rsidR="00133AE2">
        <w:rPr>
          <w:rFonts w:ascii="Book Antiqua" w:hAnsi="Book Antiqua" w:cs="Arial"/>
          <w:b/>
        </w:rPr>
        <w:tab/>
      </w:r>
      <w:r w:rsidR="00133AE2">
        <w:rPr>
          <w:rFonts w:ascii="Book Antiqua" w:hAnsi="Book Antiqua" w:cs="Arial"/>
          <w:b/>
        </w:rPr>
        <w:tab/>
      </w:r>
      <w:r w:rsidR="00133AE2">
        <w:rPr>
          <w:rFonts w:ascii="Book Antiqua" w:hAnsi="Book Antiqua" w:cs="Arial"/>
          <w:b/>
        </w:rPr>
        <w:tab/>
        <w:t xml:space="preserve">    Decision Promulgated:</w:t>
      </w:r>
    </w:p>
    <w:p w:rsidR="00AA2888" w:rsidRPr="00AA2888" w:rsidRDefault="00702678" w:rsidP="00AA2888">
      <w:pPr>
        <w:rPr>
          <w:rFonts w:ascii="Book Antiqua" w:hAnsi="Book Antiqua" w:cs="Arial"/>
          <w:b/>
        </w:rPr>
      </w:pPr>
      <w:r>
        <w:rPr>
          <w:rFonts w:ascii="Book Antiqua" w:hAnsi="Book Antiqua" w:cs="Arial"/>
          <w:b/>
        </w:rPr>
        <w:t xml:space="preserve">On: </w:t>
      </w:r>
      <w:r w:rsidR="008C3554">
        <w:rPr>
          <w:rFonts w:ascii="Book Antiqua" w:hAnsi="Book Antiqua" w:cs="Arial"/>
          <w:b/>
        </w:rPr>
        <w:t>18</w:t>
      </w:r>
      <w:r w:rsidR="00E0733F" w:rsidRPr="00E0733F">
        <w:rPr>
          <w:rFonts w:ascii="Book Antiqua" w:hAnsi="Book Antiqua" w:cs="Arial"/>
          <w:b/>
          <w:vertAlign w:val="superscript"/>
        </w:rPr>
        <w:t>th</w:t>
      </w:r>
      <w:r w:rsidR="008C3554">
        <w:rPr>
          <w:rFonts w:ascii="Book Antiqua" w:hAnsi="Book Antiqua" w:cs="Arial"/>
          <w:b/>
        </w:rPr>
        <w:t xml:space="preserve"> April</w:t>
      </w:r>
      <w:r w:rsidR="00D95350">
        <w:rPr>
          <w:rFonts w:ascii="Book Antiqua" w:hAnsi="Book Antiqua" w:cs="Arial"/>
          <w:b/>
        </w:rPr>
        <w:t xml:space="preserve"> </w:t>
      </w:r>
      <w:r w:rsidR="008C3554">
        <w:rPr>
          <w:rFonts w:ascii="Book Antiqua" w:hAnsi="Book Antiqua" w:cs="Arial"/>
          <w:b/>
        </w:rPr>
        <w:t>2018</w:t>
      </w:r>
      <w:r w:rsidR="00133AE2">
        <w:rPr>
          <w:rFonts w:ascii="Book Antiqua" w:hAnsi="Book Antiqua" w:cs="Arial"/>
          <w:b/>
        </w:rPr>
        <w:tab/>
      </w:r>
      <w:r w:rsidR="00133AE2">
        <w:rPr>
          <w:rFonts w:ascii="Book Antiqua" w:hAnsi="Book Antiqua" w:cs="Arial"/>
          <w:b/>
        </w:rPr>
        <w:tab/>
      </w:r>
      <w:r w:rsidR="00133AE2">
        <w:rPr>
          <w:rFonts w:ascii="Book Antiqua" w:hAnsi="Book Antiqua" w:cs="Arial"/>
          <w:b/>
        </w:rPr>
        <w:tab/>
      </w:r>
      <w:r w:rsidR="00133AE2">
        <w:rPr>
          <w:rFonts w:ascii="Book Antiqua" w:hAnsi="Book Antiqua" w:cs="Arial"/>
          <w:b/>
        </w:rPr>
        <w:tab/>
      </w:r>
      <w:r w:rsidR="00133AE2">
        <w:rPr>
          <w:rFonts w:ascii="Book Antiqua" w:hAnsi="Book Antiqua" w:cs="Arial"/>
          <w:b/>
        </w:rPr>
        <w:tab/>
      </w:r>
      <w:r w:rsidR="00133AE2">
        <w:rPr>
          <w:rFonts w:ascii="Book Antiqua" w:hAnsi="Book Antiqua" w:cs="Arial"/>
          <w:b/>
        </w:rPr>
        <w:tab/>
        <w:t xml:space="preserve">    On: 3</w:t>
      </w:r>
      <w:r w:rsidR="00133AE2" w:rsidRPr="00133AE2">
        <w:rPr>
          <w:rFonts w:ascii="Book Antiqua" w:hAnsi="Book Antiqua" w:cs="Arial"/>
          <w:b/>
          <w:vertAlign w:val="superscript"/>
        </w:rPr>
        <w:t>rd</w:t>
      </w:r>
      <w:r w:rsidR="00133AE2">
        <w:rPr>
          <w:rFonts w:ascii="Book Antiqua" w:hAnsi="Book Antiqua" w:cs="Arial"/>
          <w:b/>
        </w:rPr>
        <w:t xml:space="preserve"> July 2018</w:t>
      </w:r>
    </w:p>
    <w:tbl>
      <w:tblPr>
        <w:tblW w:w="0" w:type="auto"/>
        <w:tblLook w:val="01E0" w:firstRow="1" w:lastRow="1" w:firstColumn="1" w:lastColumn="1" w:noHBand="0" w:noVBand="0"/>
      </w:tblPr>
      <w:tblGrid>
        <w:gridCol w:w="5930"/>
        <w:gridCol w:w="3708"/>
      </w:tblGrid>
      <w:tr w:rsidR="00D219F1" w:rsidRPr="00C03009" w:rsidTr="001230F1">
        <w:tc>
          <w:tcPr>
            <w:tcW w:w="5930" w:type="dxa"/>
          </w:tcPr>
          <w:p w:rsidR="00D219F1" w:rsidRPr="00C03009" w:rsidRDefault="00D219F1" w:rsidP="00256F9B">
            <w:pPr>
              <w:jc w:val="both"/>
              <w:rPr>
                <w:rFonts w:ascii="Book Antiqua" w:hAnsi="Book Antiqua" w:cs="Arial"/>
                <w:b/>
              </w:rPr>
            </w:pPr>
          </w:p>
        </w:tc>
        <w:tc>
          <w:tcPr>
            <w:tcW w:w="3708" w:type="dxa"/>
          </w:tcPr>
          <w:p w:rsidR="00D219F1" w:rsidRPr="00C03009" w:rsidRDefault="00D219F1" w:rsidP="00256F9B">
            <w:pPr>
              <w:jc w:val="both"/>
              <w:rPr>
                <w:rFonts w:ascii="Book Antiqua" w:hAnsi="Book Antiqua" w:cs="Arial"/>
                <w:b/>
                <w:color w:val="000000"/>
              </w:rPr>
            </w:pPr>
          </w:p>
        </w:tc>
      </w:tr>
      <w:tr w:rsidR="00D219F1" w:rsidRPr="0013229C" w:rsidTr="001230F1">
        <w:tc>
          <w:tcPr>
            <w:tcW w:w="5930" w:type="dxa"/>
          </w:tcPr>
          <w:p w:rsidR="00D219F1" w:rsidRPr="00C03009" w:rsidRDefault="00D219F1" w:rsidP="00256F9B">
            <w:pPr>
              <w:jc w:val="both"/>
              <w:rPr>
                <w:rFonts w:ascii="Book Antiqua" w:hAnsi="Book Antiqua" w:cs="Arial"/>
                <w:b/>
              </w:rPr>
            </w:pPr>
          </w:p>
        </w:tc>
        <w:tc>
          <w:tcPr>
            <w:tcW w:w="3708" w:type="dxa"/>
          </w:tcPr>
          <w:p w:rsidR="00D219F1" w:rsidRPr="0013229C" w:rsidRDefault="00D219F1" w:rsidP="00256F9B">
            <w:pPr>
              <w:jc w:val="both"/>
              <w:rPr>
                <w:rFonts w:ascii="Book Antiqua" w:hAnsi="Book Antiqua" w:cs="Arial"/>
                <w:b/>
              </w:rPr>
            </w:pPr>
          </w:p>
        </w:tc>
      </w:tr>
    </w:tbl>
    <w:p w:rsidR="00D219F1" w:rsidRPr="0013229C" w:rsidRDefault="00D219F1" w:rsidP="00503887">
      <w:pPr>
        <w:jc w:val="center"/>
        <w:outlineLvl w:val="0"/>
        <w:rPr>
          <w:rFonts w:ascii="Book Antiqua" w:hAnsi="Book Antiqua" w:cs="Arial"/>
          <w:b/>
        </w:rPr>
      </w:pPr>
      <w:r w:rsidRPr="0013229C">
        <w:rPr>
          <w:rFonts w:ascii="Book Antiqua" w:hAnsi="Book Antiqua" w:cs="Arial"/>
          <w:b/>
        </w:rPr>
        <w:t>Before</w:t>
      </w:r>
    </w:p>
    <w:p w:rsidR="00D219F1" w:rsidRPr="0013229C" w:rsidRDefault="00D219F1" w:rsidP="00764A18">
      <w:pPr>
        <w:rPr>
          <w:rFonts w:ascii="Book Antiqua" w:hAnsi="Book Antiqua" w:cs="Arial"/>
          <w:b/>
        </w:rPr>
      </w:pPr>
    </w:p>
    <w:p w:rsidR="00D219F1" w:rsidRPr="0013229C" w:rsidRDefault="00D219F1" w:rsidP="00503887">
      <w:pPr>
        <w:jc w:val="center"/>
        <w:rPr>
          <w:rFonts w:ascii="Book Antiqua" w:hAnsi="Book Antiqua" w:cs="Arial"/>
          <w:b/>
        </w:rPr>
      </w:pPr>
      <w:r w:rsidRPr="0013229C">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1230F1" w:rsidRPr="0013229C" w:rsidRDefault="001230F1" w:rsidP="00503887">
      <w:pPr>
        <w:jc w:val="center"/>
        <w:outlineLvl w:val="0"/>
        <w:rPr>
          <w:rFonts w:ascii="Book Antiqua" w:hAnsi="Book Antiqua" w:cs="Arial"/>
          <w:b/>
        </w:rPr>
      </w:pPr>
    </w:p>
    <w:p w:rsidR="00D219F1" w:rsidRPr="0013229C" w:rsidRDefault="00D219F1" w:rsidP="00503887">
      <w:pPr>
        <w:jc w:val="center"/>
        <w:outlineLvl w:val="0"/>
        <w:rPr>
          <w:rFonts w:ascii="Book Antiqua" w:hAnsi="Book Antiqua" w:cs="Arial"/>
          <w:b/>
        </w:rPr>
      </w:pPr>
      <w:r w:rsidRPr="0013229C">
        <w:rPr>
          <w:rFonts w:ascii="Book Antiqua" w:hAnsi="Book Antiqua" w:cs="Arial"/>
          <w:b/>
        </w:rPr>
        <w:t>Between</w:t>
      </w:r>
    </w:p>
    <w:p w:rsidR="00D219F1" w:rsidRPr="0013229C" w:rsidRDefault="00D219F1" w:rsidP="00503887">
      <w:pPr>
        <w:jc w:val="center"/>
        <w:rPr>
          <w:rFonts w:ascii="Book Antiqua" w:hAnsi="Book Antiqua" w:cs="Arial"/>
          <w:b/>
        </w:rPr>
      </w:pPr>
    </w:p>
    <w:p w:rsidR="00F50B86" w:rsidRDefault="008C3554" w:rsidP="00503887">
      <w:pPr>
        <w:jc w:val="center"/>
        <w:rPr>
          <w:rFonts w:ascii="Book Antiqua" w:hAnsi="Book Antiqua" w:cs="Arial"/>
          <w:b/>
        </w:rPr>
      </w:pPr>
      <w:r>
        <w:rPr>
          <w:rFonts w:ascii="Book Antiqua" w:hAnsi="Book Antiqua" w:cs="Arial"/>
          <w:b/>
        </w:rPr>
        <w:t>MK</w:t>
      </w:r>
    </w:p>
    <w:p w:rsidR="008C3554" w:rsidRPr="0013229C" w:rsidRDefault="008C3554" w:rsidP="00503887">
      <w:pPr>
        <w:jc w:val="center"/>
        <w:rPr>
          <w:rFonts w:ascii="Book Antiqua" w:hAnsi="Book Antiqua" w:cs="Arial"/>
          <w:b/>
        </w:rPr>
      </w:pPr>
      <w:r>
        <w:rPr>
          <w:rFonts w:ascii="Book Antiqua" w:hAnsi="Book Antiqua" w:cs="Arial"/>
          <w:b/>
        </w:rPr>
        <w:t>(anonymity direction made)</w:t>
      </w:r>
    </w:p>
    <w:p w:rsidR="00D219F1" w:rsidRPr="0013229C" w:rsidRDefault="00AA2888" w:rsidP="00503887">
      <w:pPr>
        <w:jc w:val="right"/>
        <w:outlineLvl w:val="0"/>
        <w:rPr>
          <w:rFonts w:ascii="Book Antiqua" w:hAnsi="Book Antiqua" w:cs="Arial"/>
          <w:u w:val="single"/>
        </w:rPr>
      </w:pPr>
      <w:r w:rsidRPr="0013229C">
        <w:rPr>
          <w:rFonts w:ascii="Book Antiqua" w:hAnsi="Book Antiqua" w:cs="Arial"/>
          <w:u w:val="single"/>
        </w:rPr>
        <w:t>Appellant</w:t>
      </w:r>
    </w:p>
    <w:p w:rsidR="00D219F1" w:rsidRPr="0013229C" w:rsidRDefault="00764A18" w:rsidP="00503887">
      <w:pPr>
        <w:jc w:val="center"/>
        <w:rPr>
          <w:rFonts w:ascii="Book Antiqua" w:hAnsi="Book Antiqua" w:cs="Arial"/>
          <w:b/>
        </w:rPr>
      </w:pPr>
      <w:r w:rsidRPr="0013229C">
        <w:rPr>
          <w:rFonts w:ascii="Book Antiqua" w:hAnsi="Book Antiqua" w:cs="Arial"/>
          <w:b/>
        </w:rPr>
        <w:t>A</w:t>
      </w:r>
      <w:r w:rsidR="00D219F1" w:rsidRPr="0013229C">
        <w:rPr>
          <w:rFonts w:ascii="Book Antiqua" w:hAnsi="Book Antiqua" w:cs="Arial"/>
          <w:b/>
        </w:rPr>
        <w:t>nd</w:t>
      </w:r>
    </w:p>
    <w:p w:rsidR="00764A18" w:rsidRPr="0013229C" w:rsidRDefault="00764A18" w:rsidP="00503887">
      <w:pPr>
        <w:jc w:val="center"/>
        <w:rPr>
          <w:rFonts w:ascii="Book Antiqua" w:hAnsi="Book Antiqua" w:cs="Arial"/>
          <w:b/>
        </w:rPr>
      </w:pPr>
    </w:p>
    <w:p w:rsidR="00D95350" w:rsidRPr="0013229C" w:rsidRDefault="00D95350" w:rsidP="00D95350">
      <w:pPr>
        <w:jc w:val="center"/>
        <w:rPr>
          <w:rFonts w:ascii="Book Antiqua" w:hAnsi="Book Antiqua" w:cs="Arial"/>
          <w:b/>
        </w:rPr>
      </w:pPr>
      <w:r w:rsidRPr="0013229C">
        <w:rPr>
          <w:rFonts w:ascii="Book Antiqua" w:hAnsi="Book Antiqua" w:cs="Arial"/>
          <w:b/>
        </w:rPr>
        <w:t>Secretary of State for the Home Department</w:t>
      </w:r>
    </w:p>
    <w:p w:rsidR="00D219F1" w:rsidRPr="0013229C" w:rsidRDefault="00D219F1" w:rsidP="006B153F">
      <w:pPr>
        <w:jc w:val="right"/>
        <w:outlineLvl w:val="0"/>
        <w:rPr>
          <w:rFonts w:ascii="Book Antiqua" w:hAnsi="Book Antiqua" w:cs="Arial"/>
          <w:u w:val="single"/>
        </w:rPr>
      </w:pPr>
      <w:r w:rsidRPr="0013229C">
        <w:rPr>
          <w:rFonts w:ascii="Book Antiqua" w:hAnsi="Book Antiqua" w:cs="Arial"/>
          <w:u w:val="single"/>
        </w:rPr>
        <w:t>Respondent</w:t>
      </w:r>
    </w:p>
    <w:p w:rsidR="006F4E5F" w:rsidRDefault="006F4E5F" w:rsidP="00473C4B">
      <w:pPr>
        <w:rPr>
          <w:rFonts w:ascii="Book Antiqua" w:hAnsi="Book Antiqua" w:cs="Arial"/>
          <w:b/>
        </w:rPr>
      </w:pPr>
    </w:p>
    <w:p w:rsidR="001230F1" w:rsidRPr="0013229C" w:rsidRDefault="001230F1" w:rsidP="00473C4B">
      <w:pPr>
        <w:rPr>
          <w:rFonts w:ascii="Book Antiqua" w:hAnsi="Book Antiqua" w:cs="Arial"/>
          <w:b/>
        </w:rPr>
      </w:pPr>
    </w:p>
    <w:p w:rsidR="00702678" w:rsidRPr="0013229C" w:rsidRDefault="00043C8B" w:rsidP="00473C4B">
      <w:pPr>
        <w:rPr>
          <w:rFonts w:ascii="Book Antiqua" w:hAnsi="Book Antiqua" w:cs="Arial"/>
          <w:b/>
        </w:rPr>
      </w:pPr>
      <w:r w:rsidRPr="0013229C">
        <w:rPr>
          <w:rFonts w:ascii="Book Antiqua" w:hAnsi="Book Antiqua" w:cs="Arial"/>
          <w:b/>
        </w:rPr>
        <w:t>For the Appellant</w:t>
      </w:r>
      <w:r w:rsidR="0013229C" w:rsidRPr="0013229C">
        <w:rPr>
          <w:rFonts w:ascii="Book Antiqua" w:hAnsi="Book Antiqua" w:cs="Arial"/>
          <w:b/>
        </w:rPr>
        <w:t>s</w:t>
      </w:r>
      <w:r w:rsidRPr="0013229C">
        <w:rPr>
          <w:rFonts w:ascii="Book Antiqua" w:hAnsi="Book Antiqua" w:cs="Arial"/>
          <w:b/>
        </w:rPr>
        <w:t>:</w:t>
      </w:r>
      <w:r w:rsidRPr="0013229C">
        <w:rPr>
          <w:rFonts w:ascii="Book Antiqua" w:hAnsi="Book Antiqua" w:cs="Arial"/>
          <w:b/>
        </w:rPr>
        <w:tab/>
      </w:r>
      <w:r w:rsidRPr="0013229C">
        <w:rPr>
          <w:rFonts w:ascii="Book Antiqua" w:hAnsi="Book Antiqua" w:cs="Arial"/>
          <w:b/>
        </w:rPr>
        <w:tab/>
      </w:r>
      <w:r w:rsidR="00D95350" w:rsidRPr="0013229C">
        <w:rPr>
          <w:rFonts w:ascii="Book Antiqua" w:hAnsi="Book Antiqua" w:cs="Arial"/>
          <w:b/>
        </w:rPr>
        <w:t>M</w:t>
      </w:r>
      <w:r w:rsidR="00E0733F" w:rsidRPr="0013229C">
        <w:rPr>
          <w:rFonts w:ascii="Book Antiqua" w:hAnsi="Book Antiqua" w:cs="Arial"/>
          <w:b/>
        </w:rPr>
        <w:t>r</w:t>
      </w:r>
      <w:r w:rsidR="008C3554">
        <w:rPr>
          <w:rFonts w:ascii="Book Antiqua" w:hAnsi="Book Antiqua" w:cs="Arial"/>
          <w:b/>
        </w:rPr>
        <w:t xml:space="preserve"> Holt, Counsel instructed by </w:t>
      </w:r>
      <w:proofErr w:type="spellStart"/>
      <w:r w:rsidR="008C3554">
        <w:rPr>
          <w:rFonts w:ascii="Book Antiqua" w:hAnsi="Book Antiqua" w:cs="Arial"/>
          <w:b/>
        </w:rPr>
        <w:t>Sabz</w:t>
      </w:r>
      <w:proofErr w:type="spellEnd"/>
      <w:r w:rsidR="008C3554">
        <w:rPr>
          <w:rFonts w:ascii="Book Antiqua" w:hAnsi="Book Antiqua" w:cs="Arial"/>
          <w:b/>
        </w:rPr>
        <w:t xml:space="preserve"> Solicitors</w:t>
      </w:r>
    </w:p>
    <w:p w:rsidR="00D95350" w:rsidRPr="0013229C" w:rsidRDefault="003D038D" w:rsidP="00D95350">
      <w:pPr>
        <w:rPr>
          <w:rFonts w:ascii="Book Antiqua" w:hAnsi="Book Antiqua" w:cs="Arial"/>
          <w:b/>
        </w:rPr>
      </w:pPr>
      <w:r w:rsidRPr="0013229C">
        <w:rPr>
          <w:rFonts w:ascii="Book Antiqua" w:hAnsi="Book Antiqua" w:cs="Arial"/>
          <w:b/>
        </w:rPr>
        <w:t>For the Respondent:</w:t>
      </w:r>
      <w:r w:rsidR="00C95EF9" w:rsidRPr="0013229C">
        <w:rPr>
          <w:rFonts w:ascii="Book Antiqua" w:hAnsi="Book Antiqua" w:cs="Arial"/>
          <w:b/>
        </w:rPr>
        <w:tab/>
      </w:r>
      <w:r w:rsidR="00F65E63" w:rsidRPr="0013229C">
        <w:rPr>
          <w:rFonts w:ascii="Book Antiqua" w:hAnsi="Book Antiqua" w:cs="Arial"/>
          <w:b/>
        </w:rPr>
        <w:t xml:space="preserve">Mr </w:t>
      </w:r>
      <w:r w:rsidR="008C3554">
        <w:rPr>
          <w:rFonts w:ascii="Book Antiqua" w:hAnsi="Book Antiqua" w:cs="Arial"/>
          <w:b/>
        </w:rPr>
        <w:t>Bate</w:t>
      </w:r>
      <w:r w:rsidR="0013229C" w:rsidRPr="0013229C">
        <w:rPr>
          <w:rFonts w:ascii="Book Antiqua" w:hAnsi="Book Antiqua" w:cs="Arial"/>
          <w:b/>
        </w:rPr>
        <w:t>s</w:t>
      </w:r>
      <w:r w:rsidR="00D95350" w:rsidRPr="0013229C">
        <w:rPr>
          <w:rFonts w:ascii="Book Antiqua" w:hAnsi="Book Antiqua" w:cs="Arial"/>
          <w:b/>
        </w:rPr>
        <w:t>, Senior Home Office Presenting Officer</w:t>
      </w:r>
    </w:p>
    <w:p w:rsidR="00C95EF9" w:rsidRPr="0013229C" w:rsidRDefault="00C95EF9" w:rsidP="00C95EF9">
      <w:pPr>
        <w:rPr>
          <w:rFonts w:ascii="Book Antiqua" w:hAnsi="Book Antiqua" w:cs="Arial"/>
          <w:b/>
        </w:rPr>
      </w:pPr>
    </w:p>
    <w:p w:rsidR="00E80176" w:rsidRPr="0013229C" w:rsidRDefault="00E80176" w:rsidP="00702678">
      <w:pPr>
        <w:rPr>
          <w:rFonts w:ascii="Book Antiqua" w:hAnsi="Book Antiqua" w:cs="Arial"/>
          <w:b/>
        </w:rPr>
      </w:pPr>
    </w:p>
    <w:p w:rsidR="00A10684" w:rsidRPr="0013229C" w:rsidRDefault="00AA2888" w:rsidP="00ED7C3A">
      <w:pPr>
        <w:tabs>
          <w:tab w:val="left" w:pos="2520"/>
        </w:tabs>
        <w:jc w:val="center"/>
        <w:outlineLvl w:val="0"/>
        <w:rPr>
          <w:rFonts w:ascii="Book Antiqua" w:hAnsi="Book Antiqua" w:cs="Arial"/>
          <w:b/>
          <w:u w:val="single"/>
        </w:rPr>
      </w:pPr>
      <w:r w:rsidRPr="0013229C">
        <w:rPr>
          <w:rFonts w:ascii="Book Antiqua" w:hAnsi="Book Antiqua" w:cs="Arial"/>
          <w:b/>
          <w:u w:val="single"/>
        </w:rPr>
        <w:t>DETERMINATION AND REASONS</w:t>
      </w:r>
    </w:p>
    <w:p w:rsidR="006F4E5F" w:rsidRPr="0013229C" w:rsidRDefault="006F4E5F" w:rsidP="00503887">
      <w:pPr>
        <w:tabs>
          <w:tab w:val="left" w:pos="2520"/>
        </w:tabs>
        <w:ind w:right="567"/>
        <w:jc w:val="both"/>
        <w:rPr>
          <w:rFonts w:ascii="Book Antiqua" w:hAnsi="Book Antiqua" w:cs="Arial"/>
        </w:rPr>
      </w:pPr>
    </w:p>
    <w:p w:rsidR="00131A3D" w:rsidRPr="008C3554" w:rsidRDefault="00131A3D" w:rsidP="00677BB6">
      <w:pPr>
        <w:numPr>
          <w:ilvl w:val="0"/>
          <w:numId w:val="1"/>
        </w:numPr>
        <w:tabs>
          <w:tab w:val="left" w:pos="567"/>
        </w:tabs>
        <w:ind w:left="567" w:right="567"/>
        <w:jc w:val="both"/>
        <w:rPr>
          <w:rFonts w:ascii="Book Antiqua" w:hAnsi="Book Antiqua" w:cs="Arial"/>
        </w:rPr>
      </w:pPr>
      <w:r w:rsidRPr="008C3554">
        <w:rPr>
          <w:rFonts w:ascii="Book Antiqua" w:hAnsi="Book Antiqua" w:cs="Arial"/>
        </w:rPr>
        <w:t>The Appellant</w:t>
      </w:r>
      <w:r w:rsidR="008C3554" w:rsidRPr="008C3554">
        <w:rPr>
          <w:rFonts w:ascii="Book Antiqua" w:hAnsi="Book Antiqua" w:cs="Arial"/>
        </w:rPr>
        <w:t xml:space="preserve"> is a</w:t>
      </w:r>
      <w:r w:rsidR="008C3554">
        <w:rPr>
          <w:rFonts w:ascii="Book Antiqua" w:hAnsi="Book Antiqua" w:cs="Arial"/>
        </w:rPr>
        <w:t xml:space="preserve"> male born in </w:t>
      </w:r>
      <w:r w:rsidR="008C3554" w:rsidRPr="008C3554">
        <w:rPr>
          <w:rFonts w:ascii="Book Antiqua" w:hAnsi="Book Antiqua" w:cs="Arial"/>
        </w:rPr>
        <w:t>1983</w:t>
      </w:r>
      <w:r w:rsidR="008C3554">
        <w:rPr>
          <w:rFonts w:ascii="Book Antiqua" w:hAnsi="Book Antiqua" w:cs="Arial"/>
        </w:rPr>
        <w:t>, who is believed by the Respondent to be a national of Pakistan</w:t>
      </w:r>
      <w:r w:rsidR="008C3554" w:rsidRPr="008C3554">
        <w:rPr>
          <w:rFonts w:ascii="Book Antiqua" w:hAnsi="Book Antiqua" w:cs="Arial"/>
        </w:rPr>
        <w:t xml:space="preserve">. He </w:t>
      </w:r>
      <w:r w:rsidRPr="008C3554">
        <w:rPr>
          <w:rFonts w:ascii="Book Antiqua" w:hAnsi="Book Antiqua" w:cs="Arial"/>
        </w:rPr>
        <w:t>appeal</w:t>
      </w:r>
      <w:r w:rsidR="008C3554" w:rsidRPr="008C3554">
        <w:rPr>
          <w:rFonts w:ascii="Book Antiqua" w:hAnsi="Book Antiqua" w:cs="Arial"/>
        </w:rPr>
        <w:t>s</w:t>
      </w:r>
      <w:r w:rsidRPr="008C3554">
        <w:rPr>
          <w:rFonts w:ascii="Book Antiqua" w:hAnsi="Book Antiqua" w:cs="Arial"/>
        </w:rPr>
        <w:t xml:space="preserve"> with permission the decision of the First-tier Tribunal (Judge </w:t>
      </w:r>
      <w:r w:rsidR="008C3554" w:rsidRPr="008C3554">
        <w:rPr>
          <w:rFonts w:ascii="Book Antiqua" w:hAnsi="Book Antiqua" w:cs="Arial"/>
        </w:rPr>
        <w:t>Lever</w:t>
      </w:r>
      <w:r w:rsidRPr="008C3554">
        <w:rPr>
          <w:rFonts w:ascii="Book Antiqua" w:hAnsi="Book Antiqua" w:cs="Arial"/>
        </w:rPr>
        <w:t xml:space="preserve">) to dismiss </w:t>
      </w:r>
      <w:r w:rsidR="008C3554" w:rsidRPr="008C3554">
        <w:rPr>
          <w:rFonts w:ascii="Book Antiqua" w:hAnsi="Book Antiqua" w:cs="Arial"/>
        </w:rPr>
        <w:t>his</w:t>
      </w:r>
      <w:r w:rsidR="008C3554">
        <w:rPr>
          <w:rFonts w:ascii="Book Antiqua" w:hAnsi="Book Antiqua" w:cs="Arial"/>
        </w:rPr>
        <w:t xml:space="preserve"> human rights appeal</w:t>
      </w:r>
      <w:r w:rsidRPr="008C3554">
        <w:rPr>
          <w:rFonts w:ascii="Book Antiqua" w:hAnsi="Book Antiqua" w:cs="Arial"/>
        </w:rPr>
        <w:t xml:space="preserve">. </w:t>
      </w:r>
    </w:p>
    <w:p w:rsidR="00262D84" w:rsidRPr="0013229C" w:rsidRDefault="00262D84" w:rsidP="00131A3D">
      <w:pPr>
        <w:tabs>
          <w:tab w:val="left" w:pos="567"/>
        </w:tabs>
        <w:ind w:left="567" w:right="567"/>
        <w:jc w:val="both"/>
        <w:rPr>
          <w:rFonts w:ascii="Book Antiqua" w:hAnsi="Book Antiqua" w:cs="Arial"/>
          <w:b/>
        </w:rPr>
      </w:pPr>
    </w:p>
    <w:p w:rsidR="00131A3D" w:rsidRPr="0013229C" w:rsidRDefault="00131A3D" w:rsidP="00131A3D">
      <w:pPr>
        <w:tabs>
          <w:tab w:val="left" w:pos="567"/>
        </w:tabs>
        <w:ind w:left="567" w:right="567"/>
        <w:jc w:val="both"/>
        <w:rPr>
          <w:rFonts w:ascii="Book Antiqua" w:hAnsi="Book Antiqua" w:cs="Arial"/>
          <w:b/>
        </w:rPr>
      </w:pPr>
      <w:r w:rsidRPr="0013229C">
        <w:rPr>
          <w:rFonts w:ascii="Book Antiqua" w:hAnsi="Book Antiqua" w:cs="Arial"/>
          <w:b/>
        </w:rPr>
        <w:t>Anonymity Order</w:t>
      </w:r>
    </w:p>
    <w:p w:rsidR="00131A3D" w:rsidRPr="0013229C" w:rsidRDefault="00131A3D" w:rsidP="00131A3D">
      <w:pPr>
        <w:tabs>
          <w:tab w:val="left" w:pos="567"/>
        </w:tabs>
        <w:ind w:left="567" w:right="567"/>
        <w:jc w:val="both"/>
        <w:rPr>
          <w:rFonts w:ascii="Book Antiqua" w:hAnsi="Book Antiqua" w:cs="Arial"/>
        </w:rPr>
      </w:pPr>
    </w:p>
    <w:p w:rsidR="008D5F91" w:rsidRPr="0013229C" w:rsidRDefault="00131A3D" w:rsidP="008D5F91">
      <w:pPr>
        <w:numPr>
          <w:ilvl w:val="0"/>
          <w:numId w:val="1"/>
        </w:numPr>
        <w:tabs>
          <w:tab w:val="left" w:pos="567"/>
        </w:tabs>
        <w:ind w:left="567" w:right="567"/>
        <w:jc w:val="both"/>
        <w:rPr>
          <w:rFonts w:ascii="Book Antiqua" w:hAnsi="Book Antiqua" w:cs="Arial"/>
        </w:rPr>
      </w:pPr>
      <w:r w:rsidRPr="0013229C">
        <w:rPr>
          <w:rFonts w:ascii="Book Antiqua" w:hAnsi="Book Antiqua" w:cs="Arial"/>
        </w:rPr>
        <w:t>T</w:t>
      </w:r>
      <w:r w:rsidR="008D5F91" w:rsidRPr="0013229C">
        <w:rPr>
          <w:rFonts w:ascii="Book Antiqua" w:hAnsi="Book Antiqua" w:cs="Arial"/>
        </w:rPr>
        <w:t>here is no reason why the</w:t>
      </w:r>
      <w:r w:rsidR="00E80176" w:rsidRPr="0013229C">
        <w:rPr>
          <w:rFonts w:ascii="Book Antiqua" w:hAnsi="Book Antiqua" w:cs="Arial"/>
        </w:rPr>
        <w:t xml:space="preserve"> </w:t>
      </w:r>
      <w:r w:rsidR="008D5F91" w:rsidRPr="0013229C">
        <w:rPr>
          <w:rFonts w:ascii="Book Antiqua" w:hAnsi="Book Antiqua" w:cs="Arial"/>
        </w:rPr>
        <w:t xml:space="preserve">identity </w:t>
      </w:r>
      <w:r w:rsidR="008C3554">
        <w:rPr>
          <w:rFonts w:ascii="Book Antiqua" w:hAnsi="Book Antiqua" w:cs="Arial"/>
        </w:rPr>
        <w:t>of the Appellant</w:t>
      </w:r>
      <w:r w:rsidRPr="0013229C">
        <w:rPr>
          <w:rFonts w:ascii="Book Antiqua" w:hAnsi="Book Antiqua" w:cs="Arial"/>
        </w:rPr>
        <w:t xml:space="preserve"> should be protected. The</w:t>
      </w:r>
      <w:r w:rsidR="008D5F91" w:rsidRPr="0013229C">
        <w:rPr>
          <w:rFonts w:ascii="Book Antiqua" w:hAnsi="Book Antiqua" w:cs="Arial"/>
        </w:rPr>
        <w:t xml:space="preserve"> case does however turn on the presence in the United Kingdom </w:t>
      </w:r>
      <w:r w:rsidRPr="0013229C">
        <w:rPr>
          <w:rFonts w:ascii="Book Antiqua" w:hAnsi="Book Antiqua" w:cs="Arial"/>
        </w:rPr>
        <w:t xml:space="preserve">of </w:t>
      </w:r>
      <w:r w:rsidR="008C3554">
        <w:rPr>
          <w:rFonts w:ascii="Book Antiqua" w:hAnsi="Book Antiqua" w:cs="Arial"/>
        </w:rPr>
        <w:t>t</w:t>
      </w:r>
      <w:r w:rsidRPr="0013229C">
        <w:rPr>
          <w:rFonts w:ascii="Book Antiqua" w:hAnsi="Book Antiqua" w:cs="Arial"/>
        </w:rPr>
        <w:t>he</w:t>
      </w:r>
      <w:r w:rsidR="00E80176" w:rsidRPr="0013229C">
        <w:rPr>
          <w:rFonts w:ascii="Book Antiqua" w:hAnsi="Book Antiqua" w:cs="Arial"/>
        </w:rPr>
        <w:t xml:space="preserve"> </w:t>
      </w:r>
      <w:r w:rsidR="008C3554">
        <w:rPr>
          <w:rFonts w:ascii="Book Antiqua" w:hAnsi="Book Antiqua" w:cs="Arial"/>
        </w:rPr>
        <w:lastRenderedPageBreak/>
        <w:t>Appellant’s British stepson</w:t>
      </w:r>
      <w:r w:rsidR="008D5F91" w:rsidRPr="0013229C">
        <w:rPr>
          <w:rFonts w:ascii="Book Antiqua" w:hAnsi="Book Antiqua" w:cs="Arial"/>
        </w:rPr>
        <w:t>. I have had regard to Rule 14 of the Tribunal Procedure (Upper Tribunal) Rules 2008 and the Presidential Guidance Note No 1 of 2013: Anonymity Orders. I am concerned that</w:t>
      </w:r>
      <w:r w:rsidR="00E80176" w:rsidRPr="0013229C">
        <w:rPr>
          <w:rFonts w:ascii="Book Antiqua" w:hAnsi="Book Antiqua" w:cs="Arial"/>
        </w:rPr>
        <w:t xml:space="preserve"> identif</w:t>
      </w:r>
      <w:r w:rsidR="008C3554">
        <w:rPr>
          <w:rFonts w:ascii="Book Antiqua" w:hAnsi="Book Antiqua" w:cs="Arial"/>
        </w:rPr>
        <w:t>ication of the Appellant</w:t>
      </w:r>
      <w:r w:rsidR="008D5F91" w:rsidRPr="0013229C">
        <w:rPr>
          <w:rFonts w:ascii="Book Antiqua" w:hAnsi="Book Antiqua" w:cs="Arial"/>
        </w:rPr>
        <w:t xml:space="preserve"> co</w:t>
      </w:r>
      <w:r w:rsidR="00E80176" w:rsidRPr="0013229C">
        <w:rPr>
          <w:rFonts w:ascii="Book Antiqua" w:hAnsi="Book Antiqua" w:cs="Arial"/>
        </w:rPr>
        <w:t>ul</w:t>
      </w:r>
      <w:r w:rsidR="00C44E9E" w:rsidRPr="0013229C">
        <w:rPr>
          <w:rFonts w:ascii="Book Antiqua" w:hAnsi="Book Antiqua" w:cs="Arial"/>
        </w:rPr>
        <w:t xml:space="preserve">d lead to identification of </w:t>
      </w:r>
      <w:r w:rsidR="008C3554">
        <w:rPr>
          <w:rFonts w:ascii="Book Antiqua" w:hAnsi="Book Antiqua" w:cs="Arial"/>
        </w:rPr>
        <w:t xml:space="preserve">child </w:t>
      </w:r>
      <w:r w:rsidR="00C44E9E" w:rsidRPr="0013229C">
        <w:rPr>
          <w:rFonts w:ascii="Book Antiqua" w:hAnsi="Book Antiqua" w:cs="Arial"/>
        </w:rPr>
        <w:t xml:space="preserve">involved </w:t>
      </w:r>
      <w:r w:rsidR="008D5F91" w:rsidRPr="0013229C">
        <w:rPr>
          <w:rFonts w:ascii="Book Antiqua" w:hAnsi="Book Antiqua" w:cs="Arial"/>
        </w:rPr>
        <w:t xml:space="preserve">and I therefore consider it appropriate to make an order in the following terms: </w:t>
      </w:r>
    </w:p>
    <w:p w:rsidR="008D5F91" w:rsidRPr="0013229C" w:rsidRDefault="008D5F91" w:rsidP="008D5F91">
      <w:pPr>
        <w:ind w:left="1080" w:right="1134"/>
        <w:jc w:val="both"/>
        <w:rPr>
          <w:rFonts w:ascii="Book Antiqua" w:hAnsi="Book Antiqua" w:cs="Arial"/>
        </w:rPr>
      </w:pPr>
    </w:p>
    <w:p w:rsidR="008D5F91" w:rsidRPr="0013229C" w:rsidRDefault="008D5F91" w:rsidP="008D5F91">
      <w:pPr>
        <w:ind w:left="1080" w:right="1134"/>
        <w:jc w:val="both"/>
        <w:rPr>
          <w:rFonts w:ascii="Book Antiqua" w:hAnsi="Book Antiqua"/>
        </w:rPr>
      </w:pPr>
      <w:r w:rsidRPr="0013229C">
        <w:rPr>
          <w:rFonts w:ascii="Book Antiqua" w:hAnsi="Book Antiqua"/>
        </w:rPr>
        <w:t xml:space="preserve"> “Unless and until a tribunal or court </w:t>
      </w:r>
      <w:r w:rsidR="00E80176" w:rsidRPr="0013229C">
        <w:rPr>
          <w:rFonts w:ascii="Book Antiqua" w:hAnsi="Book Antiqua"/>
        </w:rPr>
        <w:t>d</w:t>
      </w:r>
      <w:r w:rsidR="00387AEF" w:rsidRPr="0013229C">
        <w:rPr>
          <w:rFonts w:ascii="Book Antiqua" w:hAnsi="Book Antiqua"/>
        </w:rPr>
        <w:t>irects otherwise, the Appellant</w:t>
      </w:r>
      <w:r w:rsidR="008C3554">
        <w:rPr>
          <w:rFonts w:ascii="Book Antiqua" w:hAnsi="Book Antiqua"/>
        </w:rPr>
        <w:t xml:space="preserve"> is</w:t>
      </w:r>
      <w:r w:rsidRPr="0013229C">
        <w:rPr>
          <w:rFonts w:ascii="Book Antiqua" w:hAnsi="Book Antiqua"/>
        </w:rPr>
        <w:t xml:space="preserve"> granted anonymity.  No report of these proceedings shall directly or indirectly ide</w:t>
      </w:r>
      <w:r w:rsidR="008C3554">
        <w:rPr>
          <w:rFonts w:ascii="Book Antiqua" w:hAnsi="Book Antiqua"/>
        </w:rPr>
        <w:t>ntify him or any member of his</w:t>
      </w:r>
      <w:r w:rsidRPr="0013229C">
        <w:rPr>
          <w:rFonts w:ascii="Book Antiqua" w:hAnsi="Book Antiqua"/>
        </w:rPr>
        <w:t xml:space="preserve"> family.  This direction applies to, amongst others, both the Appellant and the Respondent.  Failure to comply with this direction could lead to contempt of court proceedings”</w:t>
      </w:r>
    </w:p>
    <w:p w:rsidR="008D5F91" w:rsidRPr="0013229C" w:rsidRDefault="008D5F91" w:rsidP="00F65E63">
      <w:pPr>
        <w:tabs>
          <w:tab w:val="left" w:pos="567"/>
        </w:tabs>
        <w:ind w:left="567" w:right="567"/>
        <w:jc w:val="both"/>
        <w:rPr>
          <w:rFonts w:ascii="Book Antiqua" w:hAnsi="Book Antiqua" w:cs="Arial"/>
        </w:rPr>
      </w:pPr>
    </w:p>
    <w:p w:rsidR="00E80176" w:rsidRDefault="008C3554" w:rsidP="00F65E63">
      <w:pPr>
        <w:tabs>
          <w:tab w:val="left" w:pos="567"/>
        </w:tabs>
        <w:ind w:left="567" w:right="567"/>
        <w:jc w:val="both"/>
        <w:rPr>
          <w:rFonts w:ascii="Book Antiqua" w:hAnsi="Book Antiqua" w:cs="Arial"/>
          <w:b/>
        </w:rPr>
      </w:pPr>
      <w:r>
        <w:rPr>
          <w:rFonts w:ascii="Book Antiqua" w:hAnsi="Book Antiqua" w:cs="Arial"/>
          <w:b/>
        </w:rPr>
        <w:t xml:space="preserve">Background </w:t>
      </w:r>
      <w:r w:rsidR="00CC5BB7">
        <w:rPr>
          <w:rFonts w:ascii="Book Antiqua" w:hAnsi="Book Antiqua" w:cs="Arial"/>
          <w:b/>
        </w:rPr>
        <w:t>and Decision of the First-tier Tribunal</w:t>
      </w:r>
    </w:p>
    <w:p w:rsidR="008D5F91" w:rsidRPr="0013229C" w:rsidRDefault="008D5F91" w:rsidP="00F65E63">
      <w:pPr>
        <w:tabs>
          <w:tab w:val="left" w:pos="567"/>
        </w:tabs>
        <w:ind w:left="567" w:right="567"/>
        <w:jc w:val="both"/>
        <w:rPr>
          <w:rFonts w:ascii="Book Antiqua" w:hAnsi="Book Antiqua" w:cs="Arial"/>
        </w:rPr>
      </w:pPr>
    </w:p>
    <w:p w:rsidR="00C3007B" w:rsidRDefault="008C3554" w:rsidP="00C3007B">
      <w:pPr>
        <w:numPr>
          <w:ilvl w:val="0"/>
          <w:numId w:val="1"/>
        </w:numPr>
        <w:tabs>
          <w:tab w:val="left" w:pos="567"/>
        </w:tabs>
        <w:ind w:left="567" w:right="567"/>
        <w:jc w:val="both"/>
        <w:rPr>
          <w:rFonts w:ascii="Book Antiqua" w:hAnsi="Book Antiqua" w:cs="Arial"/>
        </w:rPr>
      </w:pPr>
      <w:r>
        <w:rPr>
          <w:rFonts w:ascii="Book Antiqua" w:hAnsi="Book Antiqua" w:cs="Arial"/>
        </w:rPr>
        <w:t>The Appellant came to the United Kingdom in November 2007 with leave to enter as a student.</w:t>
      </w:r>
      <w:r w:rsidR="00C3007B">
        <w:rPr>
          <w:rFonts w:ascii="Book Antiqua" w:hAnsi="Book Antiqua" w:cs="Arial"/>
        </w:rPr>
        <w:t xml:space="preserve"> He subsequently varied that leave in various capacities under the Points Based System but became an overstayer on the 29</w:t>
      </w:r>
      <w:r w:rsidR="00C3007B" w:rsidRPr="00C3007B">
        <w:rPr>
          <w:rFonts w:ascii="Book Antiqua" w:hAnsi="Book Antiqua" w:cs="Arial"/>
          <w:vertAlign w:val="superscript"/>
        </w:rPr>
        <w:t>th</w:t>
      </w:r>
      <w:r w:rsidR="00C3007B">
        <w:rPr>
          <w:rFonts w:ascii="Book Antiqua" w:hAnsi="Book Antiqua" w:cs="Arial"/>
        </w:rPr>
        <w:t xml:space="preserve"> September 2011. He then made a number of applications for a family permit under the Immigration (European Economic Area) Regulations 2006</w:t>
      </w:r>
      <w:r w:rsidR="000973C4">
        <w:rPr>
          <w:rFonts w:ascii="Book Antiqua" w:hAnsi="Book Antiqua" w:cs="Arial"/>
        </w:rPr>
        <w:t>.  None were successful. He then applied for leave to remain on human rights grounds, and when that was refused, claimed asylum. Finally, he made the application which became the subject of this appeal: he applied for leave to remain on Article 8 grounds on the basis of his relationship with a British woman, ‘Ms S’, and her children.  Particular reliance was placed on his paternal relationship with his stepson ‘D’, who was aged 8 at the date of application.</w:t>
      </w:r>
    </w:p>
    <w:p w:rsidR="000973C4" w:rsidRDefault="000973C4" w:rsidP="000973C4">
      <w:pPr>
        <w:tabs>
          <w:tab w:val="left" w:pos="567"/>
        </w:tabs>
        <w:ind w:left="567" w:right="567"/>
        <w:jc w:val="both"/>
        <w:rPr>
          <w:rFonts w:ascii="Book Antiqua" w:hAnsi="Book Antiqua" w:cs="Arial"/>
        </w:rPr>
      </w:pPr>
    </w:p>
    <w:p w:rsidR="00786083" w:rsidRDefault="000973C4" w:rsidP="00C3007B">
      <w:pPr>
        <w:numPr>
          <w:ilvl w:val="0"/>
          <w:numId w:val="1"/>
        </w:numPr>
        <w:tabs>
          <w:tab w:val="left" w:pos="567"/>
        </w:tabs>
        <w:ind w:left="567" w:right="567"/>
        <w:jc w:val="both"/>
        <w:rPr>
          <w:rFonts w:ascii="Book Antiqua" w:hAnsi="Book Antiqua" w:cs="Arial"/>
        </w:rPr>
      </w:pPr>
      <w:r>
        <w:rPr>
          <w:rFonts w:ascii="Book Antiqua" w:hAnsi="Book Antiqua" w:cs="Arial"/>
        </w:rPr>
        <w:t>The Respondent refused the application by way of letter dated 17</w:t>
      </w:r>
      <w:r w:rsidRPr="000973C4">
        <w:rPr>
          <w:rFonts w:ascii="Book Antiqua" w:hAnsi="Book Antiqua" w:cs="Arial"/>
          <w:vertAlign w:val="superscript"/>
        </w:rPr>
        <w:t>th</w:t>
      </w:r>
      <w:r>
        <w:rPr>
          <w:rFonts w:ascii="Book Antiqua" w:hAnsi="Book Antiqua" w:cs="Arial"/>
        </w:rPr>
        <w:t xml:space="preserve"> May 2016.   The Appellant met the ‘suitability’ requirements under Appendix FM. He could not however hope to qualify under any of the provisions therein because ‘Ms S’ did not meet the definition of ‘partner’ under GEN.1.2.   The Respondent moved on to consider the Appellant’s private life but found he could not meet any of the alternative requirements in paragraph 276</w:t>
      </w:r>
      <w:proofErr w:type="gramStart"/>
      <w:r>
        <w:rPr>
          <w:rFonts w:ascii="Book Antiqua" w:hAnsi="Book Antiqua" w:cs="Arial"/>
        </w:rPr>
        <w:t>ADE(</w:t>
      </w:r>
      <w:proofErr w:type="gramEnd"/>
      <w:r>
        <w:rPr>
          <w:rFonts w:ascii="Book Antiqua" w:hAnsi="Book Antiqua" w:cs="Arial"/>
        </w:rPr>
        <w:t xml:space="preserve">1). The relevance of the relationship with D </w:t>
      </w:r>
      <w:r w:rsidR="00695D48">
        <w:rPr>
          <w:rFonts w:ascii="Book Antiqua" w:hAnsi="Book Antiqua" w:cs="Arial"/>
        </w:rPr>
        <w:t>arose only in the context of co</w:t>
      </w:r>
      <w:r>
        <w:rPr>
          <w:rFonts w:ascii="Book Antiqua" w:hAnsi="Book Antiqua" w:cs="Arial"/>
        </w:rPr>
        <w:t xml:space="preserve">nsidering Article 8 ‘outside of the rules’. The reasoning is </w:t>
      </w:r>
      <w:r w:rsidR="00786083">
        <w:rPr>
          <w:rFonts w:ascii="Book Antiqua" w:hAnsi="Book Antiqua" w:cs="Arial"/>
        </w:rPr>
        <w:t>succinct:</w:t>
      </w:r>
    </w:p>
    <w:p w:rsidR="00786083" w:rsidRDefault="00786083" w:rsidP="00786083">
      <w:pPr>
        <w:pStyle w:val="ListParagraph"/>
        <w:rPr>
          <w:rFonts w:ascii="Book Antiqua" w:hAnsi="Book Antiqua" w:cs="Arial"/>
        </w:rPr>
      </w:pPr>
    </w:p>
    <w:p w:rsidR="000973C4" w:rsidRDefault="00786083" w:rsidP="00786083">
      <w:pPr>
        <w:tabs>
          <w:tab w:val="left" w:pos="567"/>
        </w:tabs>
        <w:ind w:left="1134" w:right="1134"/>
        <w:jc w:val="both"/>
        <w:rPr>
          <w:rFonts w:ascii="Book Antiqua" w:hAnsi="Book Antiqua" w:cs="Arial"/>
        </w:rPr>
      </w:pPr>
      <w:r>
        <w:rPr>
          <w:rFonts w:ascii="Book Antiqua" w:hAnsi="Book Antiqua" w:cs="Arial"/>
        </w:rPr>
        <w:t>“It is submitted that you do not have parental responsibility for [D] since he resides in the United Kingdom with his biological parent. It is therefore noted that if you were to have to leave the United Kingdom, they could continue to reside here. The refusal of your application does not separate any children from their biological parent and does not obligate [D] to leave the United Kingdom”.</w:t>
      </w:r>
      <w:r w:rsidR="000973C4">
        <w:rPr>
          <w:rFonts w:ascii="Book Antiqua" w:hAnsi="Book Antiqua" w:cs="Arial"/>
        </w:rPr>
        <w:t xml:space="preserve"> </w:t>
      </w:r>
    </w:p>
    <w:p w:rsidR="00C3007B" w:rsidRPr="00C3007B" w:rsidRDefault="00C3007B" w:rsidP="00C3007B">
      <w:pPr>
        <w:tabs>
          <w:tab w:val="left" w:pos="567"/>
        </w:tabs>
        <w:ind w:right="567"/>
        <w:jc w:val="both"/>
        <w:rPr>
          <w:rFonts w:ascii="Book Antiqua" w:hAnsi="Book Antiqua" w:cs="Arial"/>
        </w:rPr>
      </w:pPr>
    </w:p>
    <w:p w:rsidR="008C3554" w:rsidRDefault="00786083" w:rsidP="0073087D">
      <w:pPr>
        <w:numPr>
          <w:ilvl w:val="0"/>
          <w:numId w:val="1"/>
        </w:numPr>
        <w:tabs>
          <w:tab w:val="left" w:pos="567"/>
        </w:tabs>
        <w:ind w:left="567" w:right="567"/>
        <w:jc w:val="both"/>
        <w:rPr>
          <w:rFonts w:ascii="Book Antiqua" w:hAnsi="Book Antiqua" w:cs="Arial"/>
        </w:rPr>
      </w:pPr>
      <w:r>
        <w:rPr>
          <w:rFonts w:ascii="Book Antiqua" w:hAnsi="Book Antiqua" w:cs="Arial"/>
        </w:rPr>
        <w:t xml:space="preserve">When the matter came before Judge Lever he had the benefit of hearing oral evidence from the Appellant and Ms S.  Having done so he was satisfied that there was a ‘family life’ between the Appellant, Ms S and D and that Article 8 </w:t>
      </w:r>
      <w:r>
        <w:rPr>
          <w:rFonts w:ascii="Book Antiqua" w:hAnsi="Book Antiqua" w:cs="Arial"/>
        </w:rPr>
        <w:lastRenderedPageBreak/>
        <w:t xml:space="preserve">was engaged.  There does not appear to have been any issue that the next three </w:t>
      </w:r>
      <w:proofErr w:type="spellStart"/>
      <w:r w:rsidRPr="00735796">
        <w:rPr>
          <w:rFonts w:ascii="Book Antiqua" w:hAnsi="Book Antiqua" w:cs="Arial"/>
          <w:i/>
        </w:rPr>
        <w:t>Razgar</w:t>
      </w:r>
      <w:proofErr w:type="spellEnd"/>
      <w:r w:rsidRPr="00735796">
        <w:rPr>
          <w:rFonts w:ascii="Book Antiqua" w:hAnsi="Book Antiqua" w:cs="Arial"/>
          <w:i/>
        </w:rPr>
        <w:t xml:space="preserve"> </w:t>
      </w:r>
      <w:r>
        <w:rPr>
          <w:rFonts w:ascii="Book Antiqua" w:hAnsi="Book Antiqua" w:cs="Arial"/>
        </w:rPr>
        <w:t>questions were answered in the affirmative and so the determination proceeds directly to consideration of proportionality.</w:t>
      </w:r>
      <w:r w:rsidR="00735796">
        <w:rPr>
          <w:rFonts w:ascii="Book Antiqua" w:hAnsi="Book Antiqua" w:cs="Arial"/>
        </w:rPr>
        <w:t xml:space="preserve"> Having directed itself to consider the public interest factors in s117B the Tribunal noted that the Appellant may have some </w:t>
      </w:r>
      <w:proofErr w:type="gramStart"/>
      <w:r w:rsidR="00735796">
        <w:rPr>
          <w:rFonts w:ascii="Book Antiqua" w:hAnsi="Book Antiqua" w:cs="Arial"/>
        </w:rPr>
        <w:t>English,  is</w:t>
      </w:r>
      <w:proofErr w:type="gramEnd"/>
      <w:r w:rsidR="00735796">
        <w:rPr>
          <w:rFonts w:ascii="Book Antiqua" w:hAnsi="Book Antiqua" w:cs="Arial"/>
        </w:rPr>
        <w:t xml:space="preserve"> not financially independent and embarked on his relationship with Ms S when he was living here unlawfully. His entire stay in the UK has been precarious and so little weight could be attached to his private life. The determination then addresses s117</w:t>
      </w:r>
      <w:proofErr w:type="gramStart"/>
      <w:r w:rsidR="00735796">
        <w:rPr>
          <w:rFonts w:ascii="Book Antiqua" w:hAnsi="Book Antiqua" w:cs="Arial"/>
        </w:rPr>
        <w:t>B(</w:t>
      </w:r>
      <w:proofErr w:type="gramEnd"/>
      <w:r w:rsidR="00735796">
        <w:rPr>
          <w:rFonts w:ascii="Book Antiqua" w:hAnsi="Book Antiqua" w:cs="Arial"/>
        </w:rPr>
        <w:t>6) in the following terms:</w:t>
      </w:r>
    </w:p>
    <w:p w:rsidR="00735796" w:rsidRDefault="00735796" w:rsidP="00735796">
      <w:pPr>
        <w:tabs>
          <w:tab w:val="left" w:pos="567"/>
        </w:tabs>
        <w:ind w:left="567" w:right="567"/>
        <w:jc w:val="both"/>
        <w:rPr>
          <w:rFonts w:ascii="Book Antiqua" w:hAnsi="Book Antiqua" w:cs="Arial"/>
        </w:rPr>
      </w:pPr>
    </w:p>
    <w:p w:rsidR="00735796" w:rsidRDefault="00735796" w:rsidP="00424B39">
      <w:pPr>
        <w:tabs>
          <w:tab w:val="left" w:pos="567"/>
        </w:tabs>
        <w:ind w:left="1134" w:right="1134"/>
        <w:jc w:val="both"/>
        <w:rPr>
          <w:rFonts w:ascii="Book Antiqua" w:hAnsi="Book Antiqua" w:cs="Arial"/>
        </w:rPr>
      </w:pPr>
      <w:r>
        <w:rPr>
          <w:rFonts w:ascii="Book Antiqua" w:hAnsi="Book Antiqua" w:cs="Arial"/>
        </w:rPr>
        <w:t>“</w:t>
      </w:r>
      <w:r w:rsidR="00424B39">
        <w:rPr>
          <w:rFonts w:ascii="Book Antiqua" w:hAnsi="Book Antiqua" w:cs="Arial"/>
        </w:rPr>
        <w:t xml:space="preserve">23. </w:t>
      </w:r>
      <w:r>
        <w:rPr>
          <w:rFonts w:ascii="Book Antiqua" w:hAnsi="Book Antiqua" w:cs="Arial"/>
        </w:rPr>
        <w:t>Finally, I look at section 117</w:t>
      </w:r>
      <w:proofErr w:type="gramStart"/>
      <w:r>
        <w:rPr>
          <w:rFonts w:ascii="Book Antiqua" w:hAnsi="Book Antiqua" w:cs="Arial"/>
        </w:rPr>
        <w:t>B(</w:t>
      </w:r>
      <w:proofErr w:type="gramEnd"/>
      <w:r>
        <w:rPr>
          <w:rFonts w:ascii="Book Antiqua" w:hAnsi="Book Antiqua" w:cs="Arial"/>
        </w:rPr>
        <w:t xml:space="preserve">6) of the 2002 Act. </w:t>
      </w:r>
      <w:r w:rsidR="00424B39">
        <w:rPr>
          <w:rFonts w:ascii="Book Antiqua" w:hAnsi="Book Antiqua" w:cs="Arial"/>
        </w:rPr>
        <w:t xml:space="preserve"> I accept the Appellant does</w:t>
      </w:r>
      <w:r>
        <w:rPr>
          <w:rFonts w:ascii="Book Antiqua" w:hAnsi="Book Antiqua" w:cs="Arial"/>
        </w:rPr>
        <w:t xml:space="preserve"> have a genuine and subsisting parental relationship at the present time with a qualifying child, namely [D], who is a British citizen.</w:t>
      </w:r>
      <w:r w:rsidR="00424B39">
        <w:rPr>
          <w:rFonts w:ascii="Book Antiqua" w:hAnsi="Book Antiqua" w:cs="Arial"/>
        </w:rPr>
        <w:t xml:space="preserve">  I do not find it would be reasonable to expect a British citizen child to relocate to Pakistan.</w:t>
      </w:r>
      <w:r>
        <w:rPr>
          <w:rFonts w:ascii="Book Antiqua" w:hAnsi="Book Antiqua" w:cs="Arial"/>
        </w:rPr>
        <w:t xml:space="preserve">  </w:t>
      </w:r>
    </w:p>
    <w:p w:rsidR="00424B39" w:rsidRDefault="00424B39" w:rsidP="00424B39">
      <w:pPr>
        <w:tabs>
          <w:tab w:val="left" w:pos="567"/>
        </w:tabs>
        <w:ind w:left="1134" w:right="1134"/>
        <w:jc w:val="both"/>
        <w:rPr>
          <w:rFonts w:ascii="Book Antiqua" w:hAnsi="Book Antiqua" w:cs="Arial"/>
        </w:rPr>
      </w:pPr>
    </w:p>
    <w:p w:rsidR="00424B39" w:rsidRDefault="00424B39" w:rsidP="00424B39">
      <w:pPr>
        <w:tabs>
          <w:tab w:val="left" w:pos="567"/>
        </w:tabs>
        <w:ind w:left="1134" w:right="1134"/>
        <w:jc w:val="both"/>
        <w:rPr>
          <w:rFonts w:ascii="Book Antiqua" w:hAnsi="Book Antiqua" w:cs="Arial"/>
        </w:rPr>
      </w:pPr>
      <w:r>
        <w:rPr>
          <w:rFonts w:ascii="Book Antiqua" w:hAnsi="Book Antiqua" w:cs="Arial"/>
        </w:rPr>
        <w:t>24.  The Court of Appeal has determined, however, that section 117</w:t>
      </w:r>
      <w:proofErr w:type="gramStart"/>
      <w:r>
        <w:rPr>
          <w:rFonts w:ascii="Book Antiqua" w:hAnsi="Book Antiqua" w:cs="Arial"/>
        </w:rPr>
        <w:t>B(</w:t>
      </w:r>
      <w:proofErr w:type="gramEnd"/>
      <w:r>
        <w:rPr>
          <w:rFonts w:ascii="Book Antiqua" w:hAnsi="Book Antiqua" w:cs="Arial"/>
        </w:rPr>
        <w:t>6) of the 2002 Act is not a ‘stand-alone’ provision either in deportation or non-deportation cases and must be looked at together with all other factors.  It is equally the case, that additional to an examination of section 117B, in this case I need to consider section 55 of the Borders Act 2007 which places real significance upon the best interests of a child affected by an immigration decision.  However, again case law indicates that the children’s best interest is not a ‘trump card’, and other facts can cumulatively outweigh that interest”.</w:t>
      </w:r>
    </w:p>
    <w:p w:rsidR="00424B39" w:rsidRDefault="00424B39" w:rsidP="00735796">
      <w:pPr>
        <w:tabs>
          <w:tab w:val="left" w:pos="567"/>
        </w:tabs>
        <w:ind w:left="567" w:right="567"/>
        <w:jc w:val="both"/>
        <w:rPr>
          <w:rFonts w:ascii="Book Antiqua" w:hAnsi="Book Antiqua" w:cs="Arial"/>
        </w:rPr>
      </w:pPr>
    </w:p>
    <w:p w:rsidR="00735796" w:rsidRDefault="00B04A12" w:rsidP="0073087D">
      <w:pPr>
        <w:numPr>
          <w:ilvl w:val="0"/>
          <w:numId w:val="1"/>
        </w:numPr>
        <w:tabs>
          <w:tab w:val="left" w:pos="567"/>
        </w:tabs>
        <w:ind w:left="567" w:right="567"/>
        <w:jc w:val="both"/>
        <w:rPr>
          <w:rFonts w:ascii="Book Antiqua" w:hAnsi="Book Antiqua" w:cs="Arial"/>
        </w:rPr>
      </w:pPr>
      <w:r>
        <w:rPr>
          <w:rFonts w:ascii="Book Antiqua" w:hAnsi="Book Antiqua" w:cs="Arial"/>
        </w:rPr>
        <w:t xml:space="preserve">The determination </w:t>
      </w:r>
      <w:r w:rsidR="00CC5BB7">
        <w:rPr>
          <w:rFonts w:ascii="Book Antiqua" w:hAnsi="Book Antiqua" w:cs="Arial"/>
        </w:rPr>
        <w:t>goes on to identify two further</w:t>
      </w:r>
      <w:r>
        <w:rPr>
          <w:rFonts w:ascii="Book Antiqua" w:hAnsi="Book Antiqua" w:cs="Arial"/>
        </w:rPr>
        <w:t xml:space="preserve"> factors adverse to the Appellant: </w:t>
      </w:r>
      <w:r w:rsidR="00CC5BB7">
        <w:rPr>
          <w:rFonts w:ascii="Book Antiqua" w:hAnsi="Book Antiqua" w:cs="Arial"/>
        </w:rPr>
        <w:t xml:space="preserve">the limited duration of the family life in question, which has only existed since October </w:t>
      </w:r>
      <w:proofErr w:type="gramStart"/>
      <w:r w:rsidR="00CC5BB7">
        <w:rPr>
          <w:rFonts w:ascii="Book Antiqua" w:hAnsi="Book Antiqua" w:cs="Arial"/>
        </w:rPr>
        <w:t>2015,  and</w:t>
      </w:r>
      <w:proofErr w:type="gramEnd"/>
      <w:r w:rsidR="00CC5BB7">
        <w:rPr>
          <w:rFonts w:ascii="Book Antiqua" w:hAnsi="Book Antiqua" w:cs="Arial"/>
        </w:rPr>
        <w:t xml:space="preserve"> the fact that the Appellant’s immigration history is not only poor, but gives the overwhelming impression that this is an individual who has attempted to remain in the UK by using any mechanism available to him. Whilst recognising that D’s best interests are an important </w:t>
      </w:r>
      <w:proofErr w:type="gramStart"/>
      <w:r w:rsidR="00CC5BB7">
        <w:rPr>
          <w:rFonts w:ascii="Book Antiqua" w:hAnsi="Book Antiqua" w:cs="Arial"/>
        </w:rPr>
        <w:t>factor,  the</w:t>
      </w:r>
      <w:proofErr w:type="gramEnd"/>
      <w:r w:rsidR="00CC5BB7">
        <w:rPr>
          <w:rFonts w:ascii="Book Antiqua" w:hAnsi="Book Antiqua" w:cs="Arial"/>
        </w:rPr>
        <w:t xml:space="preserve"> Tribunal concludes that on balance, the removal of the Appellant</w:t>
      </w:r>
      <w:r w:rsidR="00A27D90">
        <w:rPr>
          <w:rFonts w:ascii="Book Antiqua" w:hAnsi="Book Antiqua" w:cs="Arial"/>
        </w:rPr>
        <w:t xml:space="preserve"> is proportionate.  The appeal wa</w:t>
      </w:r>
      <w:r w:rsidR="00CC5BB7">
        <w:rPr>
          <w:rFonts w:ascii="Book Antiqua" w:hAnsi="Book Antiqua" w:cs="Arial"/>
        </w:rPr>
        <w:t>s thereby dismissed.</w:t>
      </w:r>
    </w:p>
    <w:p w:rsidR="00F7144C" w:rsidRDefault="00F7144C" w:rsidP="009B7420">
      <w:pPr>
        <w:tabs>
          <w:tab w:val="left" w:pos="567"/>
        </w:tabs>
        <w:ind w:left="567" w:right="567"/>
        <w:jc w:val="both"/>
        <w:rPr>
          <w:rFonts w:ascii="Book Antiqua" w:hAnsi="Book Antiqua" w:cs="Arial"/>
        </w:rPr>
      </w:pPr>
    </w:p>
    <w:p w:rsidR="00DD5C6E" w:rsidRPr="00DD5C6E" w:rsidRDefault="00A27D90" w:rsidP="009B7420">
      <w:pPr>
        <w:tabs>
          <w:tab w:val="left" w:pos="567"/>
        </w:tabs>
        <w:ind w:left="567" w:right="567"/>
        <w:jc w:val="both"/>
        <w:rPr>
          <w:rFonts w:ascii="Book Antiqua" w:hAnsi="Book Antiqua" w:cs="Arial"/>
          <w:b/>
        </w:rPr>
      </w:pPr>
      <w:r>
        <w:rPr>
          <w:rFonts w:ascii="Book Antiqua" w:hAnsi="Book Antiqua" w:cs="Arial"/>
          <w:b/>
        </w:rPr>
        <w:t>Error of Law</w:t>
      </w:r>
    </w:p>
    <w:p w:rsidR="00DD5C6E" w:rsidRDefault="00DD5C6E" w:rsidP="009B7420">
      <w:pPr>
        <w:tabs>
          <w:tab w:val="left" w:pos="567"/>
        </w:tabs>
        <w:ind w:left="567" w:right="567"/>
        <w:jc w:val="both"/>
        <w:rPr>
          <w:rFonts w:ascii="Book Antiqua" w:hAnsi="Book Antiqua" w:cs="Arial"/>
        </w:rPr>
      </w:pPr>
    </w:p>
    <w:p w:rsidR="00CC5BB7" w:rsidRDefault="00CC5BB7" w:rsidP="00CC5BB7">
      <w:pPr>
        <w:numPr>
          <w:ilvl w:val="0"/>
          <w:numId w:val="1"/>
        </w:numPr>
        <w:tabs>
          <w:tab w:val="left" w:pos="567"/>
        </w:tabs>
        <w:ind w:left="567" w:right="567"/>
        <w:jc w:val="both"/>
        <w:rPr>
          <w:rFonts w:ascii="Book Antiqua" w:hAnsi="Book Antiqua" w:cs="Arial"/>
        </w:rPr>
      </w:pPr>
      <w:r>
        <w:rPr>
          <w:rFonts w:ascii="Book Antiqua" w:hAnsi="Book Antiqua" w:cs="Arial"/>
        </w:rPr>
        <w:t>I need not set out the grounds in any great detail since before me the parties were in agreement that the First-tier Tribunal erred in its approach.  Whilst Mr Bates endorsed ultimate the findings of the determination, he accepted that the Tribunal had adopted a rather unorthodox structure</w:t>
      </w:r>
      <w:r w:rsidR="00405664">
        <w:rPr>
          <w:rFonts w:ascii="Book Antiqua" w:hAnsi="Book Antiqua" w:cs="Arial"/>
        </w:rPr>
        <w:t>. T</w:t>
      </w:r>
      <w:r>
        <w:rPr>
          <w:rFonts w:ascii="Book Antiqua" w:hAnsi="Book Antiqua" w:cs="Arial"/>
        </w:rPr>
        <w:t xml:space="preserve">he determination had not on its face followed the guidance in </w:t>
      </w:r>
      <w:r w:rsidRPr="00906C67">
        <w:rPr>
          <w:rFonts w:ascii="Book Antiqua" w:hAnsi="Book Antiqua" w:cs="Arial"/>
          <w:u w:val="single"/>
        </w:rPr>
        <w:t>MA (Pakistan)</w:t>
      </w:r>
      <w:r w:rsidR="00217221" w:rsidRPr="00CC5BB7">
        <w:rPr>
          <w:rFonts w:ascii="Book Antiqua" w:hAnsi="Book Antiqua" w:cs="Arial"/>
        </w:rPr>
        <w:t xml:space="preserve"> [2016] EWCA </w:t>
      </w:r>
      <w:proofErr w:type="spellStart"/>
      <w:r w:rsidR="00217221" w:rsidRPr="00CC5BB7">
        <w:rPr>
          <w:rFonts w:ascii="Book Antiqua" w:hAnsi="Book Antiqua" w:cs="Arial"/>
        </w:rPr>
        <w:t>Civ</w:t>
      </w:r>
      <w:proofErr w:type="spellEnd"/>
      <w:r w:rsidR="00217221" w:rsidRPr="00CC5BB7">
        <w:rPr>
          <w:rFonts w:ascii="Book Antiqua" w:hAnsi="Book Antiqua" w:cs="Arial"/>
        </w:rPr>
        <w:t xml:space="preserve"> 705. </w:t>
      </w:r>
    </w:p>
    <w:p w:rsidR="001D7D47" w:rsidRDefault="001D7D47" w:rsidP="001D7D47">
      <w:pPr>
        <w:tabs>
          <w:tab w:val="left" w:pos="567"/>
        </w:tabs>
        <w:ind w:left="567" w:right="567"/>
        <w:jc w:val="both"/>
        <w:rPr>
          <w:rFonts w:ascii="Book Antiqua" w:hAnsi="Book Antiqua" w:cs="Arial"/>
        </w:rPr>
      </w:pPr>
    </w:p>
    <w:p w:rsidR="008B2DD7" w:rsidRDefault="008B2DD7" w:rsidP="00CC5BB7">
      <w:pPr>
        <w:numPr>
          <w:ilvl w:val="0"/>
          <w:numId w:val="1"/>
        </w:numPr>
        <w:tabs>
          <w:tab w:val="left" w:pos="567"/>
        </w:tabs>
        <w:ind w:left="567" w:right="567"/>
        <w:jc w:val="both"/>
        <w:rPr>
          <w:rFonts w:ascii="Book Antiqua" w:hAnsi="Book Antiqua" w:cs="Arial"/>
        </w:rPr>
      </w:pPr>
      <w:r>
        <w:rPr>
          <w:rFonts w:ascii="Book Antiqua" w:hAnsi="Book Antiqua" w:cs="Arial"/>
        </w:rPr>
        <w:t>The statutory provision at the heart of this appeal is section 117B of the Nationality, Immigration and Asylum Act 2002:</w:t>
      </w:r>
    </w:p>
    <w:p w:rsidR="008B2DD7" w:rsidRDefault="008B2DD7" w:rsidP="008B2DD7">
      <w:pPr>
        <w:tabs>
          <w:tab w:val="left" w:pos="567"/>
        </w:tabs>
        <w:ind w:left="567" w:right="567"/>
        <w:jc w:val="both"/>
        <w:rPr>
          <w:rFonts w:ascii="Book Antiqua" w:hAnsi="Book Antiqua" w:cs="Arial"/>
        </w:rPr>
      </w:pPr>
    </w:p>
    <w:p w:rsidR="008B2DD7" w:rsidRPr="00836521" w:rsidRDefault="008B2DD7" w:rsidP="0084508A">
      <w:pPr>
        <w:shd w:val="clear" w:color="auto" w:fill="FFFFFF"/>
        <w:spacing w:before="100" w:beforeAutospacing="1" w:after="120" w:line="288" w:lineRule="atLeast"/>
        <w:ind w:left="1134" w:right="1134"/>
        <w:outlineLvl w:val="5"/>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lastRenderedPageBreak/>
        <w:t>Article 8: public interest considerations applicable in all cases:</w:t>
      </w:r>
    </w:p>
    <w:p w:rsidR="008B2DD7" w:rsidRPr="00836521" w:rsidRDefault="008B2DD7" w:rsidP="0084508A">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(1) The maintenance of effective immigration controls is in the public interest.</w:t>
      </w:r>
    </w:p>
    <w:p w:rsidR="008B2DD7" w:rsidRPr="00836521" w:rsidRDefault="008B2DD7" w:rsidP="0084508A">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 xml:space="preserve">(2) It is in the public interest, and </w:t>
      </w:r>
      <w:proofErr w:type="gramStart"/>
      <w:r w:rsidRPr="00836521">
        <w:rPr>
          <w:rFonts w:ascii="Book Antiqua" w:eastAsia="Times New Roman" w:hAnsi="Book Antiqua" w:cs="Arial"/>
          <w:color w:val="000000"/>
          <w:sz w:val="20"/>
          <w:szCs w:val="20"/>
          <w:lang w:val="en"/>
        </w:rPr>
        <w:t>in particular in</w:t>
      </w:r>
      <w:proofErr w:type="gramEnd"/>
      <w:r w:rsidRPr="00836521">
        <w:rPr>
          <w:rFonts w:ascii="Book Antiqua" w:eastAsia="Times New Roman" w:hAnsi="Book Antiqua" w:cs="Arial"/>
          <w:color w:val="000000"/>
          <w:sz w:val="20"/>
          <w:szCs w:val="20"/>
          <w:lang w:val="en"/>
        </w:rPr>
        <w:t xml:space="preserve"> the interests of the economic well-being of the United Kingdom, that persons who seek to enter or remain in the United Kingdom are able to speak English, because persons who can speak English—</w:t>
      </w:r>
    </w:p>
    <w:p w:rsidR="0084508A" w:rsidRDefault="008B2DD7" w:rsidP="0084508A">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(a) are less of a burden on taxpayers, and</w:t>
      </w:r>
    </w:p>
    <w:p w:rsidR="008B2DD7" w:rsidRPr="00836521" w:rsidRDefault="008B2DD7" w:rsidP="0084508A">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(b) are better able to integrate into society.</w:t>
      </w:r>
    </w:p>
    <w:p w:rsidR="008B2DD7" w:rsidRPr="00836521" w:rsidRDefault="008B2DD7" w:rsidP="0084508A">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 xml:space="preserve">(3)  It is in the public interest, and </w:t>
      </w:r>
      <w:proofErr w:type="gramStart"/>
      <w:r w:rsidRPr="00836521">
        <w:rPr>
          <w:rFonts w:ascii="Book Antiqua" w:eastAsia="Times New Roman" w:hAnsi="Book Antiqua" w:cs="Arial"/>
          <w:color w:val="000000"/>
          <w:sz w:val="20"/>
          <w:szCs w:val="20"/>
          <w:lang w:val="en"/>
        </w:rPr>
        <w:t>in particular in</w:t>
      </w:r>
      <w:proofErr w:type="gramEnd"/>
      <w:r w:rsidRPr="00836521">
        <w:rPr>
          <w:rFonts w:ascii="Book Antiqua" w:eastAsia="Times New Roman" w:hAnsi="Book Antiqua" w:cs="Arial"/>
          <w:color w:val="000000"/>
          <w:sz w:val="20"/>
          <w:szCs w:val="20"/>
          <w:lang w:val="en"/>
        </w:rPr>
        <w:t xml:space="preserve"> the interests of the economic well-being of the United Kingdom, that persons who seek to enter or remain in the United Kingdom are financially independent, because such persons—</w:t>
      </w:r>
    </w:p>
    <w:p w:rsidR="008B2DD7" w:rsidRPr="00836521" w:rsidRDefault="008B2DD7" w:rsidP="0084508A">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(a) are not a burden on taxpayers, and</w:t>
      </w:r>
    </w:p>
    <w:p w:rsidR="008B2DD7" w:rsidRPr="00836521" w:rsidRDefault="008B2DD7" w:rsidP="0084508A">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(b) are better able to integrate into society.</w:t>
      </w:r>
    </w:p>
    <w:p w:rsidR="008B2DD7" w:rsidRPr="00836521" w:rsidRDefault="008B2DD7" w:rsidP="0084508A">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(4) Little weight should be given to—</w:t>
      </w:r>
    </w:p>
    <w:p w:rsidR="008B2DD7" w:rsidRPr="00836521" w:rsidRDefault="008B2DD7" w:rsidP="0084508A">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(a) a private life, or</w:t>
      </w:r>
    </w:p>
    <w:p w:rsidR="008B2DD7" w:rsidRPr="00836521" w:rsidRDefault="008B2DD7" w:rsidP="0084508A">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(b) a relationship formed with a qualifying partner,</w:t>
      </w:r>
    </w:p>
    <w:p w:rsidR="008B2DD7" w:rsidRPr="00836521" w:rsidRDefault="008B2DD7" w:rsidP="0084508A">
      <w:pPr>
        <w:shd w:val="clear" w:color="auto" w:fill="FFFFFF"/>
        <w:spacing w:before="100" w:beforeAutospacing="1" w:after="120" w:line="360" w:lineRule="atLeast"/>
        <w:ind w:left="1134" w:right="1134"/>
        <w:jc w:val="both"/>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 xml:space="preserve">that is established by a person at a time when the person is in the United Kingdom unlawfully. </w:t>
      </w:r>
    </w:p>
    <w:p w:rsidR="008B2DD7" w:rsidRPr="00836521" w:rsidRDefault="008B2DD7" w:rsidP="0084508A">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(5) Little weight should be given to a private life established by a person at a time when the person’s immigration status is precarious.</w:t>
      </w:r>
    </w:p>
    <w:p w:rsidR="008B2DD7" w:rsidRPr="00836521" w:rsidRDefault="008B2DD7" w:rsidP="0084508A">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 xml:space="preserve">(6) </w:t>
      </w:r>
      <w:r w:rsidRPr="0084508A">
        <w:rPr>
          <w:rFonts w:ascii="Book Antiqua" w:eastAsia="Times New Roman" w:hAnsi="Book Antiqua" w:cs="Arial"/>
          <w:b/>
          <w:color w:val="000000"/>
          <w:sz w:val="20"/>
          <w:szCs w:val="20"/>
          <w:lang w:val="en"/>
        </w:rPr>
        <w:t>In the case of a person who is not liable to deportation, the public interest does not require the person’s removal where</w:t>
      </w:r>
      <w:r w:rsidRPr="00836521">
        <w:rPr>
          <w:rFonts w:ascii="Book Antiqua" w:eastAsia="Times New Roman" w:hAnsi="Book Antiqua" w:cs="Arial"/>
          <w:color w:val="000000"/>
          <w:sz w:val="20"/>
          <w:szCs w:val="20"/>
          <w:lang w:val="en"/>
        </w:rPr>
        <w:t>—</w:t>
      </w:r>
    </w:p>
    <w:p w:rsidR="008B2DD7" w:rsidRPr="0084508A" w:rsidRDefault="008B2DD7" w:rsidP="0084508A">
      <w:pPr>
        <w:shd w:val="clear" w:color="auto" w:fill="FFFFFF"/>
        <w:spacing w:before="100" w:beforeAutospacing="1" w:after="120" w:line="360" w:lineRule="atLeast"/>
        <w:ind w:left="1440" w:right="1134" w:firstLine="48"/>
        <w:rPr>
          <w:rFonts w:ascii="Book Antiqua" w:eastAsia="Times New Roman" w:hAnsi="Book Antiqua" w:cs="Arial"/>
          <w:b/>
          <w:color w:val="000000"/>
          <w:sz w:val="20"/>
          <w:szCs w:val="20"/>
          <w:lang w:val="en"/>
        </w:rPr>
      </w:pPr>
      <w:r w:rsidRPr="0084508A">
        <w:rPr>
          <w:rFonts w:ascii="Book Antiqua" w:eastAsia="Times New Roman" w:hAnsi="Book Antiqua" w:cs="Arial"/>
          <w:b/>
          <w:color w:val="000000"/>
          <w:sz w:val="20"/>
          <w:szCs w:val="20"/>
          <w:lang w:val="en"/>
        </w:rPr>
        <w:t>(a) the person has a genuine and subsisting parental relationship with a qualifying child, and</w:t>
      </w:r>
    </w:p>
    <w:p w:rsidR="008B2DD7" w:rsidRPr="00836521" w:rsidRDefault="008B2DD7" w:rsidP="0084508A">
      <w:pPr>
        <w:shd w:val="clear" w:color="auto" w:fill="FFFFFF"/>
        <w:spacing w:before="100" w:beforeAutospacing="1" w:after="120" w:line="360" w:lineRule="atLeast"/>
        <w:ind w:left="1440" w:right="1134" w:firstLine="6"/>
        <w:rPr>
          <w:rFonts w:ascii="Book Antiqua" w:eastAsia="Times New Roman" w:hAnsi="Book Antiqua" w:cs="Arial"/>
          <w:color w:val="000000"/>
          <w:sz w:val="20"/>
          <w:szCs w:val="20"/>
          <w:lang w:val="en"/>
        </w:rPr>
      </w:pPr>
      <w:r w:rsidRPr="0084508A">
        <w:rPr>
          <w:rFonts w:ascii="Book Antiqua" w:eastAsia="Times New Roman" w:hAnsi="Book Antiqua" w:cs="Arial"/>
          <w:b/>
          <w:color w:val="000000"/>
          <w:sz w:val="20"/>
          <w:szCs w:val="20"/>
          <w:lang w:val="en"/>
        </w:rPr>
        <w:t>(b) it would not be reasonable to expect the child to leave the United Kingdom</w:t>
      </w:r>
      <w:r w:rsidRPr="00836521">
        <w:rPr>
          <w:rFonts w:ascii="Book Antiqua" w:eastAsia="Times New Roman" w:hAnsi="Book Antiqua" w:cs="Arial"/>
          <w:color w:val="000000"/>
          <w:sz w:val="20"/>
          <w:szCs w:val="20"/>
          <w:lang w:val="en"/>
        </w:rPr>
        <w:t>.</w:t>
      </w:r>
    </w:p>
    <w:p w:rsidR="008B2DD7" w:rsidRDefault="008B2DD7" w:rsidP="008B2DD7">
      <w:pPr>
        <w:tabs>
          <w:tab w:val="left" w:pos="567"/>
        </w:tabs>
        <w:ind w:left="567" w:right="567"/>
        <w:jc w:val="both"/>
        <w:rPr>
          <w:rFonts w:ascii="Book Antiqua" w:hAnsi="Book Antiqua" w:cs="Arial"/>
        </w:rPr>
      </w:pPr>
    </w:p>
    <w:p w:rsidR="00906C67" w:rsidRDefault="007C717E" w:rsidP="00906C67">
      <w:pPr>
        <w:numPr>
          <w:ilvl w:val="0"/>
          <w:numId w:val="1"/>
        </w:numPr>
        <w:tabs>
          <w:tab w:val="left" w:pos="567"/>
        </w:tabs>
        <w:ind w:left="567" w:right="567"/>
        <w:jc w:val="both"/>
        <w:rPr>
          <w:rFonts w:ascii="Book Antiqua" w:hAnsi="Book Antiqua" w:cs="Arial"/>
        </w:rPr>
      </w:pPr>
      <w:r>
        <w:rPr>
          <w:rFonts w:ascii="Book Antiqua" w:hAnsi="Book Antiqua" w:cs="Arial"/>
        </w:rPr>
        <w:t>The First-tier Tribunal</w:t>
      </w:r>
      <w:r w:rsidR="00906C67">
        <w:rPr>
          <w:rFonts w:ascii="Book Antiqua" w:hAnsi="Book Antiqua" w:cs="Arial"/>
        </w:rPr>
        <w:t xml:space="preserve"> expressly finds that s117</w:t>
      </w:r>
      <w:proofErr w:type="gramStart"/>
      <w:r w:rsidR="00906C67">
        <w:rPr>
          <w:rFonts w:ascii="Book Antiqua" w:hAnsi="Book Antiqua" w:cs="Arial"/>
        </w:rPr>
        <w:t>B(</w:t>
      </w:r>
      <w:proofErr w:type="gramEnd"/>
      <w:r w:rsidR="00906C67">
        <w:rPr>
          <w:rFonts w:ascii="Book Antiqua" w:hAnsi="Book Antiqua" w:cs="Arial"/>
        </w:rPr>
        <w:t>6) is not a ‘</w:t>
      </w:r>
      <w:proofErr w:type="spellStart"/>
      <w:r w:rsidR="00906C67">
        <w:rPr>
          <w:rFonts w:ascii="Book Antiqua" w:hAnsi="Book Antiqua" w:cs="Arial"/>
        </w:rPr>
        <w:t>stand alone</w:t>
      </w:r>
      <w:proofErr w:type="spellEnd"/>
      <w:r w:rsidR="00906C67">
        <w:rPr>
          <w:rFonts w:ascii="Book Antiqua" w:hAnsi="Book Antiqua" w:cs="Arial"/>
        </w:rPr>
        <w:t xml:space="preserve">’ provision. It treats it as just one amongst the six factors set out in that section and finds, even though it weighs in the Appellant’s favour, that it is outweighed by the public interest as reflected, </w:t>
      </w:r>
      <w:r w:rsidR="00906C67" w:rsidRPr="00906C67">
        <w:rPr>
          <w:rFonts w:ascii="Book Antiqua" w:hAnsi="Book Antiqua" w:cs="Arial"/>
          <w:i/>
        </w:rPr>
        <w:t>inter alia</w:t>
      </w:r>
      <w:r w:rsidR="00906C67">
        <w:rPr>
          <w:rFonts w:ascii="Book Antiqua" w:hAnsi="Book Antiqua" w:cs="Arial"/>
        </w:rPr>
        <w:t>, in sub-sections (</w:t>
      </w:r>
      <w:proofErr w:type="gramStart"/>
      <w:r w:rsidR="00906C67">
        <w:rPr>
          <w:rFonts w:ascii="Book Antiqua" w:hAnsi="Book Antiqua" w:cs="Arial"/>
        </w:rPr>
        <w:t>1)-(</w:t>
      </w:r>
      <w:proofErr w:type="gramEnd"/>
      <w:r w:rsidR="00906C67">
        <w:rPr>
          <w:rFonts w:ascii="Book Antiqua" w:hAnsi="Book Antiqua" w:cs="Arial"/>
        </w:rPr>
        <w:t xml:space="preserve">5).  </w:t>
      </w:r>
      <w:proofErr w:type="gramStart"/>
      <w:r w:rsidR="00906C67">
        <w:rPr>
          <w:rFonts w:ascii="Book Antiqua" w:hAnsi="Book Antiqua" w:cs="Arial"/>
        </w:rPr>
        <w:t>Thus</w:t>
      </w:r>
      <w:proofErr w:type="gramEnd"/>
      <w:r w:rsidR="00906C67">
        <w:rPr>
          <w:rFonts w:ascii="Book Antiqua" w:hAnsi="Book Antiqua" w:cs="Arial"/>
        </w:rPr>
        <w:t xml:space="preserve"> the finding at §23, that it would not be reasonable to expect D to leave the UK, is not determinative. That is just one factor to be weighed in the balance in considering proportionality.</w:t>
      </w:r>
    </w:p>
    <w:p w:rsidR="00906C67" w:rsidRDefault="00906C67" w:rsidP="00906C67">
      <w:pPr>
        <w:tabs>
          <w:tab w:val="left" w:pos="567"/>
        </w:tabs>
        <w:ind w:left="567" w:right="567"/>
        <w:jc w:val="both"/>
        <w:rPr>
          <w:rFonts w:ascii="Book Antiqua" w:hAnsi="Book Antiqua" w:cs="Arial"/>
        </w:rPr>
      </w:pPr>
    </w:p>
    <w:p w:rsidR="00430A82" w:rsidRPr="00430A82" w:rsidRDefault="00906C67" w:rsidP="00430A82">
      <w:pPr>
        <w:numPr>
          <w:ilvl w:val="0"/>
          <w:numId w:val="1"/>
        </w:numPr>
        <w:tabs>
          <w:tab w:val="left" w:pos="567"/>
        </w:tabs>
        <w:ind w:left="567" w:right="567"/>
        <w:jc w:val="both"/>
        <w:rPr>
          <w:rFonts w:ascii="Book Antiqua" w:hAnsi="Book Antiqua" w:cs="Arial"/>
        </w:rPr>
      </w:pPr>
      <w:r>
        <w:rPr>
          <w:rFonts w:ascii="Book Antiqua" w:hAnsi="Book Antiqua" w:cs="Arial"/>
        </w:rPr>
        <w:t xml:space="preserve">That </w:t>
      </w:r>
      <w:r w:rsidR="00430A82">
        <w:rPr>
          <w:rFonts w:ascii="Book Antiqua" w:hAnsi="Book Antiqua" w:cs="Arial"/>
        </w:rPr>
        <w:t xml:space="preserve">approach is directly contrary to that laid down as the correct one in </w:t>
      </w:r>
      <w:r w:rsidR="00430A82" w:rsidRPr="00430A82">
        <w:rPr>
          <w:rFonts w:ascii="Book Antiqua" w:hAnsi="Book Antiqua" w:cs="Arial"/>
          <w:u w:val="single"/>
        </w:rPr>
        <w:t>MA (Pakistan)</w:t>
      </w:r>
      <w:r w:rsidR="00430A82">
        <w:rPr>
          <w:rFonts w:ascii="Book Antiqua" w:hAnsi="Book Antiqua" w:cs="Arial"/>
          <w:u w:val="single"/>
        </w:rPr>
        <w:t>. Per Elias LJ:</w:t>
      </w:r>
    </w:p>
    <w:p w:rsidR="00430A82" w:rsidRPr="00430A82" w:rsidRDefault="00430A82" w:rsidP="0084508A">
      <w:pPr>
        <w:numPr>
          <w:ilvl w:val="0"/>
          <w:numId w:val="18"/>
        </w:numPr>
        <w:spacing w:before="100" w:beforeAutospacing="1" w:after="100" w:afterAutospacing="1"/>
        <w:ind w:left="1134" w:right="1134"/>
        <w:jc w:val="both"/>
        <w:rPr>
          <w:rFonts w:ascii="Book Antiqua" w:eastAsia="Times New Roman" w:hAnsi="Book Antiqua"/>
          <w:sz w:val="20"/>
          <w:szCs w:val="20"/>
        </w:rPr>
      </w:pPr>
      <w:bookmarkStart w:id="1" w:name="para16"/>
      <w:r w:rsidRPr="00430A82">
        <w:rPr>
          <w:rFonts w:ascii="Book Antiqua" w:eastAsia="Times New Roman" w:hAnsi="Book Antiqua"/>
          <w:sz w:val="20"/>
          <w:szCs w:val="20"/>
        </w:rPr>
        <w:t xml:space="preserve">The paragraphs in section 117B achieve different objectives. The structure of subsections (4) and (5) differs from subsections (1) to (3). The latter identify factors bearing upon the public interest which a court or tribunal is under a duty to consider but it is for the decision maker to decide upon the weight to give to these factors in making the determination, subject only to compliance with public law principles. Subsections (4) and (5) implicitly accept that the matters identified therein should be taken into account, but there is a direction as to the weight – or more accurately, the relative lack of it - which should be given to these considerations. Parliament has here sought to identify both relevance and weight. </w:t>
      </w:r>
      <w:bookmarkEnd w:id="1"/>
    </w:p>
    <w:p w:rsidR="00430A82" w:rsidRPr="00430A82" w:rsidRDefault="00430A82" w:rsidP="0084508A">
      <w:pPr>
        <w:numPr>
          <w:ilvl w:val="0"/>
          <w:numId w:val="19"/>
        </w:numPr>
        <w:spacing w:before="100" w:beforeAutospacing="1" w:after="100" w:afterAutospacing="1"/>
        <w:ind w:left="1134" w:right="1134"/>
        <w:jc w:val="both"/>
        <w:rPr>
          <w:rFonts w:ascii="Book Antiqua" w:eastAsia="Times New Roman" w:hAnsi="Book Antiqua"/>
          <w:sz w:val="20"/>
          <w:szCs w:val="20"/>
        </w:rPr>
      </w:pPr>
      <w:bookmarkStart w:id="2" w:name="para17"/>
      <w:r w:rsidRPr="00430A82">
        <w:rPr>
          <w:rFonts w:ascii="Book Antiqua" w:eastAsia="Times New Roman" w:hAnsi="Book Antiqua"/>
          <w:sz w:val="20"/>
          <w:szCs w:val="20"/>
        </w:rPr>
        <w:t xml:space="preserve">Subsection (6) falls into a different category again. It does not simply identify factors which bear upon the public interest question. It resolves that question in the context of article 8 applications which satisfy the conditions in paragraphs (a) and (b). It does so by stipulating that once those conditions are satisfied, the public interest will not require the applicant's removal. Since the interference with the right to private or family life under article 8(1) can only be justified where there is a sufficiently strong countervailing public interest falling within article 8(2), if the public interest does not require removal, there is no other basis on which removal could be justified. </w:t>
      </w:r>
      <w:r w:rsidRPr="00430A82">
        <w:rPr>
          <w:rFonts w:ascii="Book Antiqua" w:eastAsia="Times New Roman" w:hAnsi="Book Antiqua"/>
          <w:b/>
          <w:sz w:val="20"/>
          <w:szCs w:val="20"/>
        </w:rPr>
        <w:t>It follows, in my judgment, that there can be no doubt that section 117</w:t>
      </w:r>
      <w:proofErr w:type="gramStart"/>
      <w:r w:rsidRPr="00430A82">
        <w:rPr>
          <w:rFonts w:ascii="Book Antiqua" w:eastAsia="Times New Roman" w:hAnsi="Book Antiqua"/>
          <w:b/>
          <w:sz w:val="20"/>
          <w:szCs w:val="20"/>
        </w:rPr>
        <w:t>B(</w:t>
      </w:r>
      <w:proofErr w:type="gramEnd"/>
      <w:r w:rsidRPr="00430A82">
        <w:rPr>
          <w:rFonts w:ascii="Book Antiqua" w:eastAsia="Times New Roman" w:hAnsi="Book Antiqua"/>
          <w:b/>
          <w:sz w:val="20"/>
          <w:szCs w:val="20"/>
        </w:rPr>
        <w:t>6) must be read as a self-contained provision</w:t>
      </w:r>
      <w:r w:rsidRPr="00430A82">
        <w:rPr>
          <w:rFonts w:ascii="Book Antiqua" w:eastAsia="Times New Roman" w:hAnsi="Book Antiqua"/>
          <w:sz w:val="20"/>
          <w:szCs w:val="20"/>
        </w:rPr>
        <w:t xml:space="preserve"> in the sense that Parliament has stipulated that where the conditions specified in the sub-section are satisfied, the public interest will not justify removal. It is not legitimate to have regard to public interest considerations unless that is permitted, either explicitly or implicitly, by the subsection itself. </w:t>
      </w:r>
      <w:bookmarkEnd w:id="2"/>
    </w:p>
    <w:p w:rsidR="00430A82" w:rsidRPr="00430A82" w:rsidRDefault="00430A82" w:rsidP="0084508A">
      <w:pPr>
        <w:numPr>
          <w:ilvl w:val="0"/>
          <w:numId w:val="20"/>
        </w:numPr>
        <w:spacing w:before="100" w:beforeAutospacing="1" w:after="100" w:afterAutospacing="1"/>
        <w:ind w:left="1134" w:right="1134"/>
        <w:jc w:val="both"/>
        <w:rPr>
          <w:rFonts w:ascii="Book Antiqua" w:eastAsia="Times New Roman" w:hAnsi="Book Antiqua"/>
          <w:sz w:val="20"/>
          <w:szCs w:val="20"/>
        </w:rPr>
      </w:pPr>
      <w:bookmarkStart w:id="3" w:name="para18"/>
      <w:r w:rsidRPr="00430A82">
        <w:rPr>
          <w:rFonts w:ascii="Book Antiqua" w:eastAsia="Times New Roman" w:hAnsi="Book Antiqua"/>
          <w:sz w:val="20"/>
          <w:szCs w:val="20"/>
        </w:rPr>
        <w:t xml:space="preserve">Ms </w:t>
      </w:r>
      <w:proofErr w:type="spellStart"/>
      <w:r w:rsidRPr="00430A82">
        <w:rPr>
          <w:rFonts w:ascii="Book Antiqua" w:eastAsia="Times New Roman" w:hAnsi="Book Antiqua"/>
          <w:sz w:val="20"/>
          <w:szCs w:val="20"/>
        </w:rPr>
        <w:t>Giovannetti</w:t>
      </w:r>
      <w:proofErr w:type="spellEnd"/>
      <w:r w:rsidRPr="00430A82">
        <w:rPr>
          <w:rFonts w:ascii="Book Antiqua" w:eastAsia="Times New Roman" w:hAnsi="Book Antiqua"/>
          <w:sz w:val="20"/>
          <w:szCs w:val="20"/>
        </w:rPr>
        <w:t xml:space="preserve"> QC, counsel for the Secretary of State, argued otherwise. She contended that there may be circumstances where even though the provisions of paragraphs (a) and (b) are satisfied and the applicant is not liable for deportation, the Secretary of State may nonetheless refuse leave to remain on wider public interest grounds. But as she had to accept, that analysis requires adding words to subsection (6) to the effect that where the conditions are satisfied, the public interest will not </w:t>
      </w:r>
      <w:r w:rsidRPr="00430A82">
        <w:rPr>
          <w:rFonts w:ascii="Book Antiqua" w:eastAsia="Times New Roman" w:hAnsi="Book Antiqua"/>
          <w:i/>
          <w:iCs/>
          <w:sz w:val="20"/>
          <w:szCs w:val="20"/>
        </w:rPr>
        <w:t>normally</w:t>
      </w:r>
      <w:r w:rsidRPr="00430A82">
        <w:rPr>
          <w:rFonts w:ascii="Book Antiqua" w:eastAsia="Times New Roman" w:hAnsi="Book Antiqua"/>
          <w:sz w:val="20"/>
          <w:szCs w:val="20"/>
        </w:rPr>
        <w:t xml:space="preserve"> require removal, because on her approach, sometimes it will. I see no warrant for distorting the unambiguous language of the section in that way. </w:t>
      </w:r>
      <w:bookmarkEnd w:id="3"/>
    </w:p>
    <w:p w:rsidR="00430A82" w:rsidRPr="00430A82" w:rsidRDefault="00430A82" w:rsidP="0084508A">
      <w:pPr>
        <w:numPr>
          <w:ilvl w:val="0"/>
          <w:numId w:val="21"/>
        </w:numPr>
        <w:spacing w:before="100" w:beforeAutospacing="1" w:after="100" w:afterAutospacing="1"/>
        <w:ind w:left="1134" w:right="1134"/>
        <w:jc w:val="both"/>
        <w:rPr>
          <w:rFonts w:ascii="Book Antiqua" w:eastAsia="Times New Roman" w:hAnsi="Book Antiqua"/>
          <w:b/>
          <w:sz w:val="20"/>
          <w:szCs w:val="20"/>
        </w:rPr>
      </w:pPr>
      <w:bookmarkStart w:id="4" w:name="para19"/>
      <w:r w:rsidRPr="00430A82">
        <w:rPr>
          <w:rFonts w:ascii="Book Antiqua" w:eastAsia="Times New Roman" w:hAnsi="Book Antiqua"/>
          <w:b/>
          <w:sz w:val="20"/>
          <w:szCs w:val="20"/>
        </w:rPr>
        <w:t>In my judgment, therefore, the only questions which courts and tribunals need to ask when applying section 117</w:t>
      </w:r>
      <w:proofErr w:type="gramStart"/>
      <w:r w:rsidRPr="00430A82">
        <w:rPr>
          <w:rFonts w:ascii="Book Antiqua" w:eastAsia="Times New Roman" w:hAnsi="Book Antiqua"/>
          <w:b/>
          <w:sz w:val="20"/>
          <w:szCs w:val="20"/>
        </w:rPr>
        <w:t>B(</w:t>
      </w:r>
      <w:proofErr w:type="gramEnd"/>
      <w:r w:rsidRPr="00430A82">
        <w:rPr>
          <w:rFonts w:ascii="Book Antiqua" w:eastAsia="Times New Roman" w:hAnsi="Book Antiqua"/>
          <w:b/>
          <w:sz w:val="20"/>
          <w:szCs w:val="20"/>
        </w:rPr>
        <w:t xml:space="preserve">6) are the following: </w:t>
      </w:r>
      <w:bookmarkEnd w:id="4"/>
    </w:p>
    <w:p w:rsidR="00430A82" w:rsidRPr="00430A82" w:rsidRDefault="00430A82" w:rsidP="0084508A">
      <w:pPr>
        <w:ind w:left="1134" w:right="1134"/>
        <w:jc w:val="both"/>
        <w:rPr>
          <w:rFonts w:ascii="Book Antiqua" w:eastAsia="Times New Roman" w:hAnsi="Book Antiqua"/>
          <w:b/>
          <w:sz w:val="20"/>
          <w:szCs w:val="20"/>
        </w:rPr>
      </w:pPr>
      <w:r w:rsidRPr="00430A82">
        <w:rPr>
          <w:rFonts w:ascii="Book Antiqua" w:eastAsia="Times New Roman" w:hAnsi="Book Antiqua"/>
          <w:b/>
          <w:sz w:val="20"/>
          <w:szCs w:val="20"/>
        </w:rPr>
        <w:t xml:space="preserve">(1) Is the applicant liable to deportation? If so, section 117B is inapplicable and instead the relevant code will usually be found in section 117C. </w:t>
      </w:r>
    </w:p>
    <w:p w:rsidR="00430A82" w:rsidRPr="00430A82" w:rsidRDefault="00430A82" w:rsidP="0084508A">
      <w:pPr>
        <w:ind w:left="1134" w:right="1134"/>
        <w:jc w:val="both"/>
        <w:rPr>
          <w:rFonts w:ascii="Book Antiqua" w:eastAsia="Times New Roman" w:hAnsi="Book Antiqua"/>
          <w:b/>
          <w:sz w:val="20"/>
          <w:szCs w:val="20"/>
        </w:rPr>
      </w:pPr>
      <w:r w:rsidRPr="00430A82">
        <w:rPr>
          <w:rFonts w:ascii="Book Antiqua" w:eastAsia="Times New Roman" w:hAnsi="Book Antiqua"/>
          <w:b/>
          <w:sz w:val="20"/>
          <w:szCs w:val="20"/>
        </w:rPr>
        <w:lastRenderedPageBreak/>
        <w:t xml:space="preserve">(2) Does the applicant have a genuine and subsisting parental relationship with the child? </w:t>
      </w:r>
    </w:p>
    <w:p w:rsidR="00430A82" w:rsidRPr="00430A82" w:rsidRDefault="00430A82" w:rsidP="0084508A">
      <w:pPr>
        <w:ind w:left="1134" w:right="1134"/>
        <w:jc w:val="both"/>
        <w:rPr>
          <w:rFonts w:ascii="Book Antiqua" w:eastAsia="Times New Roman" w:hAnsi="Book Antiqua"/>
          <w:b/>
          <w:sz w:val="20"/>
          <w:szCs w:val="20"/>
        </w:rPr>
      </w:pPr>
      <w:r w:rsidRPr="00430A82">
        <w:rPr>
          <w:rFonts w:ascii="Book Antiqua" w:eastAsia="Times New Roman" w:hAnsi="Book Antiqua"/>
          <w:b/>
          <w:sz w:val="20"/>
          <w:szCs w:val="20"/>
        </w:rPr>
        <w:t>(3) Is the child a qualifying child as defined in section 117D?</w:t>
      </w:r>
    </w:p>
    <w:p w:rsidR="00430A82" w:rsidRPr="00430A82" w:rsidRDefault="00430A82" w:rsidP="0084508A">
      <w:pPr>
        <w:ind w:left="1134" w:right="1134"/>
        <w:jc w:val="both"/>
        <w:rPr>
          <w:rFonts w:ascii="Book Antiqua" w:eastAsia="Times New Roman" w:hAnsi="Book Antiqua"/>
          <w:b/>
          <w:sz w:val="20"/>
          <w:szCs w:val="20"/>
        </w:rPr>
      </w:pPr>
      <w:r w:rsidRPr="00430A82">
        <w:rPr>
          <w:rFonts w:ascii="Book Antiqua" w:eastAsia="Times New Roman" w:hAnsi="Book Antiqua"/>
          <w:b/>
          <w:sz w:val="20"/>
          <w:szCs w:val="20"/>
        </w:rPr>
        <w:t>(4) Is it unreasonable to expect the child to leave the United Kingdom?</w:t>
      </w:r>
    </w:p>
    <w:p w:rsidR="00430A82" w:rsidRPr="00430A82" w:rsidRDefault="00430A82" w:rsidP="0084508A">
      <w:pPr>
        <w:numPr>
          <w:ilvl w:val="0"/>
          <w:numId w:val="22"/>
        </w:numPr>
        <w:spacing w:before="100" w:beforeAutospacing="1" w:after="100" w:afterAutospacing="1"/>
        <w:ind w:left="1134" w:right="1134"/>
        <w:jc w:val="both"/>
        <w:rPr>
          <w:rFonts w:ascii="Book Antiqua" w:eastAsia="Times New Roman" w:hAnsi="Book Antiqua"/>
          <w:b/>
          <w:sz w:val="20"/>
          <w:szCs w:val="20"/>
        </w:rPr>
      </w:pPr>
      <w:bookmarkStart w:id="5" w:name="para20"/>
      <w:r w:rsidRPr="00430A82">
        <w:rPr>
          <w:rFonts w:ascii="Book Antiqua" w:eastAsia="Times New Roman" w:hAnsi="Book Antiqua"/>
          <w:b/>
          <w:sz w:val="20"/>
          <w:szCs w:val="20"/>
        </w:rPr>
        <w:t xml:space="preserve">If the answer to the first question is no, and to the other three questions is yes, the conclusion must be that article 8 is infringed. </w:t>
      </w:r>
      <w:bookmarkEnd w:id="5"/>
    </w:p>
    <w:p w:rsidR="007C717E" w:rsidRDefault="00430A82" w:rsidP="00677BB6">
      <w:pPr>
        <w:numPr>
          <w:ilvl w:val="0"/>
          <w:numId w:val="1"/>
        </w:numPr>
        <w:tabs>
          <w:tab w:val="left" w:pos="567"/>
        </w:tabs>
        <w:ind w:left="567" w:right="567"/>
        <w:jc w:val="both"/>
        <w:rPr>
          <w:rFonts w:ascii="Book Antiqua" w:hAnsi="Book Antiqua" w:cs="Arial"/>
        </w:rPr>
      </w:pPr>
      <w:r w:rsidRPr="007C717E">
        <w:rPr>
          <w:rFonts w:ascii="Book Antiqua" w:hAnsi="Book Antiqua" w:cs="Arial"/>
        </w:rPr>
        <w:t xml:space="preserve">To that </w:t>
      </w:r>
      <w:r w:rsidR="0040040F" w:rsidRPr="007C717E">
        <w:rPr>
          <w:rFonts w:ascii="Book Antiqua" w:hAnsi="Book Antiqua" w:cs="Arial"/>
        </w:rPr>
        <w:t xml:space="preserve">extent the Court agreed with Mr Justice </w:t>
      </w:r>
      <w:r w:rsidRPr="007C717E">
        <w:rPr>
          <w:rFonts w:ascii="Book Antiqua" w:hAnsi="Book Antiqua" w:cs="Arial"/>
        </w:rPr>
        <w:t>McClo</w:t>
      </w:r>
      <w:r w:rsidR="0040040F" w:rsidRPr="007C717E">
        <w:rPr>
          <w:rFonts w:ascii="Book Antiqua" w:hAnsi="Book Antiqua" w:cs="Arial"/>
        </w:rPr>
        <w:t>skey</w:t>
      </w:r>
      <w:r w:rsidRPr="007C717E">
        <w:rPr>
          <w:rFonts w:ascii="Book Antiqua" w:hAnsi="Book Antiqua" w:cs="Arial"/>
        </w:rPr>
        <w:t xml:space="preserve"> in </w:t>
      </w:r>
      <w:proofErr w:type="spellStart"/>
      <w:r w:rsidRPr="007C717E">
        <w:rPr>
          <w:rFonts w:ascii="Book Antiqua" w:hAnsi="Book Antiqua" w:cs="Arial"/>
          <w:u w:val="single"/>
        </w:rPr>
        <w:t>Treebhowan</w:t>
      </w:r>
      <w:proofErr w:type="spellEnd"/>
      <w:r w:rsidRPr="007C717E">
        <w:rPr>
          <w:rFonts w:ascii="Book Antiqua" w:hAnsi="Book Antiqua" w:cs="Arial"/>
        </w:rPr>
        <w:t xml:space="preserve"> [2015] UKUT 00674</w:t>
      </w:r>
      <w:r w:rsidR="0040040F" w:rsidRPr="007C717E">
        <w:rPr>
          <w:rFonts w:ascii="Book Antiqua" w:hAnsi="Book Antiqua" w:cs="Arial"/>
        </w:rPr>
        <w:t xml:space="preserve"> about the structure of s117B</w:t>
      </w:r>
      <w:r w:rsidRPr="007C717E">
        <w:rPr>
          <w:rFonts w:ascii="Book Antiqua" w:hAnsi="Book Antiqua" w:cs="Arial"/>
        </w:rPr>
        <w:t>.</w:t>
      </w:r>
      <w:r w:rsidR="0040040F" w:rsidRPr="007C717E">
        <w:rPr>
          <w:rFonts w:ascii="Book Antiqua" w:hAnsi="Book Antiqua" w:cs="Arial"/>
        </w:rPr>
        <w:t xml:space="preserve">  Sub-section (6) was of a markedly different nature from the preceding five matters.</w:t>
      </w:r>
      <w:r w:rsidR="007C717E">
        <w:rPr>
          <w:rFonts w:ascii="Book Antiqua" w:hAnsi="Book Antiqua" w:cs="Arial"/>
        </w:rPr>
        <w:t xml:space="preserve"> A finding that it would not be reasonable to expect a qualifying child to leave is, in </w:t>
      </w:r>
      <w:proofErr w:type="gramStart"/>
      <w:r w:rsidR="007C717E">
        <w:rPr>
          <w:rFonts w:ascii="Book Antiqua" w:hAnsi="Book Antiqua" w:cs="Arial"/>
        </w:rPr>
        <w:t>effect,  determinative</w:t>
      </w:r>
      <w:proofErr w:type="gramEnd"/>
      <w:r w:rsidR="007C717E">
        <w:rPr>
          <w:rFonts w:ascii="Book Antiqua" w:hAnsi="Book Antiqua" w:cs="Arial"/>
        </w:rPr>
        <w:t>.</w:t>
      </w:r>
      <w:r w:rsidRPr="007C717E">
        <w:rPr>
          <w:rFonts w:ascii="Book Antiqua" w:hAnsi="Book Antiqua" w:cs="Arial"/>
        </w:rPr>
        <w:t xml:space="preserve"> </w:t>
      </w:r>
      <w:r w:rsidR="007C717E" w:rsidRPr="007C717E">
        <w:rPr>
          <w:rFonts w:ascii="Book Antiqua" w:hAnsi="Book Antiqua" w:cs="Arial"/>
        </w:rPr>
        <w:t xml:space="preserve">  Had the First-tier Tribunal in this case applied its own findings</w:t>
      </w:r>
      <w:r w:rsidR="007C717E">
        <w:rPr>
          <w:rFonts w:ascii="Book Antiqua" w:hAnsi="Book Antiqua" w:cs="Arial"/>
        </w:rPr>
        <w:t>, in particular its §23,</w:t>
      </w:r>
      <w:r w:rsidR="007C717E" w:rsidRPr="007C717E">
        <w:rPr>
          <w:rFonts w:ascii="Book Antiqua" w:hAnsi="Book Antiqua" w:cs="Arial"/>
        </w:rPr>
        <w:t xml:space="preserve"> to the four questions posed by Elias LJ, the Appellant </w:t>
      </w:r>
      <w:r w:rsidR="007C717E">
        <w:rPr>
          <w:rFonts w:ascii="Book Antiqua" w:hAnsi="Book Antiqua" w:cs="Arial"/>
        </w:rPr>
        <w:t xml:space="preserve">would have won his appeal. </w:t>
      </w:r>
      <w:r w:rsidR="00A27D90">
        <w:rPr>
          <w:rFonts w:ascii="Book Antiqua" w:hAnsi="Book Antiqua" w:cs="Arial"/>
        </w:rPr>
        <w:t>It was for this reason that Mr Bates was prepared to concede that the decision should be set aside and remade.</w:t>
      </w:r>
    </w:p>
    <w:p w:rsidR="00A27D90" w:rsidRDefault="00A27D90" w:rsidP="00A27D90">
      <w:pPr>
        <w:tabs>
          <w:tab w:val="left" w:pos="567"/>
        </w:tabs>
        <w:ind w:left="567" w:right="567"/>
        <w:jc w:val="both"/>
        <w:rPr>
          <w:rFonts w:ascii="Book Antiqua" w:hAnsi="Book Antiqua" w:cs="Arial"/>
        </w:rPr>
      </w:pPr>
    </w:p>
    <w:p w:rsidR="00A27D90" w:rsidRPr="00A27D90" w:rsidRDefault="00A27D90" w:rsidP="00A27D90">
      <w:pPr>
        <w:tabs>
          <w:tab w:val="left" w:pos="567"/>
        </w:tabs>
        <w:ind w:left="567" w:right="567"/>
        <w:jc w:val="both"/>
        <w:rPr>
          <w:rFonts w:ascii="Book Antiqua" w:hAnsi="Book Antiqua" w:cs="Arial"/>
          <w:b/>
        </w:rPr>
      </w:pPr>
      <w:r w:rsidRPr="00A27D90">
        <w:rPr>
          <w:rFonts w:ascii="Book Antiqua" w:hAnsi="Book Antiqua" w:cs="Arial"/>
          <w:b/>
        </w:rPr>
        <w:t>The Re-Made Decision</w:t>
      </w:r>
    </w:p>
    <w:p w:rsidR="007C717E" w:rsidRDefault="007C717E" w:rsidP="007C717E">
      <w:pPr>
        <w:tabs>
          <w:tab w:val="left" w:pos="567"/>
        </w:tabs>
        <w:ind w:left="567" w:right="567"/>
        <w:jc w:val="both"/>
        <w:rPr>
          <w:rFonts w:ascii="Book Antiqua" w:hAnsi="Book Antiqua" w:cs="Arial"/>
        </w:rPr>
      </w:pPr>
    </w:p>
    <w:p w:rsidR="00A17061" w:rsidRDefault="00A17061" w:rsidP="00677BB6">
      <w:pPr>
        <w:numPr>
          <w:ilvl w:val="0"/>
          <w:numId w:val="1"/>
        </w:numPr>
        <w:tabs>
          <w:tab w:val="left" w:pos="567"/>
        </w:tabs>
        <w:ind w:left="567" w:right="567"/>
        <w:jc w:val="both"/>
        <w:rPr>
          <w:rFonts w:ascii="Book Antiqua" w:hAnsi="Book Antiqua" w:cs="Arial"/>
        </w:rPr>
      </w:pPr>
      <w:r>
        <w:rPr>
          <w:rFonts w:ascii="Book Antiqua" w:hAnsi="Book Antiqua" w:cs="Arial"/>
        </w:rPr>
        <w:t>I start with the law as it currently stands.</w:t>
      </w:r>
    </w:p>
    <w:p w:rsidR="00A17061" w:rsidRDefault="00A17061" w:rsidP="00A17061">
      <w:pPr>
        <w:tabs>
          <w:tab w:val="left" w:pos="567"/>
        </w:tabs>
        <w:ind w:left="567" w:right="567"/>
        <w:jc w:val="both"/>
        <w:rPr>
          <w:rFonts w:ascii="Book Antiqua" w:hAnsi="Book Antiqua" w:cs="Arial"/>
        </w:rPr>
      </w:pPr>
    </w:p>
    <w:p w:rsidR="00A27D90" w:rsidRDefault="00A27D90" w:rsidP="00677BB6">
      <w:pPr>
        <w:numPr>
          <w:ilvl w:val="0"/>
          <w:numId w:val="1"/>
        </w:numPr>
        <w:tabs>
          <w:tab w:val="left" w:pos="567"/>
        </w:tabs>
        <w:ind w:left="567" w:right="567"/>
        <w:jc w:val="both"/>
        <w:rPr>
          <w:rFonts w:ascii="Book Antiqua" w:hAnsi="Book Antiqua" w:cs="Arial"/>
        </w:rPr>
      </w:pPr>
      <w:r>
        <w:rPr>
          <w:rFonts w:ascii="Book Antiqua" w:hAnsi="Book Antiqua" w:cs="Arial"/>
        </w:rPr>
        <w:t>Beginning with Elias LJ’s first question, it is accepted that the Appellant is not liable to deportation. The relevant framework for assessing proportionality is therefore to be found in s117B.</w:t>
      </w:r>
    </w:p>
    <w:p w:rsidR="00A27D90" w:rsidRDefault="00A27D90" w:rsidP="00A27D90">
      <w:pPr>
        <w:tabs>
          <w:tab w:val="left" w:pos="567"/>
        </w:tabs>
        <w:ind w:left="567" w:right="567"/>
        <w:jc w:val="both"/>
        <w:rPr>
          <w:rFonts w:ascii="Book Antiqua" w:hAnsi="Book Antiqua" w:cs="Arial"/>
        </w:rPr>
      </w:pPr>
    </w:p>
    <w:p w:rsidR="00A27D90" w:rsidRDefault="00A27D90" w:rsidP="00677BB6">
      <w:pPr>
        <w:numPr>
          <w:ilvl w:val="0"/>
          <w:numId w:val="1"/>
        </w:numPr>
        <w:tabs>
          <w:tab w:val="left" w:pos="567"/>
        </w:tabs>
        <w:ind w:left="567" w:right="567"/>
        <w:jc w:val="both"/>
        <w:rPr>
          <w:rFonts w:ascii="Book Antiqua" w:hAnsi="Book Antiqua" w:cs="Arial"/>
        </w:rPr>
      </w:pPr>
      <w:r>
        <w:rPr>
          <w:rFonts w:ascii="Book Antiqua" w:hAnsi="Book Antiqua" w:cs="Arial"/>
        </w:rPr>
        <w:t>At his §</w:t>
      </w:r>
      <w:r w:rsidR="00981D1A">
        <w:rPr>
          <w:rFonts w:ascii="Book Antiqua" w:hAnsi="Book Antiqua" w:cs="Arial"/>
        </w:rPr>
        <w:t>23</w:t>
      </w:r>
      <w:r>
        <w:rPr>
          <w:rFonts w:ascii="Book Antiqua" w:hAnsi="Book Antiqua" w:cs="Arial"/>
        </w:rPr>
        <w:t xml:space="preserve"> Judge Lever accepts that the Appellant enjoys </w:t>
      </w:r>
      <w:r w:rsidR="00981D1A">
        <w:rPr>
          <w:rFonts w:ascii="Book Antiqua" w:hAnsi="Book Antiqua" w:cs="Arial"/>
        </w:rPr>
        <w:t>a genuine and subsisting parental relationship with his stepson. There is no challenge to that finding.</w:t>
      </w:r>
    </w:p>
    <w:p w:rsidR="00981D1A" w:rsidRDefault="00981D1A" w:rsidP="00981D1A">
      <w:pPr>
        <w:pStyle w:val="ListParagraph"/>
        <w:rPr>
          <w:rFonts w:ascii="Book Antiqua" w:hAnsi="Book Antiqua" w:cs="Arial"/>
        </w:rPr>
      </w:pPr>
    </w:p>
    <w:p w:rsidR="00981D1A" w:rsidRDefault="00981D1A" w:rsidP="00A27D90">
      <w:pPr>
        <w:numPr>
          <w:ilvl w:val="0"/>
          <w:numId w:val="1"/>
        </w:numPr>
        <w:tabs>
          <w:tab w:val="left" w:pos="567"/>
        </w:tabs>
        <w:ind w:left="567" w:right="567"/>
        <w:jc w:val="both"/>
        <w:rPr>
          <w:rFonts w:ascii="Book Antiqua" w:hAnsi="Book Antiqua" w:cs="Arial"/>
        </w:rPr>
      </w:pPr>
      <w:r>
        <w:rPr>
          <w:rFonts w:ascii="Book Antiqua" w:hAnsi="Book Antiqua" w:cs="Arial"/>
        </w:rPr>
        <w:t>There is no dispute that D is a ‘qualifying child’ p</w:t>
      </w:r>
      <w:r w:rsidRPr="00981D1A">
        <w:rPr>
          <w:rFonts w:ascii="Book Antiqua" w:hAnsi="Book Antiqua" w:cs="Arial"/>
        </w:rPr>
        <w:t>ursuant to s117D(1)(a) of the 2002 Act</w:t>
      </w:r>
      <w:r>
        <w:rPr>
          <w:rFonts w:ascii="Book Antiqua" w:hAnsi="Book Antiqua" w:cs="Arial"/>
        </w:rPr>
        <w:t>,</w:t>
      </w:r>
      <w:r w:rsidRPr="00981D1A">
        <w:rPr>
          <w:rFonts w:ascii="Book Antiqua" w:hAnsi="Book Antiqua" w:cs="Arial"/>
        </w:rPr>
        <w:t xml:space="preserve"> because he </w:t>
      </w:r>
      <w:r>
        <w:rPr>
          <w:rFonts w:ascii="Book Antiqua" w:hAnsi="Book Antiqua" w:cs="Arial"/>
        </w:rPr>
        <w:t>is British. I should add that D has</w:t>
      </w:r>
      <w:r w:rsidRPr="00981D1A">
        <w:rPr>
          <w:rFonts w:ascii="Book Antiqua" w:hAnsi="Book Antiqua" w:cs="Arial"/>
        </w:rPr>
        <w:t xml:space="preserve"> lived in this country all of his life and at the date of the appeal before </w:t>
      </w:r>
      <w:r>
        <w:rPr>
          <w:rFonts w:ascii="Book Antiqua" w:hAnsi="Book Antiqua" w:cs="Arial"/>
        </w:rPr>
        <w:t>me he nine</w:t>
      </w:r>
      <w:r w:rsidRPr="00981D1A">
        <w:rPr>
          <w:rFonts w:ascii="Book Antiqua" w:hAnsi="Book Antiqua" w:cs="Arial"/>
        </w:rPr>
        <w:t xml:space="preserve"> years old</w:t>
      </w:r>
      <w:r>
        <w:rPr>
          <w:rFonts w:ascii="Book Antiqua" w:hAnsi="Book Antiqua" w:cs="Arial"/>
        </w:rPr>
        <w:t xml:space="preserve">: he therefore </w:t>
      </w:r>
      <w:proofErr w:type="gramStart"/>
      <w:r>
        <w:rPr>
          <w:rFonts w:ascii="Book Antiqua" w:hAnsi="Book Antiqua" w:cs="Arial"/>
        </w:rPr>
        <w:t xml:space="preserve">also </w:t>
      </w:r>
      <w:r w:rsidRPr="00981D1A">
        <w:rPr>
          <w:rFonts w:ascii="Book Antiqua" w:hAnsi="Book Antiqua" w:cs="Arial"/>
        </w:rPr>
        <w:t xml:space="preserve"> ‘</w:t>
      </w:r>
      <w:proofErr w:type="gramEnd"/>
      <w:r w:rsidRPr="00981D1A">
        <w:rPr>
          <w:rFonts w:ascii="Book Antiqua" w:hAnsi="Book Antiqua" w:cs="Arial"/>
        </w:rPr>
        <w:t>quali</w:t>
      </w:r>
      <w:r>
        <w:rPr>
          <w:rFonts w:ascii="Book Antiqua" w:hAnsi="Book Antiqua" w:cs="Arial"/>
        </w:rPr>
        <w:t>fies</w:t>
      </w:r>
      <w:r w:rsidRPr="00981D1A">
        <w:rPr>
          <w:rFonts w:ascii="Book Antiqua" w:hAnsi="Book Antiqua" w:cs="Arial"/>
        </w:rPr>
        <w:t xml:space="preserve">’ on </w:t>
      </w:r>
      <w:r>
        <w:rPr>
          <w:rFonts w:ascii="Book Antiqua" w:hAnsi="Book Antiqua" w:cs="Arial"/>
        </w:rPr>
        <w:t>the basis of his long residence, pursuant to</w:t>
      </w:r>
      <w:r w:rsidRPr="00981D1A">
        <w:rPr>
          <w:rFonts w:ascii="Book Antiqua" w:hAnsi="Book Antiqua" w:cs="Arial"/>
        </w:rPr>
        <w:t xml:space="preserve"> s117B(1)(b).  </w:t>
      </w:r>
    </w:p>
    <w:p w:rsidR="00981D1A" w:rsidRDefault="00981D1A" w:rsidP="00981D1A">
      <w:pPr>
        <w:pStyle w:val="ListParagraph"/>
        <w:rPr>
          <w:rFonts w:ascii="Book Antiqua" w:hAnsi="Book Antiqua" w:cs="Arial"/>
        </w:rPr>
      </w:pPr>
    </w:p>
    <w:p w:rsidR="007C717E" w:rsidRPr="00DA53FB" w:rsidRDefault="00981D1A" w:rsidP="00677BB6">
      <w:pPr>
        <w:numPr>
          <w:ilvl w:val="0"/>
          <w:numId w:val="1"/>
        </w:numPr>
        <w:tabs>
          <w:tab w:val="left" w:pos="567"/>
        </w:tabs>
        <w:ind w:left="567" w:right="567"/>
        <w:jc w:val="both"/>
        <w:rPr>
          <w:rFonts w:ascii="Book Antiqua" w:hAnsi="Book Antiqua" w:cs="Arial"/>
        </w:rPr>
      </w:pPr>
      <w:r w:rsidRPr="00DA53FB">
        <w:rPr>
          <w:rFonts w:ascii="Book Antiqua" w:hAnsi="Book Antiqua" w:cs="Arial"/>
        </w:rPr>
        <w:t xml:space="preserve">In respect of the final </w:t>
      </w:r>
      <w:r w:rsidRPr="00DA53FB">
        <w:rPr>
          <w:rFonts w:ascii="Book Antiqua" w:hAnsi="Book Antiqua" w:cs="Arial"/>
          <w:u w:val="single"/>
        </w:rPr>
        <w:t>MA</w:t>
      </w:r>
      <w:r w:rsidRPr="00DA53FB">
        <w:rPr>
          <w:rFonts w:ascii="Book Antiqua" w:hAnsi="Book Antiqua" w:cs="Arial"/>
        </w:rPr>
        <w:t xml:space="preserve"> question </w:t>
      </w:r>
      <w:r w:rsidR="00A27D90" w:rsidRPr="00DA53FB">
        <w:rPr>
          <w:rFonts w:ascii="Book Antiqua" w:hAnsi="Book Antiqua" w:cs="Arial"/>
        </w:rPr>
        <w:t>M</w:t>
      </w:r>
      <w:r w:rsidRPr="00DA53FB">
        <w:rPr>
          <w:rFonts w:ascii="Book Antiqua" w:hAnsi="Book Antiqua" w:cs="Arial"/>
        </w:rPr>
        <w:t xml:space="preserve">r Holt relies on the finding at </w:t>
      </w:r>
      <w:r w:rsidR="00A27D90" w:rsidRPr="00DA53FB">
        <w:rPr>
          <w:rFonts w:ascii="Book Antiqua" w:hAnsi="Book Antiqua" w:cs="Arial"/>
        </w:rPr>
        <w:t>§</w:t>
      </w:r>
      <w:r w:rsidRPr="00DA53FB">
        <w:rPr>
          <w:rFonts w:ascii="Book Antiqua" w:hAnsi="Book Antiqua" w:cs="Arial"/>
        </w:rPr>
        <w:t>23</w:t>
      </w:r>
      <w:r w:rsidR="00A27D90" w:rsidRPr="00DA53FB">
        <w:rPr>
          <w:rFonts w:ascii="Book Antiqua" w:hAnsi="Book Antiqua" w:cs="Arial"/>
        </w:rPr>
        <w:t xml:space="preserve"> of the First-tier Tribunal decision that </w:t>
      </w:r>
      <w:r w:rsidRPr="00DA53FB">
        <w:rPr>
          <w:rFonts w:ascii="Book Antiqua" w:hAnsi="Book Antiqua" w:cs="Arial"/>
        </w:rPr>
        <w:t>it would not be reasonable to expect D to leave</w:t>
      </w:r>
      <w:r w:rsidR="00DA53FB" w:rsidRPr="00DA53FB">
        <w:rPr>
          <w:rFonts w:ascii="Book Antiqua" w:hAnsi="Book Antiqua" w:cs="Arial"/>
        </w:rPr>
        <w:t xml:space="preserve">, and invites me to </w:t>
      </w:r>
      <w:r w:rsidR="007C717E" w:rsidRPr="00DA53FB">
        <w:rPr>
          <w:rFonts w:ascii="Book Antiqua" w:hAnsi="Book Antiqua" w:cs="Arial"/>
        </w:rPr>
        <w:t>simply su</w:t>
      </w:r>
      <w:r w:rsidR="00DA53FB" w:rsidRPr="00DA53FB">
        <w:rPr>
          <w:rFonts w:ascii="Book Antiqua" w:hAnsi="Book Antiqua" w:cs="Arial"/>
        </w:rPr>
        <w:t>bstitute</w:t>
      </w:r>
      <w:r w:rsidR="007C717E" w:rsidRPr="00DA53FB">
        <w:rPr>
          <w:rFonts w:ascii="Book Antiqua" w:hAnsi="Book Antiqua" w:cs="Arial"/>
        </w:rPr>
        <w:t xml:space="preserve"> Judge Lever’s conclusion for one allowing </w:t>
      </w:r>
      <w:r w:rsidR="00DA53FB" w:rsidRPr="00DA53FB">
        <w:rPr>
          <w:rFonts w:ascii="Book Antiqua" w:hAnsi="Book Antiqua" w:cs="Arial"/>
        </w:rPr>
        <w:t>the appeal on this basis.   I am not prepared to do that.</w:t>
      </w:r>
      <w:r w:rsidR="00DA53FB">
        <w:rPr>
          <w:rFonts w:ascii="Book Antiqua" w:hAnsi="Book Antiqua" w:cs="Arial"/>
        </w:rPr>
        <w:t xml:space="preserve">   </w:t>
      </w:r>
      <w:r w:rsidR="007C717E" w:rsidRPr="00DA53FB">
        <w:rPr>
          <w:rFonts w:ascii="Book Antiqua" w:hAnsi="Book Antiqua" w:cs="Arial"/>
        </w:rPr>
        <w:t>That is because it is unclear from Judge Lever’s reasoning whether he was in fact satisfied that it would be unreasonable to expect this child to leave the UK: his §23 is fundamentally contradictory to all that follows it.</w:t>
      </w:r>
      <w:r w:rsidR="00DA53FB">
        <w:rPr>
          <w:rFonts w:ascii="Book Antiqua" w:hAnsi="Book Antiqua" w:cs="Arial"/>
        </w:rPr>
        <w:t xml:space="preserve"> </w:t>
      </w:r>
    </w:p>
    <w:p w:rsidR="007C717E" w:rsidRDefault="007C717E" w:rsidP="007C717E">
      <w:pPr>
        <w:pStyle w:val="ListParagraph"/>
        <w:rPr>
          <w:rFonts w:ascii="Book Antiqua" w:hAnsi="Book Antiqua" w:cs="Arial"/>
        </w:rPr>
      </w:pPr>
    </w:p>
    <w:p w:rsidR="00615B98" w:rsidRPr="00AE73AF" w:rsidRDefault="007C717E" w:rsidP="00AE73AF">
      <w:pPr>
        <w:numPr>
          <w:ilvl w:val="0"/>
          <w:numId w:val="1"/>
        </w:numPr>
        <w:tabs>
          <w:tab w:val="left" w:pos="567"/>
        </w:tabs>
        <w:ind w:left="567" w:right="567"/>
        <w:jc w:val="both"/>
        <w:rPr>
          <w:rFonts w:ascii="Book Antiqua" w:hAnsi="Book Antiqua" w:cs="Arial"/>
        </w:rPr>
      </w:pPr>
      <w:r>
        <w:rPr>
          <w:rFonts w:ascii="Book Antiqua" w:hAnsi="Book Antiqua" w:cs="Arial"/>
        </w:rPr>
        <w:t xml:space="preserve">What was the proper approach to the question of reasonableness? Having adopted the </w:t>
      </w:r>
      <w:proofErr w:type="spellStart"/>
      <w:r w:rsidRPr="0040040F">
        <w:rPr>
          <w:rFonts w:ascii="Book Antiqua" w:hAnsi="Book Antiqua" w:cs="Arial"/>
          <w:u w:val="single"/>
        </w:rPr>
        <w:t>Treebhowan</w:t>
      </w:r>
      <w:proofErr w:type="spellEnd"/>
      <w:r w:rsidR="00DA53FB">
        <w:rPr>
          <w:rFonts w:ascii="Book Antiqua" w:hAnsi="Book Antiqua" w:cs="Arial"/>
        </w:rPr>
        <w:t xml:space="preserve"> structural analysis</w:t>
      </w:r>
      <w:r w:rsidRPr="007C717E">
        <w:rPr>
          <w:rFonts w:ascii="Book Antiqua" w:hAnsi="Book Antiqua" w:cs="Arial"/>
        </w:rPr>
        <w:t xml:space="preserve"> of s117B the Court of Appeal in </w:t>
      </w:r>
      <w:r w:rsidRPr="00A27D90">
        <w:rPr>
          <w:rFonts w:ascii="Book Antiqua" w:hAnsi="Book Antiqua" w:cs="Arial"/>
          <w:u w:val="single"/>
        </w:rPr>
        <w:t>MA</w:t>
      </w:r>
      <w:r w:rsidR="00A27D90">
        <w:rPr>
          <w:rFonts w:ascii="Book Antiqua" w:hAnsi="Book Antiqua" w:cs="Arial"/>
        </w:rPr>
        <w:t xml:space="preserve"> went on to disagree with McCloskey J about wh</w:t>
      </w:r>
      <w:r w:rsidR="00430A82" w:rsidRPr="00A27D90">
        <w:rPr>
          <w:rFonts w:ascii="Book Antiqua" w:hAnsi="Book Antiqua" w:cs="Arial"/>
        </w:rPr>
        <w:t xml:space="preserve">at matters </w:t>
      </w:r>
      <w:r w:rsidR="00A27D90">
        <w:rPr>
          <w:rFonts w:ascii="Book Antiqua" w:hAnsi="Book Antiqua" w:cs="Arial"/>
        </w:rPr>
        <w:t xml:space="preserve">were relevant to that enquiry.  McCloskey J </w:t>
      </w:r>
      <w:r w:rsidR="0040040F" w:rsidRPr="00A27D90">
        <w:rPr>
          <w:rFonts w:ascii="Book Antiqua" w:hAnsi="Book Antiqua" w:cs="Arial"/>
        </w:rPr>
        <w:t>had suggested that the</w:t>
      </w:r>
      <w:r w:rsidR="00430A82" w:rsidRPr="00A27D90">
        <w:rPr>
          <w:rFonts w:ascii="Book Antiqua" w:hAnsi="Book Antiqua" w:cs="Arial"/>
        </w:rPr>
        <w:t xml:space="preserve"> question was to be answered solely with reference to the child</w:t>
      </w:r>
      <w:r w:rsidR="00A27D90">
        <w:rPr>
          <w:rFonts w:ascii="Book Antiqua" w:hAnsi="Book Antiqua" w:cs="Arial"/>
        </w:rPr>
        <w:t>, and his best interests</w:t>
      </w:r>
      <w:r w:rsidR="00430A82" w:rsidRPr="00A27D90">
        <w:rPr>
          <w:rFonts w:ascii="Book Antiqua" w:hAnsi="Book Antiqua" w:cs="Arial"/>
        </w:rPr>
        <w:t>.</w:t>
      </w:r>
      <w:r w:rsidR="00A27D90">
        <w:rPr>
          <w:rFonts w:ascii="Book Antiqua" w:hAnsi="Book Antiqua" w:cs="Arial"/>
        </w:rPr>
        <w:t xml:space="preserve"> The Court, with some reluctance, rejected that analysis. </w:t>
      </w:r>
      <w:r w:rsidR="00430A82" w:rsidRPr="00A27D90">
        <w:rPr>
          <w:rFonts w:ascii="Book Antiqua" w:hAnsi="Book Antiqua" w:cs="Arial"/>
        </w:rPr>
        <w:t xml:space="preserve"> Drawing an analogy with the approach taken </w:t>
      </w:r>
      <w:r w:rsidR="00430A82" w:rsidRPr="00A27D90">
        <w:rPr>
          <w:rFonts w:ascii="Book Antiqua" w:hAnsi="Book Antiqua" w:cs="Arial"/>
        </w:rPr>
        <w:lastRenderedPageBreak/>
        <w:t>in deportation appeals to the test</w:t>
      </w:r>
      <w:r w:rsidR="0040040F" w:rsidRPr="00A27D90">
        <w:rPr>
          <w:rFonts w:ascii="Book Antiqua" w:hAnsi="Book Antiqua" w:cs="Arial"/>
        </w:rPr>
        <w:t xml:space="preserve"> of “undue harshness”, the Court of Appeal</w:t>
      </w:r>
      <w:r w:rsidR="00430A82" w:rsidRPr="00A27D90">
        <w:rPr>
          <w:rFonts w:ascii="Book Antiqua" w:hAnsi="Book Antiqua" w:cs="Arial"/>
        </w:rPr>
        <w:t xml:space="preserve"> was </w:t>
      </w:r>
      <w:r w:rsidR="00DA53FB">
        <w:rPr>
          <w:rFonts w:ascii="Book Antiqua" w:hAnsi="Book Antiqua" w:cs="Arial"/>
        </w:rPr>
        <w:t xml:space="preserve">persuaded </w:t>
      </w:r>
      <w:r w:rsidR="00430A82" w:rsidRPr="00A27D90">
        <w:rPr>
          <w:rFonts w:ascii="Book Antiqua" w:hAnsi="Book Antiqua" w:cs="Arial"/>
        </w:rPr>
        <w:t>that the Secretary of State was correct in her contention that the test in fact required the public interest to be weighed into the balance</w:t>
      </w:r>
      <w:r w:rsidR="0040040F" w:rsidRPr="00A27D90">
        <w:rPr>
          <w:rFonts w:ascii="Book Antiqua" w:hAnsi="Book Antiqua" w:cs="Arial"/>
        </w:rPr>
        <w:t xml:space="preserve"> </w:t>
      </w:r>
      <w:r w:rsidR="0040040F" w:rsidRPr="00DA53FB">
        <w:rPr>
          <w:rFonts w:ascii="Book Antiqua" w:hAnsi="Book Antiqua" w:cs="Arial"/>
        </w:rPr>
        <w:t xml:space="preserve">when considering </w:t>
      </w:r>
      <w:r w:rsidR="00DA53FB">
        <w:rPr>
          <w:rFonts w:ascii="Book Antiqua" w:hAnsi="Book Antiqua" w:cs="Arial"/>
        </w:rPr>
        <w:t>‘</w:t>
      </w:r>
      <w:r w:rsidR="0040040F" w:rsidRPr="00DA53FB">
        <w:rPr>
          <w:rFonts w:ascii="Book Antiqua" w:hAnsi="Book Antiqua" w:cs="Arial"/>
        </w:rPr>
        <w:t>reasonableness</w:t>
      </w:r>
      <w:r w:rsidR="00DA53FB">
        <w:rPr>
          <w:rFonts w:ascii="Book Antiqua" w:hAnsi="Book Antiqua" w:cs="Arial"/>
        </w:rPr>
        <w:t>’</w:t>
      </w:r>
      <w:r w:rsidR="00430A82" w:rsidRPr="00A27D90">
        <w:rPr>
          <w:rFonts w:ascii="Book Antiqua" w:hAnsi="Book Antiqua" w:cs="Arial"/>
        </w:rPr>
        <w:t>.  This w</w:t>
      </w:r>
      <w:r w:rsidR="00DA53FB">
        <w:rPr>
          <w:rFonts w:ascii="Book Antiqua" w:hAnsi="Book Antiqua" w:cs="Arial"/>
        </w:rPr>
        <w:t xml:space="preserve">ould include all the pertinent </w:t>
      </w:r>
      <w:r w:rsidR="00430A82" w:rsidRPr="00A27D90">
        <w:rPr>
          <w:rFonts w:ascii="Book Antiqua" w:hAnsi="Book Antiqua" w:cs="Arial"/>
        </w:rPr>
        <w:t>matters set out at s117</w:t>
      </w:r>
      <w:proofErr w:type="gramStart"/>
      <w:r w:rsidR="00430A82" w:rsidRPr="00A27D90">
        <w:rPr>
          <w:rFonts w:ascii="Book Antiqua" w:hAnsi="Book Antiqua" w:cs="Arial"/>
        </w:rPr>
        <w:t>B(</w:t>
      </w:r>
      <w:proofErr w:type="gramEnd"/>
      <w:r w:rsidR="00430A82" w:rsidRPr="00A27D90">
        <w:rPr>
          <w:rFonts w:ascii="Book Antiqua" w:hAnsi="Book Antiqua" w:cs="Arial"/>
        </w:rPr>
        <w:t>1)-(5), as well as any other ‘suitability’ issues such as those</w:t>
      </w:r>
      <w:r w:rsidR="0040040F" w:rsidRPr="00A27D90">
        <w:rPr>
          <w:rFonts w:ascii="Book Antiqua" w:hAnsi="Book Antiqua" w:cs="Arial"/>
        </w:rPr>
        <w:t xml:space="preserve"> identified by the First-tier Tribunal in this appeal.</w:t>
      </w:r>
      <w:r w:rsidR="00AE73AF">
        <w:rPr>
          <w:rFonts w:ascii="Book Antiqua" w:hAnsi="Book Antiqua" w:cs="Arial"/>
        </w:rPr>
        <w:t xml:space="preserve">  The Court was however clear that the public interest in s117B cases was materially different from that weighing against persons subject to deportation, where s117C would be applied. For the latter the effect of the statute created a presumption in favour of deportation. For the </w:t>
      </w:r>
      <w:proofErr w:type="gramStart"/>
      <w:r w:rsidR="00AE73AF">
        <w:rPr>
          <w:rFonts w:ascii="Book Antiqua" w:hAnsi="Book Antiqua" w:cs="Arial"/>
        </w:rPr>
        <w:t>former,  the</w:t>
      </w:r>
      <w:proofErr w:type="gramEnd"/>
      <w:r w:rsidR="00AE73AF">
        <w:rPr>
          <w:rFonts w:ascii="Book Antiqua" w:hAnsi="Book Antiqua" w:cs="Arial"/>
        </w:rPr>
        <w:t xml:space="preserve"> statute read in line with existing jurisprudence, did just the opposite: </w:t>
      </w:r>
      <w:r w:rsidR="00842705" w:rsidRPr="00AE73AF">
        <w:rPr>
          <w:rFonts w:ascii="Book Antiqua" w:hAnsi="Book Antiqua" w:cs="Arial"/>
        </w:rPr>
        <w:t xml:space="preserve">At paragraph 46 </w:t>
      </w:r>
      <w:r w:rsidR="00787711" w:rsidRPr="00AE73AF">
        <w:rPr>
          <w:rFonts w:ascii="Book Antiqua" w:hAnsi="Book Antiqua" w:cs="Arial"/>
        </w:rPr>
        <w:t>Elias L</w:t>
      </w:r>
      <w:r w:rsidR="00AE73AF">
        <w:rPr>
          <w:rFonts w:ascii="Book Antiqua" w:hAnsi="Book Antiqua" w:cs="Arial"/>
        </w:rPr>
        <w:t>J says</w:t>
      </w:r>
      <w:r w:rsidR="00842705" w:rsidRPr="00AE73AF">
        <w:rPr>
          <w:rFonts w:ascii="Book Antiqua" w:hAnsi="Book Antiqua" w:cs="Arial"/>
        </w:rPr>
        <w:t xml:space="preserve"> this</w:t>
      </w:r>
      <w:r w:rsidR="00787711" w:rsidRPr="00AE73AF">
        <w:rPr>
          <w:rFonts w:ascii="Book Antiqua" w:hAnsi="Book Antiqua" w:cs="Arial"/>
        </w:rPr>
        <w:t>:</w:t>
      </w:r>
    </w:p>
    <w:p w:rsidR="00133C71" w:rsidRDefault="00133C71" w:rsidP="00133C71">
      <w:pPr>
        <w:pStyle w:val="ListParagraph"/>
        <w:rPr>
          <w:rFonts w:ascii="Book Antiqua" w:hAnsi="Book Antiqua" w:cs="Arial"/>
        </w:rPr>
      </w:pPr>
    </w:p>
    <w:p w:rsidR="00133C71" w:rsidRPr="00787711" w:rsidRDefault="00133C71" w:rsidP="00133C71">
      <w:pPr>
        <w:pStyle w:val="ListParagraph"/>
        <w:ind w:left="1134" w:right="1134"/>
        <w:jc w:val="both"/>
        <w:rPr>
          <w:rFonts w:ascii="Book Antiqua" w:hAnsi="Book Antiqua" w:cs="Arial"/>
          <w:sz w:val="20"/>
          <w:szCs w:val="20"/>
        </w:rPr>
      </w:pPr>
      <w:bookmarkStart w:id="6" w:name="para46"/>
      <w:r w:rsidRPr="00787711">
        <w:rPr>
          <w:rFonts w:ascii="Book Antiqua" w:hAnsi="Book Antiqua"/>
          <w:sz w:val="20"/>
          <w:szCs w:val="20"/>
        </w:rPr>
        <w:t>“Even on the approach of the Secretary of State, the fact that a child has been here for seven years must be given significant weight when carrying out the proportionality exercise. Indeed, the Secretary of State published guidance in August 2015 in the form of Immigration Directorate Instructions entitled "</w:t>
      </w:r>
      <w:r w:rsidRPr="00133C71">
        <w:rPr>
          <w:rFonts w:ascii="Book Antiqua" w:hAnsi="Book Antiqua"/>
          <w:i/>
          <w:sz w:val="20"/>
          <w:szCs w:val="20"/>
        </w:rPr>
        <w:t>Family Life (as a partner or parent) and Private Life: 10 Year Routes</w:t>
      </w:r>
      <w:r w:rsidRPr="00787711">
        <w:rPr>
          <w:rFonts w:ascii="Book Antiqua" w:hAnsi="Book Antiqua"/>
          <w:sz w:val="20"/>
          <w:szCs w:val="20"/>
        </w:rPr>
        <w:t xml:space="preserve">" in which it is expressly stated that once the seven years' residence requirement is satisfied, </w:t>
      </w:r>
      <w:r w:rsidRPr="00D44173">
        <w:rPr>
          <w:rFonts w:ascii="Book Antiqua" w:hAnsi="Book Antiqua"/>
          <w:b/>
          <w:sz w:val="20"/>
          <w:szCs w:val="20"/>
        </w:rPr>
        <w:t>there need to be "strong reasons" for refusing leave</w:t>
      </w:r>
      <w:r w:rsidRPr="00787711">
        <w:rPr>
          <w:rFonts w:ascii="Book Antiqua" w:hAnsi="Book Antiqua"/>
          <w:sz w:val="20"/>
          <w:szCs w:val="20"/>
        </w:rPr>
        <w:t xml:space="preserve"> (para. 11.2.4). </w:t>
      </w:r>
      <w:r w:rsidRPr="00D44173">
        <w:rPr>
          <w:rFonts w:ascii="Book Antiqua" w:hAnsi="Book Antiqua"/>
          <w:b/>
          <w:sz w:val="20"/>
          <w:szCs w:val="20"/>
        </w:rPr>
        <w:t xml:space="preserve">These instructions were not in force when the cases now subject to appeal were determined, but in my </w:t>
      </w:r>
      <w:proofErr w:type="gramStart"/>
      <w:r w:rsidRPr="00D44173">
        <w:rPr>
          <w:rFonts w:ascii="Book Antiqua" w:hAnsi="Book Antiqua"/>
          <w:b/>
          <w:sz w:val="20"/>
          <w:szCs w:val="20"/>
        </w:rPr>
        <w:t>view</w:t>
      </w:r>
      <w:proofErr w:type="gramEnd"/>
      <w:r w:rsidRPr="00D44173">
        <w:rPr>
          <w:rFonts w:ascii="Book Antiqua" w:hAnsi="Book Antiqua"/>
          <w:b/>
          <w:sz w:val="20"/>
          <w:szCs w:val="20"/>
        </w:rPr>
        <w:t xml:space="preserve"> they merely confirm what is implicit in adopting a policy of this nature. After such a period of time the child will have put down roots and developed social, cultural and educational links in the UK such that it is likely to be highly disruptive if the child is required to leave the UK. That may be less so when the children are very young because the focus of their lives will be on their families, but the disruption becomes more serious as they get older. Moreover, in these cases there must be a very strong expectation that the child's best interests will be to remain in the UK</w:t>
      </w:r>
      <w:r w:rsidRPr="00787711">
        <w:rPr>
          <w:rFonts w:ascii="Book Antiqua" w:hAnsi="Book Antiqua"/>
          <w:sz w:val="20"/>
          <w:szCs w:val="20"/>
        </w:rPr>
        <w:t xml:space="preserve"> with his parents as part of a family unit, and that must rank as a primary consideration in the proportionality assessment</w:t>
      </w:r>
      <w:r>
        <w:rPr>
          <w:rFonts w:ascii="Book Antiqua" w:hAnsi="Book Antiqua"/>
          <w:sz w:val="20"/>
          <w:szCs w:val="20"/>
        </w:rPr>
        <w:t>”</w:t>
      </w:r>
      <w:r w:rsidRPr="00787711">
        <w:rPr>
          <w:rFonts w:ascii="Book Antiqua" w:hAnsi="Book Antiqua"/>
          <w:sz w:val="20"/>
          <w:szCs w:val="20"/>
        </w:rPr>
        <w:t>.</w:t>
      </w:r>
      <w:bookmarkEnd w:id="6"/>
    </w:p>
    <w:p w:rsidR="00133C71" w:rsidRDefault="00133C71" w:rsidP="00133C71">
      <w:pPr>
        <w:pStyle w:val="ListParagraph"/>
        <w:rPr>
          <w:rFonts w:ascii="Book Antiqua" w:hAnsi="Book Antiqua" w:cs="Arial"/>
        </w:rPr>
      </w:pPr>
    </w:p>
    <w:p w:rsidR="00133C71" w:rsidRDefault="00133C71" w:rsidP="00615B98">
      <w:pPr>
        <w:numPr>
          <w:ilvl w:val="0"/>
          <w:numId w:val="1"/>
        </w:numPr>
        <w:tabs>
          <w:tab w:val="left" w:pos="567"/>
        </w:tabs>
        <w:ind w:left="567" w:right="567"/>
        <w:jc w:val="both"/>
        <w:rPr>
          <w:rFonts w:ascii="Book Antiqua" w:hAnsi="Book Antiqua" w:cs="Arial"/>
        </w:rPr>
      </w:pPr>
      <w:r>
        <w:rPr>
          <w:rFonts w:ascii="Book Antiqua" w:hAnsi="Book Antiqua" w:cs="Arial"/>
        </w:rPr>
        <w:t>The Court go</w:t>
      </w:r>
      <w:r w:rsidR="00842705">
        <w:rPr>
          <w:rFonts w:ascii="Book Antiqua" w:hAnsi="Book Antiqua" w:cs="Arial"/>
        </w:rPr>
        <w:t>es</w:t>
      </w:r>
      <w:r>
        <w:rPr>
          <w:rFonts w:ascii="Book Antiqua" w:hAnsi="Book Antiqua" w:cs="Arial"/>
        </w:rPr>
        <w:t xml:space="preserve"> on at paragraph 49 to conclude: </w:t>
      </w:r>
    </w:p>
    <w:p w:rsidR="00787711" w:rsidRPr="00133C71" w:rsidRDefault="00787711" w:rsidP="00133C71">
      <w:pPr>
        <w:pStyle w:val="ListParagraph"/>
        <w:ind w:left="1134" w:right="1134"/>
        <w:rPr>
          <w:rFonts w:ascii="Book Antiqua" w:hAnsi="Book Antiqua" w:cs="Arial"/>
          <w:sz w:val="20"/>
          <w:szCs w:val="20"/>
        </w:rPr>
      </w:pPr>
    </w:p>
    <w:p w:rsidR="00787711" w:rsidRPr="00133C71" w:rsidRDefault="00133C71" w:rsidP="00133C71">
      <w:pPr>
        <w:pStyle w:val="ListParagraph"/>
        <w:ind w:left="1134" w:right="1134"/>
        <w:jc w:val="both"/>
        <w:rPr>
          <w:rFonts w:ascii="Book Antiqua" w:hAnsi="Book Antiqua"/>
          <w:sz w:val="20"/>
          <w:szCs w:val="20"/>
        </w:rPr>
      </w:pPr>
      <w:bookmarkStart w:id="7" w:name="para49"/>
      <w:r w:rsidRPr="00133C71">
        <w:rPr>
          <w:rFonts w:ascii="Book Antiqua" w:hAnsi="Book Antiqua"/>
          <w:sz w:val="20"/>
          <w:szCs w:val="20"/>
        </w:rPr>
        <w:t>“</w:t>
      </w:r>
      <w:r w:rsidR="00787711" w:rsidRPr="00133C71">
        <w:rPr>
          <w:rFonts w:ascii="Book Antiqua" w:hAnsi="Book Antiqua"/>
          <w:sz w:val="20"/>
          <w:szCs w:val="20"/>
        </w:rPr>
        <w:t xml:space="preserve">the fact that the child has been in the UK for seven years would need to be given significant weight in the proportionality exercise for two related reasons: first, because of its relevance to determining the nature and strength of the child's best interests; and </w:t>
      </w:r>
      <w:r w:rsidR="00787711" w:rsidRPr="00F87538">
        <w:rPr>
          <w:rFonts w:ascii="Book Antiqua" w:hAnsi="Book Antiqua"/>
          <w:b/>
          <w:sz w:val="20"/>
          <w:szCs w:val="20"/>
        </w:rPr>
        <w:t>second, because it establishes as a starting point that leave should be granted unless there are powerful reasons to the contrary</w:t>
      </w:r>
      <w:bookmarkEnd w:id="7"/>
      <w:r w:rsidRPr="00133C71">
        <w:rPr>
          <w:rFonts w:ascii="Book Antiqua" w:hAnsi="Book Antiqua"/>
          <w:sz w:val="20"/>
          <w:szCs w:val="20"/>
        </w:rPr>
        <w:t>”.</w:t>
      </w:r>
    </w:p>
    <w:p w:rsidR="00787711" w:rsidRDefault="00787711" w:rsidP="00615B98">
      <w:pPr>
        <w:pStyle w:val="ListParagraph"/>
        <w:rPr>
          <w:rFonts w:ascii="Book Antiqua" w:hAnsi="Book Antiqua" w:cs="Arial"/>
        </w:rPr>
      </w:pPr>
    </w:p>
    <w:p w:rsidR="00842705" w:rsidRDefault="00A17061" w:rsidP="002D0D30">
      <w:pPr>
        <w:numPr>
          <w:ilvl w:val="0"/>
          <w:numId w:val="1"/>
        </w:numPr>
        <w:tabs>
          <w:tab w:val="left" w:pos="567"/>
        </w:tabs>
        <w:ind w:left="567" w:right="567"/>
        <w:jc w:val="both"/>
        <w:rPr>
          <w:rFonts w:ascii="Book Antiqua" w:hAnsi="Book Antiqua" w:cs="Arial"/>
        </w:rPr>
      </w:pPr>
      <w:r>
        <w:rPr>
          <w:rFonts w:ascii="Book Antiqua" w:hAnsi="Book Antiqua" w:cs="Arial"/>
        </w:rPr>
        <w:t>Do such ‘powerful reasons’ exist in this case? The First-tier Tribunal identified the following factors weighing against the Appellant</w:t>
      </w:r>
      <w:r w:rsidR="00EA6099">
        <w:rPr>
          <w:rFonts w:ascii="Book Antiqua" w:hAnsi="Book Antiqua" w:cs="Arial"/>
        </w:rPr>
        <w:t>: he</w:t>
      </w:r>
      <w:r w:rsidR="002D0D30">
        <w:rPr>
          <w:rFonts w:ascii="Book Antiqua" w:hAnsi="Book Antiqua" w:cs="Arial"/>
        </w:rPr>
        <w:t xml:space="preserve"> has a poor </w:t>
      </w:r>
      <w:r w:rsidR="002D0D30" w:rsidRPr="002D0D30">
        <w:rPr>
          <w:rFonts w:ascii="Book Antiqua" w:hAnsi="Book Antiqua" w:cs="Arial"/>
        </w:rPr>
        <w:t>immigration history</w:t>
      </w:r>
      <w:r w:rsidR="002D0D30">
        <w:rPr>
          <w:rFonts w:ascii="Book Antiqua" w:hAnsi="Book Antiqua" w:cs="Arial"/>
        </w:rPr>
        <w:t xml:space="preserve">, and the </w:t>
      </w:r>
      <w:r w:rsidR="002D0D30" w:rsidRPr="002D0D30">
        <w:rPr>
          <w:rFonts w:ascii="Book Antiqua" w:hAnsi="Book Antiqua" w:cs="Arial"/>
        </w:rPr>
        <w:t xml:space="preserve">overwhelming impression </w:t>
      </w:r>
      <w:r w:rsidR="002D0D30">
        <w:rPr>
          <w:rFonts w:ascii="Book Antiqua" w:hAnsi="Book Antiqua" w:cs="Arial"/>
        </w:rPr>
        <w:t xml:space="preserve">created by his past conduct is </w:t>
      </w:r>
      <w:r w:rsidR="002D0D30" w:rsidRPr="002D0D30">
        <w:rPr>
          <w:rFonts w:ascii="Book Antiqua" w:hAnsi="Book Antiqua" w:cs="Arial"/>
        </w:rPr>
        <w:t>that this is an individual who has attempted to remain in the UK by using any mechanism available to him.</w:t>
      </w:r>
    </w:p>
    <w:p w:rsidR="00F1674B" w:rsidRDefault="00F1674B" w:rsidP="00F1674B">
      <w:pPr>
        <w:tabs>
          <w:tab w:val="left" w:pos="567"/>
        </w:tabs>
        <w:ind w:left="567" w:right="567"/>
        <w:jc w:val="both"/>
        <w:rPr>
          <w:rFonts w:ascii="Book Antiqua" w:hAnsi="Book Antiqua" w:cs="Arial"/>
        </w:rPr>
      </w:pPr>
    </w:p>
    <w:p w:rsidR="00F1674B" w:rsidRPr="00EA6099" w:rsidRDefault="00F1674B" w:rsidP="00677BB6">
      <w:pPr>
        <w:numPr>
          <w:ilvl w:val="0"/>
          <w:numId w:val="1"/>
        </w:numPr>
        <w:tabs>
          <w:tab w:val="left" w:pos="567"/>
        </w:tabs>
        <w:ind w:left="567" w:right="567"/>
        <w:jc w:val="both"/>
        <w:rPr>
          <w:rFonts w:ascii="Book Antiqua" w:hAnsi="Book Antiqua" w:cs="Arial"/>
        </w:rPr>
      </w:pPr>
      <w:r w:rsidRPr="00677BB6">
        <w:rPr>
          <w:rFonts w:ascii="Book Antiqua" w:hAnsi="Book Antiqua" w:cs="Arial"/>
        </w:rPr>
        <w:t>Whether a poor immigration history is capable of amounting to a ‘powerful reason’ is a matter of fact and degree. It is implicit that any applicant seeking leave to remain on Article 8 grounds, and placing reliance on s.117</w:t>
      </w:r>
      <w:proofErr w:type="gramStart"/>
      <w:r w:rsidRPr="00677BB6">
        <w:rPr>
          <w:rFonts w:ascii="Book Antiqua" w:hAnsi="Book Antiqua" w:cs="Arial"/>
        </w:rPr>
        <w:t>B(</w:t>
      </w:r>
      <w:proofErr w:type="gramEnd"/>
      <w:r w:rsidRPr="00677BB6">
        <w:rPr>
          <w:rFonts w:ascii="Book Antiqua" w:hAnsi="Book Antiqua" w:cs="Arial"/>
        </w:rPr>
        <w:t xml:space="preserve">6), must be in the UK without leave;  the mere fact of being an overstayer cannot therefore defeat a claim.  On the other end of the scale it is arguable that where an individual has repeatedly set out to frustrate the intentions of the rules, who has </w:t>
      </w:r>
      <w:r w:rsidRPr="00677BB6">
        <w:rPr>
          <w:rFonts w:ascii="Book Antiqua" w:hAnsi="Book Antiqua" w:cs="Arial"/>
        </w:rPr>
        <w:lastRenderedPageBreak/>
        <w:t xml:space="preserve">used deception or otherwise flagrantly circumvented immigration control, the ‘powerful reasons’ looked </w:t>
      </w:r>
      <w:r w:rsidR="00677BB6">
        <w:rPr>
          <w:rFonts w:ascii="Book Antiqua" w:hAnsi="Book Antiqua" w:cs="Arial"/>
        </w:rPr>
        <w:t>for by the Court of Appeal might</w:t>
      </w:r>
      <w:r w:rsidRPr="00677BB6">
        <w:rPr>
          <w:rFonts w:ascii="Book Antiqua" w:hAnsi="Book Antiqua" w:cs="Arial"/>
        </w:rPr>
        <w:t xml:space="preserve"> exist. In the recent Presidential </w:t>
      </w:r>
      <w:r w:rsidR="00677BB6" w:rsidRPr="00677BB6">
        <w:rPr>
          <w:rFonts w:ascii="Book Antiqua" w:hAnsi="Book Antiqua" w:cs="Arial"/>
        </w:rPr>
        <w:t xml:space="preserve">decision </w:t>
      </w:r>
      <w:proofErr w:type="gramStart"/>
      <w:r w:rsidR="00677BB6" w:rsidRPr="00677BB6">
        <w:rPr>
          <w:rFonts w:ascii="Book Antiqua" w:hAnsi="Book Antiqua" w:cs="Arial"/>
        </w:rPr>
        <w:t xml:space="preserve">of </w:t>
      </w:r>
      <w:r w:rsidR="00677BB6">
        <w:rPr>
          <w:rFonts w:ascii="Book Antiqua" w:hAnsi="Book Antiqua" w:cs="Arial"/>
        </w:rPr>
        <w:t xml:space="preserve"> </w:t>
      </w:r>
      <w:r w:rsidRPr="00677BB6">
        <w:rPr>
          <w:rFonts w:ascii="Book Antiqua" w:hAnsi="Book Antiqua" w:cs="Arial"/>
          <w:color w:val="000000"/>
          <w:u w:val="single"/>
        </w:rPr>
        <w:t>MT</w:t>
      </w:r>
      <w:proofErr w:type="gramEnd"/>
      <w:r w:rsidRPr="00677BB6">
        <w:rPr>
          <w:rFonts w:ascii="Book Antiqua" w:hAnsi="Book Antiqua" w:cs="Arial"/>
          <w:color w:val="000000"/>
          <w:u w:val="single"/>
        </w:rPr>
        <w:t xml:space="preserve"> and ET (child’s best interests; </w:t>
      </w:r>
      <w:r w:rsidRPr="00677BB6">
        <w:rPr>
          <w:rFonts w:ascii="Book Antiqua" w:hAnsi="Book Antiqua" w:cs="Arial"/>
          <w:i/>
          <w:color w:val="000000"/>
          <w:u w:val="single"/>
        </w:rPr>
        <w:t>ex tempore</w:t>
      </w:r>
      <w:r w:rsidRPr="00677BB6">
        <w:rPr>
          <w:rFonts w:ascii="Book Antiqua" w:hAnsi="Book Antiqua" w:cs="Arial"/>
          <w:color w:val="000000"/>
          <w:u w:val="single"/>
        </w:rPr>
        <w:t xml:space="preserve"> pilot</w:t>
      </w:r>
      <w:r w:rsidRPr="00677BB6">
        <w:rPr>
          <w:rFonts w:ascii="Book Antiqua" w:hAnsi="Book Antiqua" w:cs="Arial"/>
          <w:color w:val="000000"/>
        </w:rPr>
        <w:t>) Nigeria [2018] UKUT 00088(IAC)</w:t>
      </w:r>
      <w:r w:rsidR="00677BB6">
        <w:rPr>
          <w:rFonts w:ascii="Book Antiqua" w:hAnsi="Book Antiqua" w:cs="Arial"/>
          <w:color w:val="000000"/>
        </w:rPr>
        <w:t xml:space="preserve"> the panel (Mr Justice Lane and Upper Tribunal Judge Lindsley) considered the case of an applicant who</w:t>
      </w:r>
      <w:r w:rsidR="00EA6099">
        <w:rPr>
          <w:rFonts w:ascii="Book Antiqua" w:hAnsi="Book Antiqua" w:cs="Arial"/>
          <w:color w:val="000000"/>
        </w:rPr>
        <w:t xml:space="preserve"> had overstayed, had made a false asylum claim, had received a community order for using a false document to work illegally and who had pursued various legal means of remaining in the United Kingdom. The panel found that even considered cumulatively those matters did not amount to powerful reasons why it would be reasonable to expect the applicant’s child to leave the UK [at §34]. </w:t>
      </w:r>
    </w:p>
    <w:p w:rsidR="00EA6099" w:rsidRPr="00EA6099" w:rsidRDefault="00EA6099" w:rsidP="00EA6099">
      <w:pPr>
        <w:tabs>
          <w:tab w:val="left" w:pos="567"/>
        </w:tabs>
        <w:ind w:left="567" w:right="567"/>
        <w:jc w:val="both"/>
        <w:rPr>
          <w:rFonts w:ascii="Book Antiqua" w:hAnsi="Book Antiqua" w:cs="Arial"/>
        </w:rPr>
      </w:pPr>
    </w:p>
    <w:p w:rsidR="00D248BF" w:rsidRDefault="00EA6099" w:rsidP="00F31D20">
      <w:pPr>
        <w:numPr>
          <w:ilvl w:val="0"/>
          <w:numId w:val="1"/>
        </w:numPr>
        <w:tabs>
          <w:tab w:val="left" w:pos="567"/>
        </w:tabs>
        <w:ind w:left="567" w:right="567"/>
        <w:jc w:val="both"/>
        <w:rPr>
          <w:rFonts w:ascii="Book Antiqua" w:hAnsi="Book Antiqua" w:cs="Arial"/>
        </w:rPr>
      </w:pPr>
      <w:r>
        <w:rPr>
          <w:rFonts w:ascii="Book Antiqua" w:hAnsi="Book Antiqua" w:cs="Arial"/>
        </w:rPr>
        <w:t>It seems to me that</w:t>
      </w:r>
      <w:r w:rsidR="001D4D06">
        <w:rPr>
          <w:rFonts w:ascii="Book Antiqua" w:hAnsi="Book Antiqua" w:cs="Arial"/>
        </w:rPr>
        <w:t xml:space="preserve"> the</w:t>
      </w:r>
      <w:r>
        <w:rPr>
          <w:rFonts w:ascii="Book Antiqua" w:hAnsi="Book Antiqua" w:cs="Arial"/>
        </w:rPr>
        <w:t xml:space="preserve"> immigration history of the adult appellant in that case, MT, is considerably worse t</w:t>
      </w:r>
      <w:r w:rsidR="00737E50">
        <w:rPr>
          <w:rFonts w:ascii="Book Antiqua" w:hAnsi="Book Antiqua" w:cs="Arial"/>
        </w:rPr>
        <w:t>han that of this a</w:t>
      </w:r>
      <w:r>
        <w:rPr>
          <w:rFonts w:ascii="Book Antiqua" w:hAnsi="Book Antiqua" w:cs="Arial"/>
        </w:rPr>
        <w:t xml:space="preserve">ppellant. </w:t>
      </w:r>
      <w:r w:rsidR="00737E50">
        <w:rPr>
          <w:rFonts w:ascii="Book Antiqua" w:hAnsi="Book Antiqua" w:cs="Arial"/>
        </w:rPr>
        <w:t>Th</w:t>
      </w:r>
      <w:r>
        <w:rPr>
          <w:rFonts w:ascii="Book Antiqua" w:hAnsi="Book Antiqua" w:cs="Arial"/>
        </w:rPr>
        <w:t xml:space="preserve">e </w:t>
      </w:r>
      <w:r w:rsidR="00737E50">
        <w:rPr>
          <w:rFonts w:ascii="Book Antiqua" w:hAnsi="Book Antiqua" w:cs="Arial"/>
        </w:rPr>
        <w:t xml:space="preserve">Appellant </w:t>
      </w:r>
      <w:r>
        <w:rPr>
          <w:rFonts w:ascii="Book Antiqua" w:hAnsi="Book Antiqua" w:cs="Arial"/>
        </w:rPr>
        <w:t xml:space="preserve">arrived in possession of a valid visa and had leave to remain as a Points Based System migrant for the first four years that he lived here. He then made a number of failed applications for a residence card under the Immigration (European Economic Area) Regulations </w:t>
      </w:r>
      <w:r w:rsidR="00F31D20">
        <w:rPr>
          <w:rFonts w:ascii="Book Antiqua" w:hAnsi="Book Antiqua" w:cs="Arial"/>
        </w:rPr>
        <w:t>2006 but</w:t>
      </w:r>
      <w:r>
        <w:rPr>
          <w:rFonts w:ascii="Book Antiqua" w:hAnsi="Book Antiqua" w:cs="Arial"/>
        </w:rPr>
        <w:t xml:space="preserve"> in the absence of deliberate fraud </w:t>
      </w:r>
      <w:r w:rsidR="00F31D20">
        <w:rPr>
          <w:rFonts w:ascii="Book Antiqua" w:hAnsi="Book Antiqua" w:cs="Arial"/>
        </w:rPr>
        <w:t xml:space="preserve">no adverse inference might be drawn from that. He then claimed asylum. I have not been furnished with the details of why that was refused but assuming it was rejected as ‘bogus’ it is apparent from </w:t>
      </w:r>
      <w:r w:rsidR="00F31D20" w:rsidRPr="00F31D20">
        <w:rPr>
          <w:rFonts w:ascii="Book Antiqua" w:hAnsi="Book Antiqua" w:cs="Arial"/>
          <w:u w:val="single"/>
        </w:rPr>
        <w:t>MT &amp; ET</w:t>
      </w:r>
      <w:r w:rsidR="00F31D20">
        <w:rPr>
          <w:rFonts w:ascii="Book Antiqua" w:hAnsi="Book Antiqua" w:cs="Arial"/>
        </w:rPr>
        <w:t xml:space="preserve"> that this in itself does not amount to a ‘powerful reason’ when assessing reasonableness. The First-tier Tribunal attached weight to the fact that the Appellant appeared to be someone who was desperate to remain in the UK. Given that the Tribunal accepted the relationships in this family to be genuine it is difficult to see the relevance of that matter; he would hardly be given credit if he didn’t want to live here. </w:t>
      </w:r>
    </w:p>
    <w:p w:rsidR="00D248BF" w:rsidRDefault="00D248BF" w:rsidP="00D248BF">
      <w:pPr>
        <w:pStyle w:val="ListParagraph"/>
        <w:rPr>
          <w:rFonts w:ascii="Book Antiqua" w:hAnsi="Book Antiqua" w:cs="Arial"/>
        </w:rPr>
      </w:pPr>
    </w:p>
    <w:p w:rsidR="00F31D20" w:rsidRDefault="00D248BF" w:rsidP="00F31D20">
      <w:pPr>
        <w:numPr>
          <w:ilvl w:val="0"/>
          <w:numId w:val="1"/>
        </w:numPr>
        <w:tabs>
          <w:tab w:val="left" w:pos="567"/>
        </w:tabs>
        <w:ind w:left="567" w:right="567"/>
        <w:jc w:val="both"/>
        <w:rPr>
          <w:rFonts w:ascii="Book Antiqua" w:hAnsi="Book Antiqua" w:cs="Arial"/>
        </w:rPr>
      </w:pPr>
      <w:r>
        <w:rPr>
          <w:rFonts w:ascii="Book Antiqua" w:hAnsi="Book Antiqua" w:cs="Arial"/>
        </w:rPr>
        <w:t xml:space="preserve">I have weighed in the balance the fact that the Appellant has been without valid leave to remain for some years. He has no alternative basis for leave to remain under the Rules. He is not, at present, financially independent. He speaks some English. His relationship with his partner was established when he had no leave and as such only little weight can be attached to that. </w:t>
      </w:r>
      <w:r w:rsidR="00F31D20">
        <w:rPr>
          <w:rFonts w:ascii="Book Antiqua" w:hAnsi="Book Antiqua" w:cs="Arial"/>
        </w:rPr>
        <w:t xml:space="preserve">Having considered all of the countervailing factors in the round I am not satisfied </w:t>
      </w:r>
      <w:r w:rsidR="001D4D06">
        <w:rPr>
          <w:rFonts w:ascii="Book Antiqua" w:hAnsi="Book Antiqua" w:cs="Arial"/>
        </w:rPr>
        <w:t>that ‘powerful reasons’ have been shown why it would be reasonable to expect D to leave the UK.</w:t>
      </w:r>
      <w:r>
        <w:rPr>
          <w:rFonts w:ascii="Book Antiqua" w:hAnsi="Book Antiqua" w:cs="Arial"/>
        </w:rPr>
        <w:t xml:space="preserve">   D is a British child who has lived here all of his life. His friends, family, home and school are all in this country and it is uncontrovertibly in his best interests that he </w:t>
      </w:r>
      <w:proofErr w:type="gramStart"/>
      <w:r>
        <w:rPr>
          <w:rFonts w:ascii="Book Antiqua" w:hAnsi="Book Antiqua" w:cs="Arial"/>
        </w:rPr>
        <w:t>remain</w:t>
      </w:r>
      <w:proofErr w:type="gramEnd"/>
      <w:r>
        <w:rPr>
          <w:rFonts w:ascii="Book Antiqua" w:hAnsi="Book Antiqua" w:cs="Arial"/>
        </w:rPr>
        <w:t xml:space="preserve"> here.</w:t>
      </w:r>
      <w:r w:rsidR="00262D84">
        <w:rPr>
          <w:rFonts w:ascii="Book Antiqua" w:hAnsi="Book Antiqua" w:cs="Arial"/>
        </w:rPr>
        <w:t xml:space="preserve">  I am satisfied that it would not be reasonable to expect him to leave and applying the guidance in </w:t>
      </w:r>
      <w:r w:rsidR="00262D84" w:rsidRPr="00262D84">
        <w:rPr>
          <w:rFonts w:ascii="Book Antiqua" w:hAnsi="Book Antiqua" w:cs="Arial"/>
          <w:u w:val="single"/>
        </w:rPr>
        <w:t>MA(Pakistan</w:t>
      </w:r>
      <w:r w:rsidR="00262D84">
        <w:rPr>
          <w:rFonts w:ascii="Book Antiqua" w:hAnsi="Book Antiqua" w:cs="Arial"/>
        </w:rPr>
        <w:t>) this means that the Appellant’s appeal must be allowed.</w:t>
      </w:r>
    </w:p>
    <w:p w:rsidR="001D4D06" w:rsidRDefault="001D4D06" w:rsidP="001D4D06">
      <w:pPr>
        <w:tabs>
          <w:tab w:val="left" w:pos="567"/>
        </w:tabs>
        <w:ind w:left="567" w:right="567"/>
        <w:jc w:val="both"/>
        <w:rPr>
          <w:rFonts w:ascii="Book Antiqua" w:hAnsi="Book Antiqua" w:cs="Arial"/>
        </w:rPr>
      </w:pPr>
    </w:p>
    <w:p w:rsidR="001D4D06" w:rsidRPr="001D4D06" w:rsidRDefault="001D4D06" w:rsidP="001D4D06">
      <w:pPr>
        <w:numPr>
          <w:ilvl w:val="0"/>
          <w:numId w:val="1"/>
        </w:numPr>
        <w:tabs>
          <w:tab w:val="left" w:pos="567"/>
        </w:tabs>
        <w:ind w:left="567" w:right="567"/>
        <w:jc w:val="both"/>
        <w:rPr>
          <w:rFonts w:ascii="Book Antiqua" w:hAnsi="Book Antiqua" w:cs="Arial"/>
        </w:rPr>
      </w:pPr>
      <w:r>
        <w:rPr>
          <w:rFonts w:ascii="Book Antiqua" w:hAnsi="Book Antiqua" w:cs="Arial"/>
        </w:rPr>
        <w:t xml:space="preserve">I now turn to address an alternative argument advanced by the Respondent. In his reasons for refusal letter the Respondent refuses to contemplate that leave would be granted on the basis of the relationship with D, </w:t>
      </w:r>
      <w:r w:rsidR="00226A90">
        <w:rPr>
          <w:rFonts w:ascii="Book Antiqua" w:hAnsi="Book Antiqua" w:cs="Arial"/>
        </w:rPr>
        <w:t xml:space="preserve">because </w:t>
      </w:r>
      <w:r>
        <w:rPr>
          <w:rFonts w:ascii="Book Antiqua" w:hAnsi="Book Antiqua" w:cs="Arial"/>
        </w:rPr>
        <w:t>there is no expectation that a British child would leave the United Kingdom: there being no expectation that D should leave, s117</w:t>
      </w:r>
      <w:proofErr w:type="gramStart"/>
      <w:r>
        <w:rPr>
          <w:rFonts w:ascii="Book Antiqua" w:hAnsi="Book Antiqua" w:cs="Arial"/>
        </w:rPr>
        <w:t>B(</w:t>
      </w:r>
      <w:proofErr w:type="gramEnd"/>
      <w:r>
        <w:rPr>
          <w:rFonts w:ascii="Book Antiqua" w:hAnsi="Book Antiqua" w:cs="Arial"/>
        </w:rPr>
        <w:t xml:space="preserve">6) would not be relevant and should not be considered at all. </w:t>
      </w:r>
      <w:r w:rsidR="00E55C5A">
        <w:rPr>
          <w:rFonts w:ascii="Book Antiqua" w:hAnsi="Book Antiqua" w:cs="Arial"/>
        </w:rPr>
        <w:t xml:space="preserve">The letter asserts that D can remain living in the UK with his biological parent (his mother) and would not be required to go to Pakistan with </w:t>
      </w:r>
      <w:r w:rsidR="00E55C5A">
        <w:rPr>
          <w:rFonts w:ascii="Book Antiqua" w:hAnsi="Book Antiqua" w:cs="Arial"/>
        </w:rPr>
        <w:lastRenderedPageBreak/>
        <w:t>the Appellant.</w:t>
      </w:r>
      <w:r>
        <w:rPr>
          <w:rFonts w:ascii="Book Antiqua" w:hAnsi="Book Antiqua" w:cs="Arial"/>
        </w:rPr>
        <w:t xml:space="preserve"> Before me Mr Bates placed reliance on the Respondent’s updated guidance on this matter, set out in </w:t>
      </w:r>
      <w:r w:rsidRPr="001D4D06">
        <w:rPr>
          <w:rFonts w:ascii="Book Antiqua" w:hAnsi="Book Antiqua" w:cs="Arial"/>
        </w:rPr>
        <w:t xml:space="preserve">the Immigration Directorate Instruction ‘Family Migration - Appendix FM, Section 1.0(B) </w:t>
      </w:r>
      <w:r w:rsidRPr="001D4D06">
        <w:rPr>
          <w:rFonts w:ascii="Book Antiqua" w:hAnsi="Book Antiqua" w:cs="Arial"/>
          <w:i/>
        </w:rPr>
        <w:t xml:space="preserve">Family Life as a Partner or Parent and Private Life, </w:t>
      </w:r>
      <w:proofErr w:type="gramStart"/>
      <w:r w:rsidRPr="001D4D06">
        <w:rPr>
          <w:rFonts w:ascii="Book Antiqua" w:hAnsi="Book Antiqua" w:cs="Arial"/>
          <w:i/>
        </w:rPr>
        <w:t>10 year</w:t>
      </w:r>
      <w:proofErr w:type="gramEnd"/>
      <w:r w:rsidRPr="001D4D06">
        <w:rPr>
          <w:rFonts w:ascii="Book Antiqua" w:hAnsi="Book Antiqua" w:cs="Arial"/>
          <w:i/>
        </w:rPr>
        <w:t xml:space="preserve"> Routes</w:t>
      </w:r>
      <w:r w:rsidRPr="001D4D06">
        <w:rPr>
          <w:rFonts w:ascii="Book Antiqua" w:hAnsi="Book Antiqua" w:cs="Arial"/>
        </w:rPr>
        <w:t>’</w:t>
      </w:r>
      <w:r>
        <w:rPr>
          <w:rFonts w:ascii="Book Antiqua" w:hAnsi="Book Antiqua" w:cs="Arial"/>
        </w:rPr>
        <w:t xml:space="preserve"> published on the 22</w:t>
      </w:r>
      <w:r w:rsidRPr="001D4D06">
        <w:rPr>
          <w:rFonts w:ascii="Book Antiqua" w:hAnsi="Book Antiqua" w:cs="Arial"/>
          <w:vertAlign w:val="superscript"/>
        </w:rPr>
        <w:t>nd</w:t>
      </w:r>
      <w:r>
        <w:rPr>
          <w:rFonts w:ascii="Book Antiqua" w:hAnsi="Book Antiqua" w:cs="Arial"/>
        </w:rPr>
        <w:t xml:space="preserve"> February 2018</w:t>
      </w:r>
      <w:r w:rsidRPr="001D4D06">
        <w:rPr>
          <w:rFonts w:ascii="Book Antiqua" w:hAnsi="Book Antiqua" w:cs="Arial"/>
        </w:rPr>
        <w:t xml:space="preserve">.  </w:t>
      </w:r>
      <w:r w:rsidR="00226A90">
        <w:rPr>
          <w:rFonts w:ascii="Book Antiqua" w:hAnsi="Book Antiqua" w:cs="Arial"/>
        </w:rPr>
        <w:t xml:space="preserve">In this guidance the Respondent instructs </w:t>
      </w:r>
      <w:proofErr w:type="spellStart"/>
      <w:r w:rsidR="00226A90">
        <w:rPr>
          <w:rFonts w:ascii="Book Antiqua" w:hAnsi="Book Antiqua" w:cs="Arial"/>
        </w:rPr>
        <w:t>caseowners</w:t>
      </w:r>
      <w:proofErr w:type="spellEnd"/>
      <w:r w:rsidR="00226A90">
        <w:rPr>
          <w:rFonts w:ascii="Book Antiqua" w:hAnsi="Book Antiqua" w:cs="Arial"/>
        </w:rPr>
        <w:t xml:space="preserve"> to consider whether the consequence of refusal would be that a child had to leave with the expelled parent:</w:t>
      </w:r>
    </w:p>
    <w:p w:rsidR="001D4D06" w:rsidRDefault="001D4D06" w:rsidP="001D4D06">
      <w:pPr>
        <w:pStyle w:val="ListParagraph"/>
        <w:rPr>
          <w:rFonts w:ascii="Book Antiqua" w:hAnsi="Book Antiqua" w:cs="Arial"/>
        </w:rPr>
      </w:pPr>
    </w:p>
    <w:p w:rsidR="00E55C5A" w:rsidRPr="00E55C5A" w:rsidRDefault="00226A90" w:rsidP="00E55C5A">
      <w:pPr>
        <w:pStyle w:val="ListParagraph"/>
        <w:ind w:left="1134" w:right="1134"/>
        <w:rPr>
          <w:rFonts w:ascii="Book Antiqua" w:hAnsi="Book Antiqua" w:cs="Arial"/>
          <w:sz w:val="20"/>
          <w:szCs w:val="20"/>
        </w:rPr>
      </w:pPr>
      <w:r>
        <w:rPr>
          <w:rFonts w:ascii="Book Antiqua" w:hAnsi="Book Antiqua" w:cs="Arial"/>
        </w:rPr>
        <w:t>“</w:t>
      </w:r>
      <w:r w:rsidR="00E55C5A" w:rsidRPr="00E55C5A">
        <w:rPr>
          <w:rFonts w:ascii="Book Antiqua" w:hAnsi="Book Antiqua" w:cs="Arial"/>
          <w:sz w:val="20"/>
          <w:szCs w:val="20"/>
        </w:rPr>
        <w:t xml:space="preserve">The decision maker must consider whether the effect of refusal of the application would be, or would be likely to be, that the child would have to leave the UK. This will not be the case where, in practice, the child will, or is likely to, continue to live in the UK with another parent or primary carer. This will be likely to be the case where for example: </w:t>
      </w:r>
    </w:p>
    <w:p w:rsidR="00E55C5A" w:rsidRPr="00E55C5A" w:rsidRDefault="00E55C5A" w:rsidP="00E55C5A">
      <w:pPr>
        <w:pStyle w:val="ListParagraph"/>
        <w:ind w:left="1134" w:right="1134"/>
        <w:rPr>
          <w:rFonts w:ascii="Book Antiqua" w:hAnsi="Book Antiqua" w:cs="Arial"/>
          <w:sz w:val="20"/>
          <w:szCs w:val="20"/>
        </w:rPr>
      </w:pPr>
      <w:r w:rsidRPr="00E55C5A">
        <w:rPr>
          <w:rFonts w:ascii="Book Antiqua" w:hAnsi="Book Antiqua" w:cs="Arial"/>
          <w:sz w:val="20"/>
          <w:szCs w:val="20"/>
        </w:rPr>
        <w:t xml:space="preserve"> </w:t>
      </w:r>
    </w:p>
    <w:p w:rsidR="00226A90" w:rsidRDefault="00E55C5A" w:rsidP="00E55C5A">
      <w:pPr>
        <w:pStyle w:val="ListParagraph"/>
        <w:ind w:left="1134" w:right="1134"/>
        <w:rPr>
          <w:rFonts w:ascii="Book Antiqua" w:hAnsi="Book Antiqua" w:cs="Arial"/>
          <w:sz w:val="20"/>
          <w:szCs w:val="20"/>
        </w:rPr>
      </w:pPr>
      <w:r w:rsidRPr="00E55C5A">
        <w:rPr>
          <w:rFonts w:ascii="Book Antiqua" w:hAnsi="Book Antiqua" w:cs="Arial"/>
          <w:sz w:val="20"/>
          <w:szCs w:val="20"/>
        </w:rPr>
        <w:t xml:space="preserve">• the child does not live with the applicant  </w:t>
      </w:r>
    </w:p>
    <w:p w:rsidR="00226A90" w:rsidRDefault="00E55C5A" w:rsidP="00E55C5A">
      <w:pPr>
        <w:pStyle w:val="ListParagraph"/>
        <w:ind w:left="1134" w:right="1134"/>
        <w:rPr>
          <w:rFonts w:ascii="Book Antiqua" w:hAnsi="Book Antiqua" w:cs="Arial"/>
          <w:sz w:val="20"/>
          <w:szCs w:val="20"/>
        </w:rPr>
      </w:pPr>
      <w:r w:rsidRPr="00E55C5A">
        <w:rPr>
          <w:rFonts w:ascii="Book Antiqua" w:hAnsi="Book Antiqua" w:cs="Arial"/>
          <w:sz w:val="20"/>
          <w:szCs w:val="20"/>
        </w:rPr>
        <w:t>•</w:t>
      </w:r>
      <w:r w:rsidR="00226A90">
        <w:rPr>
          <w:rFonts w:ascii="Book Antiqua" w:hAnsi="Book Antiqua" w:cs="Arial"/>
          <w:sz w:val="20"/>
          <w:szCs w:val="20"/>
        </w:rPr>
        <w:t xml:space="preserve"> </w:t>
      </w:r>
      <w:r w:rsidRPr="00E55C5A">
        <w:rPr>
          <w:rFonts w:ascii="Book Antiqua" w:hAnsi="Book Antiqua" w:cs="Arial"/>
          <w:sz w:val="20"/>
          <w:szCs w:val="20"/>
        </w:rPr>
        <w:t xml:space="preserve">the child’s parents are not living together on a permanent basis because the applicant parent has work or other commitments which require them to live apart from their partner and child </w:t>
      </w:r>
    </w:p>
    <w:p w:rsidR="00E55C5A" w:rsidRPr="00E55C5A" w:rsidRDefault="00E55C5A" w:rsidP="00E55C5A">
      <w:pPr>
        <w:pStyle w:val="ListParagraph"/>
        <w:ind w:left="1134" w:right="1134"/>
        <w:rPr>
          <w:rFonts w:ascii="Book Antiqua" w:hAnsi="Book Antiqua" w:cs="Arial"/>
          <w:sz w:val="20"/>
          <w:szCs w:val="20"/>
        </w:rPr>
      </w:pPr>
      <w:r w:rsidRPr="00E55C5A">
        <w:rPr>
          <w:rFonts w:ascii="Book Antiqua" w:hAnsi="Book Antiqua" w:cs="Arial"/>
          <w:sz w:val="20"/>
          <w:szCs w:val="20"/>
        </w:rPr>
        <w:t xml:space="preserve">• the child’s other parent lives in the UK and the applicant parent has been here as a visitor and therefore undertook to leave the UK at the end of their visit as a condition of their visit visa or leave to enter  </w:t>
      </w:r>
    </w:p>
    <w:p w:rsidR="00E55C5A" w:rsidRPr="00E55C5A" w:rsidRDefault="00E55C5A" w:rsidP="00E55C5A">
      <w:pPr>
        <w:pStyle w:val="ListParagraph"/>
        <w:ind w:left="1134" w:right="1134"/>
        <w:rPr>
          <w:rFonts w:ascii="Book Antiqua" w:hAnsi="Book Antiqua" w:cs="Arial"/>
          <w:sz w:val="20"/>
          <w:szCs w:val="20"/>
        </w:rPr>
      </w:pPr>
      <w:r w:rsidRPr="00E55C5A">
        <w:rPr>
          <w:rFonts w:ascii="Book Antiqua" w:hAnsi="Book Antiqua" w:cs="Arial"/>
          <w:sz w:val="20"/>
          <w:szCs w:val="20"/>
        </w:rPr>
        <w:t xml:space="preserve"> </w:t>
      </w:r>
    </w:p>
    <w:p w:rsidR="00E55C5A" w:rsidRPr="00E55C5A" w:rsidRDefault="00E55C5A" w:rsidP="00E55C5A">
      <w:pPr>
        <w:pStyle w:val="ListParagraph"/>
        <w:ind w:left="1134" w:right="1134"/>
        <w:rPr>
          <w:rFonts w:ascii="Book Antiqua" w:hAnsi="Book Antiqua" w:cs="Arial"/>
          <w:sz w:val="20"/>
          <w:szCs w:val="20"/>
        </w:rPr>
      </w:pPr>
      <w:r w:rsidRPr="00E55C5A">
        <w:rPr>
          <w:rFonts w:ascii="Book Antiqua" w:hAnsi="Book Antiqua" w:cs="Arial"/>
          <w:sz w:val="20"/>
          <w:szCs w:val="20"/>
        </w:rPr>
        <w:t>If the departure of the non-EEA national parent or carer would not result in the child being required to leave the UK, because the child will (or is likely to) remain living here with another parent or primary carer, then the question of whether it is reasonable to expect the child to leave the UK will not arise. In these circumstances, paragraph EX.</w:t>
      </w:r>
      <w:proofErr w:type="gramStart"/>
      <w:r w:rsidRPr="00E55C5A">
        <w:rPr>
          <w:rFonts w:ascii="Book Antiqua" w:hAnsi="Book Antiqua" w:cs="Arial"/>
          <w:sz w:val="20"/>
          <w:szCs w:val="20"/>
        </w:rPr>
        <w:t>1.(</w:t>
      </w:r>
      <w:proofErr w:type="gramEnd"/>
      <w:r w:rsidRPr="00E55C5A">
        <w:rPr>
          <w:rFonts w:ascii="Book Antiqua" w:hAnsi="Book Antiqua" w:cs="Arial"/>
          <w:sz w:val="20"/>
          <w:szCs w:val="20"/>
        </w:rPr>
        <w:t xml:space="preserve">a) does not apply. </w:t>
      </w:r>
    </w:p>
    <w:p w:rsidR="00E55C5A" w:rsidRPr="00E55C5A" w:rsidRDefault="00E55C5A" w:rsidP="00E55C5A">
      <w:pPr>
        <w:pStyle w:val="ListParagraph"/>
        <w:ind w:left="1134" w:right="1134"/>
        <w:rPr>
          <w:rFonts w:ascii="Book Antiqua" w:hAnsi="Book Antiqua" w:cs="Arial"/>
          <w:sz w:val="20"/>
          <w:szCs w:val="20"/>
        </w:rPr>
      </w:pPr>
      <w:r w:rsidRPr="00E55C5A">
        <w:rPr>
          <w:rFonts w:ascii="Book Antiqua" w:hAnsi="Book Antiqua" w:cs="Arial"/>
          <w:sz w:val="20"/>
          <w:szCs w:val="20"/>
        </w:rPr>
        <w:t xml:space="preserve"> </w:t>
      </w:r>
    </w:p>
    <w:p w:rsidR="00E55C5A" w:rsidRPr="00E55C5A" w:rsidRDefault="00E55C5A" w:rsidP="00E55C5A">
      <w:pPr>
        <w:pStyle w:val="ListParagraph"/>
        <w:ind w:left="1134" w:right="1134"/>
        <w:rPr>
          <w:rFonts w:ascii="Book Antiqua" w:hAnsi="Book Antiqua" w:cs="Arial"/>
          <w:sz w:val="20"/>
          <w:szCs w:val="20"/>
        </w:rPr>
      </w:pPr>
      <w:r w:rsidRPr="00E55C5A">
        <w:rPr>
          <w:rFonts w:ascii="Book Antiqua" w:hAnsi="Book Antiqua" w:cs="Arial"/>
          <w:sz w:val="20"/>
          <w:szCs w:val="20"/>
        </w:rPr>
        <w:t xml:space="preserve">However, where there is a genuine and subsisting parental relationship between the applicant and the child, the removal of the applicant may still disrupt their relationship with that child. For that reason, the decision maker will still need to consider whether, in the round, removal of the applicant is appropriate in light of all the circumstances of the case, taking into account the best interests of the child as a primary consideration and the impact on the child of the applicant’s departure from the UK. If it is considered that refusal would lead to unjustifiably harsh consequences for the applicant, the child or their family, leave will fall to be granted on the basis of exceptional circumstances.  </w:t>
      </w:r>
    </w:p>
    <w:p w:rsidR="00E55C5A" w:rsidRPr="00E55C5A" w:rsidRDefault="00E55C5A" w:rsidP="00E55C5A">
      <w:pPr>
        <w:pStyle w:val="ListParagraph"/>
        <w:ind w:left="1134" w:right="1134"/>
        <w:rPr>
          <w:rFonts w:ascii="Book Antiqua" w:hAnsi="Book Antiqua" w:cs="Arial"/>
          <w:sz w:val="20"/>
          <w:szCs w:val="20"/>
        </w:rPr>
      </w:pPr>
      <w:r w:rsidRPr="00E55C5A">
        <w:rPr>
          <w:rFonts w:ascii="Book Antiqua" w:hAnsi="Book Antiqua" w:cs="Arial"/>
          <w:sz w:val="20"/>
          <w:szCs w:val="20"/>
        </w:rPr>
        <w:t xml:space="preserve"> </w:t>
      </w:r>
    </w:p>
    <w:p w:rsidR="00E55C5A" w:rsidRPr="00E55C5A" w:rsidRDefault="00E55C5A" w:rsidP="00E55C5A">
      <w:pPr>
        <w:pStyle w:val="ListParagraph"/>
        <w:ind w:left="1134" w:right="1134"/>
        <w:rPr>
          <w:rFonts w:ascii="Book Antiqua" w:hAnsi="Book Antiqua" w:cs="Arial"/>
          <w:sz w:val="20"/>
          <w:szCs w:val="20"/>
        </w:rPr>
      </w:pPr>
      <w:r w:rsidRPr="00E55C5A">
        <w:rPr>
          <w:rFonts w:ascii="Book Antiqua" w:hAnsi="Book Antiqua" w:cs="Arial"/>
          <w:sz w:val="20"/>
          <w:szCs w:val="20"/>
        </w:rPr>
        <w:t xml:space="preserve">If the decision maker is minded </w:t>
      </w:r>
      <w:proofErr w:type="gramStart"/>
      <w:r w:rsidRPr="00E55C5A">
        <w:rPr>
          <w:rFonts w:ascii="Book Antiqua" w:hAnsi="Book Antiqua" w:cs="Arial"/>
          <w:sz w:val="20"/>
          <w:szCs w:val="20"/>
        </w:rPr>
        <w:t>to refuse</w:t>
      </w:r>
      <w:proofErr w:type="gramEnd"/>
      <w:r w:rsidRPr="00E55C5A">
        <w:rPr>
          <w:rFonts w:ascii="Book Antiqua" w:hAnsi="Book Antiqua" w:cs="Arial"/>
          <w:sz w:val="20"/>
          <w:szCs w:val="20"/>
        </w:rPr>
        <w:t xml:space="preserve"> an application in circumstances in which the applicant would then be separated from a child in the UK, this decision should normally be discussed with a senior caseworker. </w:t>
      </w:r>
    </w:p>
    <w:p w:rsidR="00E55C5A" w:rsidRDefault="00E55C5A" w:rsidP="001D4D06">
      <w:pPr>
        <w:pStyle w:val="ListParagraph"/>
        <w:rPr>
          <w:rFonts w:ascii="Book Antiqua" w:hAnsi="Book Antiqua" w:cs="Arial"/>
        </w:rPr>
      </w:pPr>
    </w:p>
    <w:p w:rsidR="00226A90" w:rsidRDefault="00226A90" w:rsidP="00F31D20">
      <w:pPr>
        <w:numPr>
          <w:ilvl w:val="0"/>
          <w:numId w:val="1"/>
        </w:numPr>
        <w:tabs>
          <w:tab w:val="left" w:pos="567"/>
        </w:tabs>
        <w:ind w:left="567" w:right="567"/>
        <w:jc w:val="both"/>
        <w:rPr>
          <w:rFonts w:ascii="Book Antiqua" w:hAnsi="Book Antiqua" w:cs="Arial"/>
        </w:rPr>
      </w:pPr>
      <w:r>
        <w:rPr>
          <w:rFonts w:ascii="Book Antiqua" w:hAnsi="Book Antiqua" w:cs="Arial"/>
        </w:rPr>
        <w:t>I find the argument posed, and the guidance adopted, to be entirely misconceived.</w:t>
      </w:r>
    </w:p>
    <w:p w:rsidR="00226A90" w:rsidRDefault="00226A90" w:rsidP="00226A90">
      <w:pPr>
        <w:tabs>
          <w:tab w:val="left" w:pos="567"/>
        </w:tabs>
        <w:ind w:left="567" w:right="567"/>
        <w:jc w:val="both"/>
        <w:rPr>
          <w:rFonts w:ascii="Book Antiqua" w:hAnsi="Book Antiqua" w:cs="Arial"/>
        </w:rPr>
      </w:pPr>
    </w:p>
    <w:p w:rsidR="00226A90" w:rsidRDefault="00226A90" w:rsidP="00F31D20">
      <w:pPr>
        <w:numPr>
          <w:ilvl w:val="0"/>
          <w:numId w:val="1"/>
        </w:numPr>
        <w:tabs>
          <w:tab w:val="left" w:pos="567"/>
        </w:tabs>
        <w:ind w:left="567" w:right="567"/>
        <w:jc w:val="both"/>
        <w:rPr>
          <w:rFonts w:ascii="Book Antiqua" w:hAnsi="Book Antiqua" w:cs="Arial"/>
        </w:rPr>
      </w:pPr>
      <w:r>
        <w:rPr>
          <w:rFonts w:ascii="Book Antiqua" w:hAnsi="Book Antiqua" w:cs="Arial"/>
        </w:rPr>
        <w:t>First, as I think the</w:t>
      </w:r>
      <w:r w:rsidR="009F2DD4">
        <w:rPr>
          <w:rFonts w:ascii="Book Antiqua" w:hAnsi="Book Antiqua" w:cs="Arial"/>
        </w:rPr>
        <w:t xml:space="preserve"> bullet-points in the</w:t>
      </w:r>
      <w:r>
        <w:rPr>
          <w:rFonts w:ascii="Book Antiqua" w:hAnsi="Book Antiqua" w:cs="Arial"/>
        </w:rPr>
        <w:t xml:space="preserve"> IDI su</w:t>
      </w:r>
      <w:r w:rsidR="009F2DD4">
        <w:rPr>
          <w:rFonts w:ascii="Book Antiqua" w:hAnsi="Book Antiqua" w:cs="Arial"/>
        </w:rPr>
        <w:t>ggest</w:t>
      </w:r>
      <w:r>
        <w:rPr>
          <w:rFonts w:ascii="Book Antiqua" w:hAnsi="Book Antiqua" w:cs="Arial"/>
        </w:rPr>
        <w:t>, the argument could only possibly succeed in cases where the genuine and subsisting parental relationship was enjoyed with a child who did not live with the applicant. Otherwise the various provisions which exist to preserve the family life of children by means of the ‘reasonableness’ test – s117</w:t>
      </w:r>
      <w:proofErr w:type="gramStart"/>
      <w:r>
        <w:rPr>
          <w:rFonts w:ascii="Book Antiqua" w:hAnsi="Book Antiqua" w:cs="Arial"/>
        </w:rPr>
        <w:t>B(</w:t>
      </w:r>
      <w:proofErr w:type="gramEnd"/>
      <w:r>
        <w:rPr>
          <w:rFonts w:ascii="Book Antiqua" w:hAnsi="Book Antiqua" w:cs="Arial"/>
        </w:rPr>
        <w:t xml:space="preserve">6), paragraph 276ADE(1) of the Rules and EX.1 of Appendix FM – would be a nonsense. The whole point of these provisions is </w:t>
      </w:r>
      <w:r>
        <w:rPr>
          <w:rFonts w:ascii="Book Antiqua" w:hAnsi="Book Antiqua" w:cs="Arial"/>
        </w:rPr>
        <w:lastRenderedPageBreak/>
        <w:t>to ensure that the best interests of the children are served and that absent strong countervailing factors this will normally involve the protection of the child’s private and family life rights under Article 8.  The logical consequence of the Respondent’s refusal letter in this case is that those rights could be protected by breaking up this family.  The Appellant lives with D, and the Tribunal has accepted that there is a parental relationship. D’s mother gave unchallenged evidence that D has never known his biological father and that he now looks to the Appellant to fill that role and in fact calls him Dad. If that relationship was to be severed simply on the basis that D can stay here without him, there would be no point to the rules at all.</w:t>
      </w:r>
    </w:p>
    <w:p w:rsidR="00226A90" w:rsidRDefault="00226A90" w:rsidP="00226A90">
      <w:pPr>
        <w:pStyle w:val="ListParagraph"/>
        <w:rPr>
          <w:rFonts w:ascii="Book Antiqua" w:hAnsi="Book Antiqua" w:cs="Arial"/>
        </w:rPr>
      </w:pPr>
    </w:p>
    <w:p w:rsidR="00226A90" w:rsidRDefault="009F2DD4" w:rsidP="009F2DD4">
      <w:pPr>
        <w:numPr>
          <w:ilvl w:val="0"/>
          <w:numId w:val="1"/>
        </w:numPr>
        <w:tabs>
          <w:tab w:val="left" w:pos="567"/>
        </w:tabs>
        <w:ind w:left="567" w:right="567"/>
        <w:jc w:val="both"/>
        <w:rPr>
          <w:rFonts w:ascii="Book Antiqua" w:hAnsi="Book Antiqua" w:cs="Arial"/>
        </w:rPr>
      </w:pPr>
      <w:r>
        <w:rPr>
          <w:rFonts w:ascii="Book Antiqua" w:hAnsi="Book Antiqua" w:cs="Arial"/>
        </w:rPr>
        <w:t>Second, the argument would drive a wedge between the two categories of ‘qualifying’ children and have the perverse outcome that foreign children who had lived here for seven years would have a significant litigation advantage over their British</w:t>
      </w:r>
      <w:r w:rsidR="00262D84">
        <w:rPr>
          <w:rFonts w:ascii="Book Antiqua" w:hAnsi="Book Antiqua" w:cs="Arial"/>
        </w:rPr>
        <w:t xml:space="preserve"> counterparts.  The ‘seven year’ qualifying </w:t>
      </w:r>
      <w:r>
        <w:rPr>
          <w:rFonts w:ascii="Book Antiqua" w:hAnsi="Book Antiqua" w:cs="Arial"/>
        </w:rPr>
        <w:t>child who is himself without any leave to remain would be ‘expected to leave’</w:t>
      </w:r>
      <w:r w:rsidR="00262D84">
        <w:rPr>
          <w:rFonts w:ascii="Book Antiqua" w:hAnsi="Book Antiqua" w:cs="Arial"/>
        </w:rPr>
        <w:t xml:space="preserve"> and so s117</w:t>
      </w:r>
      <w:proofErr w:type="gramStart"/>
      <w:r w:rsidR="00262D84">
        <w:rPr>
          <w:rFonts w:ascii="Book Antiqua" w:hAnsi="Book Antiqua" w:cs="Arial"/>
        </w:rPr>
        <w:t>B(</w:t>
      </w:r>
      <w:proofErr w:type="gramEnd"/>
      <w:r w:rsidR="00262D84">
        <w:rPr>
          <w:rFonts w:ascii="Book Antiqua" w:hAnsi="Book Antiqua" w:cs="Arial"/>
        </w:rPr>
        <w:t>6) would be in play. H</w:t>
      </w:r>
      <w:r>
        <w:rPr>
          <w:rFonts w:ascii="Book Antiqua" w:hAnsi="Book Antiqua" w:cs="Arial"/>
        </w:rPr>
        <w:t xml:space="preserve">e will benefit from </w:t>
      </w:r>
      <w:r w:rsidR="00D248BF">
        <w:rPr>
          <w:rFonts w:ascii="Book Antiqua" w:hAnsi="Book Antiqua" w:cs="Arial"/>
        </w:rPr>
        <w:t>t</w:t>
      </w:r>
      <w:r>
        <w:rPr>
          <w:rFonts w:ascii="Book Antiqua" w:hAnsi="Book Antiqua" w:cs="Arial"/>
        </w:rPr>
        <w:t xml:space="preserve">he </w:t>
      </w:r>
      <w:r w:rsidR="00D248BF">
        <w:rPr>
          <w:rFonts w:ascii="Book Antiqua" w:hAnsi="Book Antiqua" w:cs="Arial"/>
        </w:rPr>
        <w:t>many years of jurisprudence o</w:t>
      </w:r>
      <w:r w:rsidR="00262D84">
        <w:rPr>
          <w:rFonts w:ascii="Book Antiqua" w:hAnsi="Book Antiqua" w:cs="Arial"/>
        </w:rPr>
        <w:t xml:space="preserve">n </w:t>
      </w:r>
      <w:r w:rsidR="00D248BF">
        <w:rPr>
          <w:rFonts w:ascii="Book Antiqua" w:hAnsi="Book Antiqua" w:cs="Arial"/>
        </w:rPr>
        <w:t xml:space="preserve">policy, culminating in the </w:t>
      </w:r>
      <w:r>
        <w:rPr>
          <w:rFonts w:ascii="Book Antiqua" w:hAnsi="Book Antiqua" w:cs="Arial"/>
        </w:rPr>
        <w:t xml:space="preserve">guidance in </w:t>
      </w:r>
      <w:r w:rsidRPr="00D248BF">
        <w:rPr>
          <w:rFonts w:ascii="Book Antiqua" w:hAnsi="Book Antiqua" w:cs="Arial"/>
          <w:u w:val="single"/>
        </w:rPr>
        <w:t>MA (Pakistan</w:t>
      </w:r>
      <w:r>
        <w:rPr>
          <w:rFonts w:ascii="Book Antiqua" w:hAnsi="Book Antiqua" w:cs="Arial"/>
        </w:rPr>
        <w:t xml:space="preserve">), so that the Respondent would need to identify ‘powerful reasons’ why he should be removed with his parent or parents. </w:t>
      </w:r>
      <w:r w:rsidR="00262D84">
        <w:rPr>
          <w:rFonts w:ascii="Book Antiqua" w:hAnsi="Book Antiqua" w:cs="Arial"/>
        </w:rPr>
        <w:t xml:space="preserve"> In the absence of such reasons both child and parent would win their case and be allowed to remain in this country together.  </w:t>
      </w:r>
      <w:r>
        <w:rPr>
          <w:rFonts w:ascii="Book Antiqua" w:hAnsi="Book Antiqua" w:cs="Arial"/>
        </w:rPr>
        <w:t xml:space="preserve">Conversely in the case of a British child facing separation from a foreign-national parent, all the </w:t>
      </w:r>
      <w:r w:rsidR="00262D84">
        <w:rPr>
          <w:rFonts w:ascii="Book Antiqua" w:hAnsi="Book Antiqua" w:cs="Arial"/>
        </w:rPr>
        <w:t>Respondent need do would be to</w:t>
      </w:r>
      <w:r>
        <w:rPr>
          <w:rFonts w:ascii="Book Antiqua" w:hAnsi="Book Antiqua" w:cs="Arial"/>
        </w:rPr>
        <w:t xml:space="preserve"> </w:t>
      </w:r>
      <w:r w:rsidR="00262D84">
        <w:rPr>
          <w:rFonts w:ascii="Book Antiqua" w:hAnsi="Book Antiqua" w:cs="Arial"/>
        </w:rPr>
        <w:t xml:space="preserve">point to </w:t>
      </w:r>
      <w:r>
        <w:rPr>
          <w:rFonts w:ascii="Book Antiqua" w:hAnsi="Book Antiqua" w:cs="Arial"/>
        </w:rPr>
        <w:t xml:space="preserve">the fact that the child is entitled to remain here. </w:t>
      </w:r>
      <w:r w:rsidR="00D248BF">
        <w:rPr>
          <w:rFonts w:ascii="Book Antiqua" w:hAnsi="Book Antiqua" w:cs="Arial"/>
        </w:rPr>
        <w:t xml:space="preserve">  </w:t>
      </w:r>
      <w:r w:rsidR="00262D84">
        <w:rPr>
          <w:rFonts w:ascii="Book Antiqua" w:hAnsi="Book Antiqua" w:cs="Arial"/>
        </w:rPr>
        <w:t>Section 117</w:t>
      </w:r>
      <w:proofErr w:type="gramStart"/>
      <w:r w:rsidR="00262D84">
        <w:rPr>
          <w:rFonts w:ascii="Book Antiqua" w:hAnsi="Book Antiqua" w:cs="Arial"/>
        </w:rPr>
        <w:t>B(</w:t>
      </w:r>
      <w:proofErr w:type="gramEnd"/>
      <w:r w:rsidR="00262D84">
        <w:rPr>
          <w:rFonts w:ascii="Book Antiqua" w:hAnsi="Book Antiqua" w:cs="Arial"/>
        </w:rPr>
        <w:t xml:space="preserve">6) would not be considered and the foreign national parent would likely lose and be removed.  </w:t>
      </w:r>
      <w:r w:rsidR="00D248BF">
        <w:rPr>
          <w:rFonts w:ascii="Book Antiqua" w:hAnsi="Book Antiqua" w:cs="Arial"/>
        </w:rPr>
        <w:t>I can see no justification for treating the two groups of qualifying children differently, much less so that</w:t>
      </w:r>
      <w:r w:rsidR="00262D84">
        <w:rPr>
          <w:rFonts w:ascii="Book Antiqua" w:hAnsi="Book Antiqua" w:cs="Arial"/>
        </w:rPr>
        <w:t xml:space="preserve"> it</w:t>
      </w:r>
      <w:r w:rsidR="00D248BF">
        <w:rPr>
          <w:rFonts w:ascii="Book Antiqua" w:hAnsi="Book Antiqua" w:cs="Arial"/>
        </w:rPr>
        <w:t xml:space="preserve"> is the British child who finds himself more likely to be left without a father.</w:t>
      </w:r>
    </w:p>
    <w:p w:rsidR="00D248BF" w:rsidRDefault="00D248BF" w:rsidP="00D248BF">
      <w:pPr>
        <w:pStyle w:val="ListParagraph"/>
        <w:rPr>
          <w:rFonts w:ascii="Book Antiqua" w:hAnsi="Book Antiqua" w:cs="Arial"/>
        </w:rPr>
      </w:pPr>
    </w:p>
    <w:p w:rsidR="00D248BF" w:rsidRDefault="00D248BF" w:rsidP="009F2DD4">
      <w:pPr>
        <w:numPr>
          <w:ilvl w:val="0"/>
          <w:numId w:val="1"/>
        </w:numPr>
        <w:tabs>
          <w:tab w:val="left" w:pos="567"/>
        </w:tabs>
        <w:ind w:left="567" w:right="567"/>
        <w:jc w:val="both"/>
        <w:rPr>
          <w:rFonts w:ascii="Book Antiqua" w:hAnsi="Book Antiqua" w:cs="Arial"/>
        </w:rPr>
      </w:pPr>
      <w:r>
        <w:rPr>
          <w:rFonts w:ascii="Book Antiqua" w:hAnsi="Book Antiqua" w:cs="Arial"/>
        </w:rPr>
        <w:t>Accordingly, I find no merit in the Respondent’s submissions. The principles underpinning these provisions is family unity and the best interest of the child. Neither would be served by adopting the approach advocated in the refusal letter in this case.</w:t>
      </w:r>
    </w:p>
    <w:p w:rsidR="00D248BF" w:rsidRDefault="00D248BF" w:rsidP="00D248BF">
      <w:pPr>
        <w:pStyle w:val="ListParagraph"/>
        <w:rPr>
          <w:rFonts w:ascii="Book Antiqua" w:hAnsi="Book Antiqua" w:cs="Arial"/>
        </w:rPr>
      </w:pPr>
    </w:p>
    <w:p w:rsidR="00D248BF" w:rsidRPr="00D248BF" w:rsidRDefault="00D248BF" w:rsidP="00D248BF">
      <w:pPr>
        <w:tabs>
          <w:tab w:val="left" w:pos="567"/>
        </w:tabs>
        <w:ind w:left="567" w:right="567"/>
        <w:jc w:val="both"/>
        <w:rPr>
          <w:rFonts w:ascii="Book Antiqua" w:hAnsi="Book Antiqua" w:cs="Arial"/>
          <w:b/>
        </w:rPr>
      </w:pPr>
      <w:r w:rsidRPr="00D248BF">
        <w:rPr>
          <w:rFonts w:ascii="Book Antiqua" w:hAnsi="Book Antiqua" w:cs="Arial"/>
          <w:b/>
        </w:rPr>
        <w:t>Decisions</w:t>
      </w:r>
    </w:p>
    <w:p w:rsidR="00226A90" w:rsidRDefault="00226A90" w:rsidP="00226A90">
      <w:pPr>
        <w:pStyle w:val="ListParagraph"/>
        <w:rPr>
          <w:rFonts w:ascii="Book Antiqua" w:hAnsi="Book Antiqua" w:cs="Arial"/>
        </w:rPr>
      </w:pPr>
    </w:p>
    <w:p w:rsidR="00D248BF" w:rsidRDefault="00D248BF" w:rsidP="009A7CF4">
      <w:pPr>
        <w:numPr>
          <w:ilvl w:val="0"/>
          <w:numId w:val="1"/>
        </w:numPr>
        <w:tabs>
          <w:tab w:val="left" w:pos="567"/>
        </w:tabs>
        <w:ind w:left="567" w:right="567"/>
        <w:jc w:val="both"/>
        <w:rPr>
          <w:rFonts w:ascii="Book Antiqua" w:hAnsi="Book Antiqua" w:cs="Arial"/>
        </w:rPr>
      </w:pPr>
      <w:r>
        <w:rPr>
          <w:rFonts w:ascii="Book Antiqua" w:hAnsi="Book Antiqua" w:cs="Arial"/>
        </w:rPr>
        <w:t>The decision of the First-tier Tribunal contains an error of law and it is set aside.</w:t>
      </w:r>
    </w:p>
    <w:p w:rsidR="00D248BF" w:rsidRDefault="00D248BF" w:rsidP="00D248BF">
      <w:pPr>
        <w:tabs>
          <w:tab w:val="left" w:pos="567"/>
        </w:tabs>
        <w:ind w:left="567" w:right="567"/>
        <w:jc w:val="both"/>
        <w:rPr>
          <w:rFonts w:ascii="Book Antiqua" w:hAnsi="Book Antiqua" w:cs="Arial"/>
        </w:rPr>
      </w:pPr>
    </w:p>
    <w:p w:rsidR="00D248BF" w:rsidRDefault="00D248BF" w:rsidP="009A7CF4">
      <w:pPr>
        <w:numPr>
          <w:ilvl w:val="0"/>
          <w:numId w:val="1"/>
        </w:numPr>
        <w:tabs>
          <w:tab w:val="left" w:pos="567"/>
        </w:tabs>
        <w:ind w:left="567" w:right="567"/>
        <w:jc w:val="both"/>
        <w:rPr>
          <w:rFonts w:ascii="Book Antiqua" w:hAnsi="Book Antiqua" w:cs="Arial"/>
        </w:rPr>
      </w:pPr>
      <w:r>
        <w:rPr>
          <w:rFonts w:ascii="Book Antiqua" w:hAnsi="Book Antiqua" w:cs="Arial"/>
        </w:rPr>
        <w:t>I remake the decision in the appeal as follows: “the appeal is allowed on human rights grounds”.</w:t>
      </w:r>
    </w:p>
    <w:p w:rsidR="00D248BF" w:rsidRDefault="00D248BF" w:rsidP="00D248BF">
      <w:pPr>
        <w:tabs>
          <w:tab w:val="left" w:pos="567"/>
        </w:tabs>
        <w:ind w:left="567" w:right="567"/>
        <w:jc w:val="both"/>
        <w:rPr>
          <w:rFonts w:ascii="Book Antiqua" w:hAnsi="Book Antiqua" w:cs="Arial"/>
        </w:rPr>
      </w:pPr>
    </w:p>
    <w:p w:rsidR="00323D7C" w:rsidRPr="005B72B6" w:rsidRDefault="006410A3" w:rsidP="009A7CF4">
      <w:pPr>
        <w:numPr>
          <w:ilvl w:val="0"/>
          <w:numId w:val="1"/>
        </w:numPr>
        <w:tabs>
          <w:tab w:val="left" w:pos="567"/>
        </w:tabs>
        <w:ind w:left="567" w:right="567"/>
        <w:jc w:val="both"/>
        <w:rPr>
          <w:rFonts w:ascii="Book Antiqua" w:hAnsi="Book Antiqua" w:cs="Arial"/>
        </w:rPr>
      </w:pPr>
      <w:r>
        <w:rPr>
          <w:rFonts w:ascii="Book Antiqua" w:hAnsi="Book Antiqua" w:cs="Arial"/>
        </w:rPr>
        <w:t>There is an</w:t>
      </w:r>
      <w:r w:rsidR="005B72B6">
        <w:rPr>
          <w:rFonts w:ascii="Book Antiqua" w:hAnsi="Book Antiqua" w:cs="Arial"/>
        </w:rPr>
        <w:t xml:space="preserve"> order for anonymity.</w:t>
      </w:r>
    </w:p>
    <w:p w:rsidR="00122A22" w:rsidRDefault="00122A22" w:rsidP="00323D7C">
      <w:pPr>
        <w:tabs>
          <w:tab w:val="left" w:pos="567"/>
        </w:tabs>
        <w:ind w:right="567"/>
        <w:jc w:val="both"/>
        <w:rPr>
          <w:rFonts w:ascii="Book Antiqua" w:hAnsi="Book Antiqua" w:cs="Arial"/>
        </w:rPr>
      </w:pPr>
    </w:p>
    <w:p w:rsidR="007D6879" w:rsidRDefault="007D6879" w:rsidP="00323D7C">
      <w:pPr>
        <w:tabs>
          <w:tab w:val="left" w:pos="567"/>
        </w:tabs>
        <w:ind w:right="567"/>
        <w:jc w:val="both"/>
        <w:rPr>
          <w:rFonts w:ascii="Book Antiqua" w:hAnsi="Book Antiqua" w:cs="Arial"/>
        </w:rPr>
      </w:pPr>
    </w:p>
    <w:p w:rsidR="00122A22" w:rsidRDefault="00122A22" w:rsidP="00122A22">
      <w:pPr>
        <w:tabs>
          <w:tab w:val="left" w:pos="567"/>
        </w:tabs>
        <w:ind w:left="567" w:right="567"/>
        <w:jc w:val="right"/>
        <w:rPr>
          <w:rFonts w:ascii="Book Antiqua" w:hAnsi="Book Antiqua" w:cs="Arial"/>
        </w:rPr>
      </w:pPr>
      <w:r>
        <w:rPr>
          <w:rFonts w:ascii="Book Antiqua" w:hAnsi="Book Antiqua" w:cs="Arial"/>
        </w:rPr>
        <w:t>Upper Tribunal Judge Bruce</w:t>
      </w:r>
    </w:p>
    <w:p w:rsidR="00D219F1" w:rsidRPr="008C6613" w:rsidRDefault="00D248BF" w:rsidP="00C612EF">
      <w:pPr>
        <w:tabs>
          <w:tab w:val="left" w:pos="567"/>
        </w:tabs>
        <w:ind w:left="567" w:right="567"/>
        <w:jc w:val="right"/>
        <w:rPr>
          <w:rFonts w:ascii="Book Antiqua" w:hAnsi="Book Antiqua" w:cs="Arial"/>
        </w:rPr>
      </w:pPr>
      <w:r>
        <w:rPr>
          <w:rFonts w:ascii="Book Antiqua" w:hAnsi="Book Antiqua" w:cs="Arial"/>
        </w:rPr>
        <w:t>3</w:t>
      </w:r>
      <w:r w:rsidR="00906C67">
        <w:rPr>
          <w:rFonts w:ascii="Book Antiqua" w:hAnsi="Book Antiqua" w:cs="Arial"/>
        </w:rPr>
        <w:t>0</w:t>
      </w:r>
      <w:r w:rsidR="00906C67" w:rsidRPr="00906C67">
        <w:rPr>
          <w:rFonts w:ascii="Book Antiqua" w:hAnsi="Book Antiqua" w:cs="Arial"/>
          <w:vertAlign w:val="superscript"/>
        </w:rPr>
        <w:t>th</w:t>
      </w:r>
      <w:r w:rsidR="00906C67">
        <w:rPr>
          <w:rFonts w:ascii="Book Antiqua" w:hAnsi="Book Antiqua" w:cs="Arial"/>
        </w:rPr>
        <w:t xml:space="preserve"> May 2018</w:t>
      </w:r>
    </w:p>
    <w:sectPr w:rsidR="00D219F1" w:rsidRPr="008C6613" w:rsidSect="00256F9B">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A65" w:rsidRDefault="004A0A65">
      <w:r>
        <w:separator/>
      </w:r>
    </w:p>
  </w:endnote>
  <w:endnote w:type="continuationSeparator" w:id="0">
    <w:p w:rsidR="004A0A65" w:rsidRDefault="004A0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e Printer">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Lucida Grande">
    <w:altName w:val="Arial Unicode MS"/>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BB6" w:rsidRPr="00593795" w:rsidRDefault="00677BB6" w:rsidP="00256F9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186646">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BB6" w:rsidRPr="00090CF9" w:rsidRDefault="00677BB6" w:rsidP="00256F9B">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A65" w:rsidRDefault="004A0A65">
      <w:r>
        <w:separator/>
      </w:r>
    </w:p>
  </w:footnote>
  <w:footnote w:type="continuationSeparator" w:id="0">
    <w:p w:rsidR="004A0A65" w:rsidRDefault="004A0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BB6" w:rsidRPr="00FE1BCE" w:rsidRDefault="00677BB6" w:rsidP="00865722">
    <w:pPr>
      <w:tabs>
        <w:tab w:val="right" w:pos="9720"/>
      </w:tabs>
      <w:ind w:right="-82"/>
      <w:rPr>
        <w:rFonts w:ascii="Book Antiqua" w:hAnsi="Book Antiqua" w:cs="Arial"/>
        <w:color w:val="000000"/>
        <w:sz w:val="20"/>
        <w:szCs w:val="20"/>
      </w:rPr>
    </w:pPr>
    <w:r>
      <w:rPr>
        <w:rFonts w:ascii="Book Antiqua" w:hAnsi="Book Antiqua" w:cs="Arial"/>
        <w:color w:val="000000"/>
        <w:sz w:val="20"/>
        <w:szCs w:val="20"/>
      </w:rPr>
      <w:tab/>
      <w:t>HU/13528/</w:t>
    </w:r>
    <w:r w:rsidR="00267CEE">
      <w:rPr>
        <w:rFonts w:ascii="Book Antiqua" w:hAnsi="Book Antiqua" w:cs="Arial"/>
        <w:color w:val="000000"/>
        <w:sz w:val="20"/>
        <w:szCs w:val="20"/>
      </w:rPr>
      <w:t>20</w:t>
    </w:r>
    <w:r>
      <w:rPr>
        <w:rFonts w:ascii="Book Antiqua" w:hAnsi="Book Antiqua" w:cs="Arial"/>
        <w:color w:val="000000"/>
        <w:sz w:val="20"/>
        <w:szCs w:val="20"/>
      </w:rPr>
      <w:t>16</w:t>
    </w:r>
  </w:p>
  <w:p w:rsidR="00677BB6" w:rsidRPr="00D25E1A" w:rsidRDefault="00677BB6" w:rsidP="00FE1BCE">
    <w:pPr>
      <w:pStyle w:val="Header"/>
      <w:rPr>
        <w:rFonts w:ascii="Book Antiqua" w:hAnsi="Book Antiqua"/>
        <w:sz w:val="20"/>
        <w:szCs w:val="20"/>
      </w:rPr>
    </w:pPr>
  </w:p>
  <w:p w:rsidR="00677BB6" w:rsidRPr="00850A1F" w:rsidRDefault="00677BB6" w:rsidP="00850A1F">
    <w:pPr>
      <w:pStyle w:val="Header"/>
      <w:jc w:val="right"/>
      <w:rPr>
        <w:rFonts w:ascii="Book Antiqua" w:hAnsi="Book Antiqua"/>
        <w:sz w:val="16"/>
        <w:szCs w:val="16"/>
      </w:rPr>
    </w:pPr>
  </w:p>
  <w:p w:rsidR="00677BB6" w:rsidRPr="003C5CE5" w:rsidRDefault="00677BB6"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BB6" w:rsidRPr="00FE1BCE" w:rsidRDefault="00677BB6"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677BB6" w:rsidRPr="00D25E1A" w:rsidRDefault="00677BB6"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1CC"/>
    <w:multiLevelType w:val="hybridMultilevel"/>
    <w:tmpl w:val="C736F700"/>
    <w:lvl w:ilvl="0" w:tplc="08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15:restartNumberingAfterBreak="0">
    <w:nsid w:val="0C8D3F73"/>
    <w:multiLevelType w:val="hybridMultilevel"/>
    <w:tmpl w:val="B2E48424"/>
    <w:lvl w:ilvl="0" w:tplc="E78C7CF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 w15:restartNumberingAfterBreak="0">
    <w:nsid w:val="1B1A604F"/>
    <w:multiLevelType w:val="hybridMultilevel"/>
    <w:tmpl w:val="E196D592"/>
    <w:lvl w:ilvl="0" w:tplc="FAD6813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 w15:restartNumberingAfterBreak="0">
    <w:nsid w:val="1B5412C5"/>
    <w:multiLevelType w:val="hybridMultilevel"/>
    <w:tmpl w:val="81A64002"/>
    <w:lvl w:ilvl="0" w:tplc="CB4CBB1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4" w15:restartNumberingAfterBreak="0">
    <w:nsid w:val="1B930CAF"/>
    <w:multiLevelType w:val="hybridMultilevel"/>
    <w:tmpl w:val="57CE1076"/>
    <w:lvl w:ilvl="0" w:tplc="096CE1E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5" w15:restartNumberingAfterBreak="0">
    <w:nsid w:val="1E0A2921"/>
    <w:multiLevelType w:val="hybridMultilevel"/>
    <w:tmpl w:val="19844F34"/>
    <w:lvl w:ilvl="0" w:tplc="F1C4AAC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6" w15:restartNumberingAfterBreak="0">
    <w:nsid w:val="2A54204E"/>
    <w:multiLevelType w:val="hybridMultilevel"/>
    <w:tmpl w:val="10E8027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1AD0377"/>
    <w:multiLevelType w:val="hybridMultilevel"/>
    <w:tmpl w:val="A2DC78BA"/>
    <w:lvl w:ilvl="0" w:tplc="45B45D2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2BD3842"/>
    <w:multiLevelType w:val="hybridMultilevel"/>
    <w:tmpl w:val="342CC5F4"/>
    <w:lvl w:ilvl="0" w:tplc="C0389B6E">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0" w15:restartNumberingAfterBreak="0">
    <w:nsid w:val="34751FEA"/>
    <w:multiLevelType w:val="hybridMultilevel"/>
    <w:tmpl w:val="A990ACCC"/>
    <w:lvl w:ilvl="0" w:tplc="38FEEF4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3B82172A"/>
    <w:multiLevelType w:val="multilevel"/>
    <w:tmpl w:val="A0008F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327290"/>
    <w:multiLevelType w:val="multilevel"/>
    <w:tmpl w:val="B510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3B655F"/>
    <w:multiLevelType w:val="hybridMultilevel"/>
    <w:tmpl w:val="97DA2F66"/>
    <w:lvl w:ilvl="0" w:tplc="33FCAA14">
      <w:start w:val="1"/>
      <w:numFmt w:val="decimal"/>
      <w:lvlText w:val="%1."/>
      <w:lvlJc w:val="left"/>
      <w:pPr>
        <w:tabs>
          <w:tab w:val="num" w:pos="567"/>
        </w:tabs>
        <w:ind w:left="567" w:hanging="567"/>
      </w:pPr>
      <w:rPr>
        <w:rFonts w:cs="Line Printer"/>
        <w:strike w:val="0"/>
        <w:dstrike w:val="0"/>
        <w:color w:val="auto"/>
        <w:u w:val="none"/>
        <w:effect w:val="none"/>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 w15:restartNumberingAfterBreak="0">
    <w:nsid w:val="449D6C23"/>
    <w:multiLevelType w:val="hybridMultilevel"/>
    <w:tmpl w:val="B19062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590A1846"/>
    <w:multiLevelType w:val="multilevel"/>
    <w:tmpl w:val="E352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EA62EA"/>
    <w:multiLevelType w:val="hybridMultilevel"/>
    <w:tmpl w:val="1214D402"/>
    <w:lvl w:ilvl="0" w:tplc="08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 w15:restartNumberingAfterBreak="0">
    <w:nsid w:val="690D69BF"/>
    <w:multiLevelType w:val="hybridMultilevel"/>
    <w:tmpl w:val="3F3AE37A"/>
    <w:lvl w:ilvl="0" w:tplc="54049218">
      <w:start w:val="1"/>
      <w:numFmt w:val="decimal"/>
      <w:lvlText w:val="%1."/>
      <w:lvlJc w:val="left"/>
      <w:pPr>
        <w:tabs>
          <w:tab w:val="num" w:pos="720"/>
        </w:tabs>
        <w:ind w:left="720" w:hanging="360"/>
      </w:pPr>
      <w:rPr>
        <w:b w:val="0"/>
        <w:i w:val="0"/>
        <w:sz w:val="24"/>
        <w:szCs w:val="24"/>
      </w:rPr>
    </w:lvl>
    <w:lvl w:ilvl="1" w:tplc="B49E8F58">
      <w:start w:val="1"/>
      <w:numFmt w:val="lowerLetter"/>
      <w:lvlText w:val="(%2)"/>
      <w:lvlJc w:val="left"/>
      <w:pPr>
        <w:tabs>
          <w:tab w:val="num" w:pos="1440"/>
        </w:tabs>
        <w:ind w:left="1440" w:hanging="360"/>
      </w:pPr>
      <w:rPr>
        <w:rFonts w:ascii="Times New Roman" w:eastAsia="Times New Roman" w:hAnsi="Times New Roman" w:cs="Times New Roman"/>
      </w:rPr>
    </w:lvl>
    <w:lvl w:ilvl="2" w:tplc="4FFA8388">
      <w:start w:val="1"/>
      <w:numFmt w:val="decimal"/>
      <w:lvlText w:val="(%3)"/>
      <w:lvlJc w:val="left"/>
      <w:pPr>
        <w:tabs>
          <w:tab w:val="num" w:pos="2340"/>
        </w:tabs>
        <w:ind w:left="2340" w:hanging="360"/>
      </w:pPr>
      <w:rPr>
        <w:b w:val="0"/>
        <w:i w:val="0"/>
      </w:rPr>
    </w:lvl>
    <w:lvl w:ilvl="3" w:tplc="CAF0032A">
      <w:start w:val="1"/>
      <w:numFmt w:val="lowerRoman"/>
      <w:lvlText w:val="%4."/>
      <w:lvlJc w:val="left"/>
      <w:pPr>
        <w:tabs>
          <w:tab w:val="num" w:pos="3240"/>
        </w:tabs>
        <w:ind w:left="3240" w:hanging="72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rPr>
        <w:b w:val="0"/>
        <w:i w:val="0"/>
        <w:sz w:val="24"/>
        <w:szCs w:val="24"/>
      </w:r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 w15:restartNumberingAfterBreak="0">
    <w:nsid w:val="6F782A03"/>
    <w:multiLevelType w:val="hybridMultilevel"/>
    <w:tmpl w:val="BCFA46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4C045B0"/>
    <w:multiLevelType w:val="hybridMultilevel"/>
    <w:tmpl w:val="434655C8"/>
    <w:lvl w:ilvl="0" w:tplc="DCF40EAC">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0" w15:restartNumberingAfterBreak="0">
    <w:nsid w:val="7EB24790"/>
    <w:multiLevelType w:val="hybridMultilevel"/>
    <w:tmpl w:val="4DE014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12"/>
    <w:lvlOverride w:ilvl="0">
      <w:startOverride w:val="17"/>
    </w:lvlOverride>
  </w:num>
  <w:num w:numId="3">
    <w:abstractNumId w:val="12"/>
    <w:lvlOverride w:ilvl="0">
      <w:startOverride w:val="19"/>
    </w:lvlOverride>
  </w:num>
  <w:num w:numId="4">
    <w:abstractNumId w:val="20"/>
  </w:num>
  <w:num w:numId="5">
    <w:abstractNumId w:val="18"/>
  </w:num>
  <w:num w:numId="6">
    <w:abstractNumId w:val="3"/>
  </w:num>
  <w:num w:numId="7">
    <w:abstractNumId w:val="4"/>
  </w:num>
  <w:num w:numId="8">
    <w:abstractNumId w:val="19"/>
  </w:num>
  <w:num w:numId="9">
    <w:abstractNumId w:val="5"/>
  </w:num>
  <w:num w:numId="10">
    <w:abstractNumId w:val="14"/>
  </w:num>
  <w:num w:numId="11">
    <w:abstractNumId w:val="9"/>
  </w:num>
  <w:num w:numId="12">
    <w:abstractNumId w:val="10"/>
  </w:num>
  <w:num w:numId="13">
    <w:abstractNumId w:val="1"/>
  </w:num>
  <w:num w:numId="14">
    <w:abstractNumId w:val="8"/>
  </w:num>
  <w:num w:numId="15">
    <w:abstractNumId w:val="6"/>
  </w:num>
  <w:num w:numId="16">
    <w:abstractNumId w:val="2"/>
  </w:num>
  <w:num w:numId="17">
    <w:abstractNumId w:val="11"/>
  </w:num>
  <w:num w:numId="18">
    <w:abstractNumId w:val="15"/>
    <w:lvlOverride w:ilvl="0">
      <w:startOverride w:val="16"/>
    </w:lvlOverride>
  </w:num>
  <w:num w:numId="19">
    <w:abstractNumId w:val="15"/>
    <w:lvlOverride w:ilvl="0">
      <w:startOverride w:val="17"/>
    </w:lvlOverride>
  </w:num>
  <w:num w:numId="20">
    <w:abstractNumId w:val="15"/>
    <w:lvlOverride w:ilvl="0">
      <w:startOverride w:val="18"/>
    </w:lvlOverride>
  </w:num>
  <w:num w:numId="21">
    <w:abstractNumId w:val="15"/>
    <w:lvlOverride w:ilvl="0">
      <w:startOverride w:val="19"/>
    </w:lvlOverride>
  </w:num>
  <w:num w:numId="22">
    <w:abstractNumId w:val="15"/>
    <w:lvlOverride w:ilvl="0">
      <w:startOverride w:val="20"/>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6837110-875B-44AE-82B8-1C060AE94C93}"/>
    <w:docVar w:name="dgnword-eventsink" w:val="792981744"/>
  </w:docVars>
  <w:rsids>
    <w:rsidRoot w:val="00503887"/>
    <w:rsid w:val="000001D8"/>
    <w:rsid w:val="00002895"/>
    <w:rsid w:val="00002B9F"/>
    <w:rsid w:val="000047C3"/>
    <w:rsid w:val="00007D33"/>
    <w:rsid w:val="00010F16"/>
    <w:rsid w:val="000111A2"/>
    <w:rsid w:val="0001157F"/>
    <w:rsid w:val="00012C9A"/>
    <w:rsid w:val="0001581F"/>
    <w:rsid w:val="0001755E"/>
    <w:rsid w:val="00023E7F"/>
    <w:rsid w:val="000303CD"/>
    <w:rsid w:val="000306E4"/>
    <w:rsid w:val="00030A29"/>
    <w:rsid w:val="000359E1"/>
    <w:rsid w:val="000367D1"/>
    <w:rsid w:val="00043C8B"/>
    <w:rsid w:val="0005475F"/>
    <w:rsid w:val="00056083"/>
    <w:rsid w:val="0005631C"/>
    <w:rsid w:val="000573C1"/>
    <w:rsid w:val="000603B5"/>
    <w:rsid w:val="00061C05"/>
    <w:rsid w:val="00061DAB"/>
    <w:rsid w:val="00062F11"/>
    <w:rsid w:val="00063897"/>
    <w:rsid w:val="00065EDA"/>
    <w:rsid w:val="00067264"/>
    <w:rsid w:val="00071B2A"/>
    <w:rsid w:val="000724F8"/>
    <w:rsid w:val="00074353"/>
    <w:rsid w:val="00080881"/>
    <w:rsid w:val="0008143E"/>
    <w:rsid w:val="000826B0"/>
    <w:rsid w:val="000828AC"/>
    <w:rsid w:val="000840CD"/>
    <w:rsid w:val="00085742"/>
    <w:rsid w:val="00085D16"/>
    <w:rsid w:val="00090CF9"/>
    <w:rsid w:val="0009125E"/>
    <w:rsid w:val="00094C92"/>
    <w:rsid w:val="0009516D"/>
    <w:rsid w:val="00095218"/>
    <w:rsid w:val="0009524D"/>
    <w:rsid w:val="00095273"/>
    <w:rsid w:val="000973C4"/>
    <w:rsid w:val="000A0053"/>
    <w:rsid w:val="000A4723"/>
    <w:rsid w:val="000A48CD"/>
    <w:rsid w:val="000B3008"/>
    <w:rsid w:val="000B62F5"/>
    <w:rsid w:val="000C2A47"/>
    <w:rsid w:val="000C4611"/>
    <w:rsid w:val="000C788B"/>
    <w:rsid w:val="000D3DBE"/>
    <w:rsid w:val="000E1274"/>
    <w:rsid w:val="000E2DE4"/>
    <w:rsid w:val="000F44F3"/>
    <w:rsid w:val="000F53DF"/>
    <w:rsid w:val="0010690E"/>
    <w:rsid w:val="00107008"/>
    <w:rsid w:val="001072D3"/>
    <w:rsid w:val="00107AFB"/>
    <w:rsid w:val="00107DD5"/>
    <w:rsid w:val="0011297E"/>
    <w:rsid w:val="00114635"/>
    <w:rsid w:val="00114FC1"/>
    <w:rsid w:val="00115B62"/>
    <w:rsid w:val="001172D0"/>
    <w:rsid w:val="00120A91"/>
    <w:rsid w:val="00120ACC"/>
    <w:rsid w:val="00121965"/>
    <w:rsid w:val="00122A22"/>
    <w:rsid w:val="001230F1"/>
    <w:rsid w:val="0012362F"/>
    <w:rsid w:val="00125F39"/>
    <w:rsid w:val="00131A3D"/>
    <w:rsid w:val="00131BB6"/>
    <w:rsid w:val="0013229C"/>
    <w:rsid w:val="00132467"/>
    <w:rsid w:val="00133AE2"/>
    <w:rsid w:val="00133C71"/>
    <w:rsid w:val="001343F7"/>
    <w:rsid w:val="00136F34"/>
    <w:rsid w:val="00137136"/>
    <w:rsid w:val="00150B50"/>
    <w:rsid w:val="00150DDE"/>
    <w:rsid w:val="001515D9"/>
    <w:rsid w:val="001526BE"/>
    <w:rsid w:val="0015610E"/>
    <w:rsid w:val="00162FA7"/>
    <w:rsid w:val="001669A6"/>
    <w:rsid w:val="00167B4C"/>
    <w:rsid w:val="00176367"/>
    <w:rsid w:val="0018031B"/>
    <w:rsid w:val="00182301"/>
    <w:rsid w:val="001835EF"/>
    <w:rsid w:val="00183912"/>
    <w:rsid w:val="00185352"/>
    <w:rsid w:val="00186646"/>
    <w:rsid w:val="00187C19"/>
    <w:rsid w:val="0019638F"/>
    <w:rsid w:val="001A0C08"/>
    <w:rsid w:val="001A4307"/>
    <w:rsid w:val="001A5959"/>
    <w:rsid w:val="001B0009"/>
    <w:rsid w:val="001B026B"/>
    <w:rsid w:val="001B7FB0"/>
    <w:rsid w:val="001C1BBC"/>
    <w:rsid w:val="001D0A72"/>
    <w:rsid w:val="001D4D06"/>
    <w:rsid w:val="001D4FC6"/>
    <w:rsid w:val="001D7D47"/>
    <w:rsid w:val="001E0004"/>
    <w:rsid w:val="001E2BF6"/>
    <w:rsid w:val="001E4A2B"/>
    <w:rsid w:val="001E4B7D"/>
    <w:rsid w:val="001E5A16"/>
    <w:rsid w:val="001F0771"/>
    <w:rsid w:val="001F2745"/>
    <w:rsid w:val="001F2D22"/>
    <w:rsid w:val="001F4777"/>
    <w:rsid w:val="00200B97"/>
    <w:rsid w:val="00202103"/>
    <w:rsid w:val="0021355E"/>
    <w:rsid w:val="0021520B"/>
    <w:rsid w:val="00217221"/>
    <w:rsid w:val="00226A90"/>
    <w:rsid w:val="00230487"/>
    <w:rsid w:val="002345E7"/>
    <w:rsid w:val="0023493B"/>
    <w:rsid w:val="00237E82"/>
    <w:rsid w:val="002438F7"/>
    <w:rsid w:val="0024659B"/>
    <w:rsid w:val="00251DB5"/>
    <w:rsid w:val="0025455C"/>
    <w:rsid w:val="00254594"/>
    <w:rsid w:val="00256F9B"/>
    <w:rsid w:val="00257E77"/>
    <w:rsid w:val="00261266"/>
    <w:rsid w:val="00262152"/>
    <w:rsid w:val="002621B2"/>
    <w:rsid w:val="0026298A"/>
    <w:rsid w:val="00262D84"/>
    <w:rsid w:val="002641D7"/>
    <w:rsid w:val="002648D3"/>
    <w:rsid w:val="00266A8E"/>
    <w:rsid w:val="00267CEE"/>
    <w:rsid w:val="00270B84"/>
    <w:rsid w:val="002928C2"/>
    <w:rsid w:val="002953ED"/>
    <w:rsid w:val="0029559E"/>
    <w:rsid w:val="002965A3"/>
    <w:rsid w:val="002A2EA9"/>
    <w:rsid w:val="002A363E"/>
    <w:rsid w:val="002A37A8"/>
    <w:rsid w:val="002A4453"/>
    <w:rsid w:val="002A75C1"/>
    <w:rsid w:val="002B4614"/>
    <w:rsid w:val="002B591E"/>
    <w:rsid w:val="002B649D"/>
    <w:rsid w:val="002C0DB8"/>
    <w:rsid w:val="002C3376"/>
    <w:rsid w:val="002C6905"/>
    <w:rsid w:val="002C703C"/>
    <w:rsid w:val="002D0D30"/>
    <w:rsid w:val="002D6068"/>
    <w:rsid w:val="002D6968"/>
    <w:rsid w:val="002D7C57"/>
    <w:rsid w:val="002D7D6C"/>
    <w:rsid w:val="002E3BAE"/>
    <w:rsid w:val="002E6B4A"/>
    <w:rsid w:val="002E6F61"/>
    <w:rsid w:val="002E6FC1"/>
    <w:rsid w:val="002F0807"/>
    <w:rsid w:val="002F0836"/>
    <w:rsid w:val="0030356D"/>
    <w:rsid w:val="003069DF"/>
    <w:rsid w:val="003136C6"/>
    <w:rsid w:val="003139B3"/>
    <w:rsid w:val="0031473D"/>
    <w:rsid w:val="00317ACD"/>
    <w:rsid w:val="003222CB"/>
    <w:rsid w:val="00323C1A"/>
    <w:rsid w:val="00323D7C"/>
    <w:rsid w:val="00326F1B"/>
    <w:rsid w:val="0032748C"/>
    <w:rsid w:val="00331032"/>
    <w:rsid w:val="00334C01"/>
    <w:rsid w:val="00337B01"/>
    <w:rsid w:val="00341433"/>
    <w:rsid w:val="00342564"/>
    <w:rsid w:val="00343950"/>
    <w:rsid w:val="003447F8"/>
    <w:rsid w:val="00346DB0"/>
    <w:rsid w:val="00352A26"/>
    <w:rsid w:val="00353CF1"/>
    <w:rsid w:val="003554AD"/>
    <w:rsid w:val="00362425"/>
    <w:rsid w:val="00363022"/>
    <w:rsid w:val="003631B2"/>
    <w:rsid w:val="00363205"/>
    <w:rsid w:val="00364B83"/>
    <w:rsid w:val="00365F83"/>
    <w:rsid w:val="00372CEC"/>
    <w:rsid w:val="00372DE9"/>
    <w:rsid w:val="0037354C"/>
    <w:rsid w:val="00373D18"/>
    <w:rsid w:val="003770CD"/>
    <w:rsid w:val="00380BB4"/>
    <w:rsid w:val="003816CC"/>
    <w:rsid w:val="003839E0"/>
    <w:rsid w:val="00387AEF"/>
    <w:rsid w:val="00390BCC"/>
    <w:rsid w:val="003950D6"/>
    <w:rsid w:val="00396522"/>
    <w:rsid w:val="00396E14"/>
    <w:rsid w:val="003A781E"/>
    <w:rsid w:val="003B04BA"/>
    <w:rsid w:val="003B41AD"/>
    <w:rsid w:val="003C5CE5"/>
    <w:rsid w:val="003C6A37"/>
    <w:rsid w:val="003D038D"/>
    <w:rsid w:val="003D0A31"/>
    <w:rsid w:val="003D0A9F"/>
    <w:rsid w:val="003D0CC1"/>
    <w:rsid w:val="003D6C95"/>
    <w:rsid w:val="003E0238"/>
    <w:rsid w:val="003E0433"/>
    <w:rsid w:val="003E5781"/>
    <w:rsid w:val="003F042B"/>
    <w:rsid w:val="003F1EF2"/>
    <w:rsid w:val="003F25C0"/>
    <w:rsid w:val="003F3816"/>
    <w:rsid w:val="003F6281"/>
    <w:rsid w:val="003F7ACE"/>
    <w:rsid w:val="0040040F"/>
    <w:rsid w:val="004055F5"/>
    <w:rsid w:val="00405664"/>
    <w:rsid w:val="00412362"/>
    <w:rsid w:val="00412B70"/>
    <w:rsid w:val="00414BBF"/>
    <w:rsid w:val="00424B39"/>
    <w:rsid w:val="00425740"/>
    <w:rsid w:val="00430A82"/>
    <w:rsid w:val="00436879"/>
    <w:rsid w:val="0044120F"/>
    <w:rsid w:val="00445B82"/>
    <w:rsid w:val="00455650"/>
    <w:rsid w:val="00456174"/>
    <w:rsid w:val="00461BBB"/>
    <w:rsid w:val="00466720"/>
    <w:rsid w:val="004730F2"/>
    <w:rsid w:val="00473C4B"/>
    <w:rsid w:val="0048104E"/>
    <w:rsid w:val="00485CCA"/>
    <w:rsid w:val="00490CEC"/>
    <w:rsid w:val="00490E8E"/>
    <w:rsid w:val="00494224"/>
    <w:rsid w:val="004A0A2C"/>
    <w:rsid w:val="004A0A65"/>
    <w:rsid w:val="004A1354"/>
    <w:rsid w:val="004B3B36"/>
    <w:rsid w:val="004D12F7"/>
    <w:rsid w:val="004D34E4"/>
    <w:rsid w:val="004D3F84"/>
    <w:rsid w:val="004E142C"/>
    <w:rsid w:val="004E180C"/>
    <w:rsid w:val="004E3787"/>
    <w:rsid w:val="004E4F66"/>
    <w:rsid w:val="004E5313"/>
    <w:rsid w:val="004F0D19"/>
    <w:rsid w:val="004F1EC3"/>
    <w:rsid w:val="004F60D7"/>
    <w:rsid w:val="00500FFF"/>
    <w:rsid w:val="00503887"/>
    <w:rsid w:val="00503D82"/>
    <w:rsid w:val="00505059"/>
    <w:rsid w:val="00512E56"/>
    <w:rsid w:val="005145ED"/>
    <w:rsid w:val="005152A2"/>
    <w:rsid w:val="00515521"/>
    <w:rsid w:val="005156F2"/>
    <w:rsid w:val="00516554"/>
    <w:rsid w:val="00523C04"/>
    <w:rsid w:val="00524664"/>
    <w:rsid w:val="00533FBE"/>
    <w:rsid w:val="005371B6"/>
    <w:rsid w:val="00552F27"/>
    <w:rsid w:val="00560249"/>
    <w:rsid w:val="00565414"/>
    <w:rsid w:val="0056622B"/>
    <w:rsid w:val="00575CA7"/>
    <w:rsid w:val="0058247C"/>
    <w:rsid w:val="005856F3"/>
    <w:rsid w:val="0058575E"/>
    <w:rsid w:val="00586E88"/>
    <w:rsid w:val="005925A3"/>
    <w:rsid w:val="0059261D"/>
    <w:rsid w:val="00592BE6"/>
    <w:rsid w:val="00593795"/>
    <w:rsid w:val="00594CEF"/>
    <w:rsid w:val="00595C0C"/>
    <w:rsid w:val="005A4826"/>
    <w:rsid w:val="005A7B23"/>
    <w:rsid w:val="005B67E3"/>
    <w:rsid w:val="005B72B6"/>
    <w:rsid w:val="005B74F3"/>
    <w:rsid w:val="005B75C6"/>
    <w:rsid w:val="005B7A9D"/>
    <w:rsid w:val="005C6730"/>
    <w:rsid w:val="005D3C8B"/>
    <w:rsid w:val="005E51B0"/>
    <w:rsid w:val="005F69C1"/>
    <w:rsid w:val="00600892"/>
    <w:rsid w:val="006033D6"/>
    <w:rsid w:val="00604B27"/>
    <w:rsid w:val="00604B2F"/>
    <w:rsid w:val="00611A62"/>
    <w:rsid w:val="00614229"/>
    <w:rsid w:val="00615376"/>
    <w:rsid w:val="00615B98"/>
    <w:rsid w:val="006167D5"/>
    <w:rsid w:val="006170AF"/>
    <w:rsid w:val="006358B6"/>
    <w:rsid w:val="006410A3"/>
    <w:rsid w:val="00651814"/>
    <w:rsid w:val="00655177"/>
    <w:rsid w:val="006576AB"/>
    <w:rsid w:val="00662B43"/>
    <w:rsid w:val="00666CB2"/>
    <w:rsid w:val="00667A06"/>
    <w:rsid w:val="00677BB6"/>
    <w:rsid w:val="00686518"/>
    <w:rsid w:val="00694C65"/>
    <w:rsid w:val="00695D48"/>
    <w:rsid w:val="006A1090"/>
    <w:rsid w:val="006A17DA"/>
    <w:rsid w:val="006A5B71"/>
    <w:rsid w:val="006A7FB2"/>
    <w:rsid w:val="006B14FA"/>
    <w:rsid w:val="006B153F"/>
    <w:rsid w:val="006C0B89"/>
    <w:rsid w:val="006C1A0A"/>
    <w:rsid w:val="006C1C60"/>
    <w:rsid w:val="006D3255"/>
    <w:rsid w:val="006E5178"/>
    <w:rsid w:val="006E555E"/>
    <w:rsid w:val="006E5C37"/>
    <w:rsid w:val="006F04C5"/>
    <w:rsid w:val="006F4E5F"/>
    <w:rsid w:val="006F6311"/>
    <w:rsid w:val="006F67CA"/>
    <w:rsid w:val="0070210A"/>
    <w:rsid w:val="00702678"/>
    <w:rsid w:val="00705639"/>
    <w:rsid w:val="007065FA"/>
    <w:rsid w:val="00706817"/>
    <w:rsid w:val="00706926"/>
    <w:rsid w:val="007101D7"/>
    <w:rsid w:val="00720C93"/>
    <w:rsid w:val="00726EBD"/>
    <w:rsid w:val="0073087D"/>
    <w:rsid w:val="00735796"/>
    <w:rsid w:val="00737E50"/>
    <w:rsid w:val="007406E4"/>
    <w:rsid w:val="00744053"/>
    <w:rsid w:val="007453E2"/>
    <w:rsid w:val="007506F5"/>
    <w:rsid w:val="007536DE"/>
    <w:rsid w:val="00754737"/>
    <w:rsid w:val="0075582E"/>
    <w:rsid w:val="00756033"/>
    <w:rsid w:val="007574AC"/>
    <w:rsid w:val="00760441"/>
    <w:rsid w:val="00760E3E"/>
    <w:rsid w:val="0076387F"/>
    <w:rsid w:val="00764A18"/>
    <w:rsid w:val="00765AD5"/>
    <w:rsid w:val="00766F15"/>
    <w:rsid w:val="00771B2F"/>
    <w:rsid w:val="00773D2E"/>
    <w:rsid w:val="0078033E"/>
    <w:rsid w:val="00782B90"/>
    <w:rsid w:val="00784A12"/>
    <w:rsid w:val="0078605C"/>
    <w:rsid w:val="00786083"/>
    <w:rsid w:val="00787711"/>
    <w:rsid w:val="00787920"/>
    <w:rsid w:val="007923D1"/>
    <w:rsid w:val="00792770"/>
    <w:rsid w:val="00793575"/>
    <w:rsid w:val="0079546D"/>
    <w:rsid w:val="00795F95"/>
    <w:rsid w:val="007977D5"/>
    <w:rsid w:val="007A22FF"/>
    <w:rsid w:val="007A4067"/>
    <w:rsid w:val="007A6551"/>
    <w:rsid w:val="007B110F"/>
    <w:rsid w:val="007B30C6"/>
    <w:rsid w:val="007B4090"/>
    <w:rsid w:val="007C3E9C"/>
    <w:rsid w:val="007C6EC2"/>
    <w:rsid w:val="007C717E"/>
    <w:rsid w:val="007D2AD0"/>
    <w:rsid w:val="007D46A0"/>
    <w:rsid w:val="007D6794"/>
    <w:rsid w:val="007D6879"/>
    <w:rsid w:val="007D6EA5"/>
    <w:rsid w:val="007E2269"/>
    <w:rsid w:val="007E3E26"/>
    <w:rsid w:val="007E4B90"/>
    <w:rsid w:val="007E6964"/>
    <w:rsid w:val="007E7D61"/>
    <w:rsid w:val="007F32E7"/>
    <w:rsid w:val="007F42AD"/>
    <w:rsid w:val="007F5B43"/>
    <w:rsid w:val="00800967"/>
    <w:rsid w:val="00802146"/>
    <w:rsid w:val="0080500E"/>
    <w:rsid w:val="008057DE"/>
    <w:rsid w:val="0080705C"/>
    <w:rsid w:val="00810A7F"/>
    <w:rsid w:val="00816297"/>
    <w:rsid w:val="00822B6E"/>
    <w:rsid w:val="00830985"/>
    <w:rsid w:val="00835D03"/>
    <w:rsid w:val="008373FD"/>
    <w:rsid w:val="00841009"/>
    <w:rsid w:val="00842705"/>
    <w:rsid w:val="00842F69"/>
    <w:rsid w:val="00843020"/>
    <w:rsid w:val="0084508A"/>
    <w:rsid w:val="00847F2E"/>
    <w:rsid w:val="00850A1F"/>
    <w:rsid w:val="00851C2F"/>
    <w:rsid w:val="00853664"/>
    <w:rsid w:val="00853E8E"/>
    <w:rsid w:val="008545C1"/>
    <w:rsid w:val="00862503"/>
    <w:rsid w:val="0086511A"/>
    <w:rsid w:val="00865602"/>
    <w:rsid w:val="00865722"/>
    <w:rsid w:val="0087176C"/>
    <w:rsid w:val="00875182"/>
    <w:rsid w:val="00880492"/>
    <w:rsid w:val="008819F7"/>
    <w:rsid w:val="00881D00"/>
    <w:rsid w:val="00883BC7"/>
    <w:rsid w:val="00883D7A"/>
    <w:rsid w:val="00887DBA"/>
    <w:rsid w:val="00890DFD"/>
    <w:rsid w:val="0089340E"/>
    <w:rsid w:val="00895BB3"/>
    <w:rsid w:val="008963DD"/>
    <w:rsid w:val="0089795C"/>
    <w:rsid w:val="008A66D0"/>
    <w:rsid w:val="008B0098"/>
    <w:rsid w:val="008B1F9A"/>
    <w:rsid w:val="008B2DD7"/>
    <w:rsid w:val="008B472E"/>
    <w:rsid w:val="008B63CD"/>
    <w:rsid w:val="008C1448"/>
    <w:rsid w:val="008C2756"/>
    <w:rsid w:val="008C3554"/>
    <w:rsid w:val="008C5D92"/>
    <w:rsid w:val="008C6262"/>
    <w:rsid w:val="008C6613"/>
    <w:rsid w:val="008D0625"/>
    <w:rsid w:val="008D2AA6"/>
    <w:rsid w:val="008D5F91"/>
    <w:rsid w:val="008D6F05"/>
    <w:rsid w:val="008E3E13"/>
    <w:rsid w:val="008E7314"/>
    <w:rsid w:val="008F1984"/>
    <w:rsid w:val="008F31F0"/>
    <w:rsid w:val="008F400D"/>
    <w:rsid w:val="00901ED1"/>
    <w:rsid w:val="0090357B"/>
    <w:rsid w:val="00903D7E"/>
    <w:rsid w:val="009041D9"/>
    <w:rsid w:val="00905FC6"/>
    <w:rsid w:val="00906C67"/>
    <w:rsid w:val="00911D1F"/>
    <w:rsid w:val="00914092"/>
    <w:rsid w:val="00915989"/>
    <w:rsid w:val="0093283E"/>
    <w:rsid w:val="00932CE3"/>
    <w:rsid w:val="009330F5"/>
    <w:rsid w:val="00940FF9"/>
    <w:rsid w:val="00941832"/>
    <w:rsid w:val="00943BF7"/>
    <w:rsid w:val="009468E7"/>
    <w:rsid w:val="009521DF"/>
    <w:rsid w:val="00954ACF"/>
    <w:rsid w:val="00957A4E"/>
    <w:rsid w:val="0096131A"/>
    <w:rsid w:val="00963BE5"/>
    <w:rsid w:val="009641FD"/>
    <w:rsid w:val="00967518"/>
    <w:rsid w:val="009705A4"/>
    <w:rsid w:val="00971AC9"/>
    <w:rsid w:val="00972A0B"/>
    <w:rsid w:val="00980249"/>
    <w:rsid w:val="00981D1A"/>
    <w:rsid w:val="0098660F"/>
    <w:rsid w:val="00992AA1"/>
    <w:rsid w:val="009A0C65"/>
    <w:rsid w:val="009A229B"/>
    <w:rsid w:val="009A33E5"/>
    <w:rsid w:val="009A7CF4"/>
    <w:rsid w:val="009B7420"/>
    <w:rsid w:val="009B7E6D"/>
    <w:rsid w:val="009C7831"/>
    <w:rsid w:val="009C7D5E"/>
    <w:rsid w:val="009E27B2"/>
    <w:rsid w:val="009E53A1"/>
    <w:rsid w:val="009F223E"/>
    <w:rsid w:val="009F2DD4"/>
    <w:rsid w:val="009F5175"/>
    <w:rsid w:val="009F71CF"/>
    <w:rsid w:val="00A02099"/>
    <w:rsid w:val="00A02CE5"/>
    <w:rsid w:val="00A05EFA"/>
    <w:rsid w:val="00A06D3D"/>
    <w:rsid w:val="00A10684"/>
    <w:rsid w:val="00A145A7"/>
    <w:rsid w:val="00A1557E"/>
    <w:rsid w:val="00A16179"/>
    <w:rsid w:val="00A17061"/>
    <w:rsid w:val="00A22C41"/>
    <w:rsid w:val="00A23505"/>
    <w:rsid w:val="00A24454"/>
    <w:rsid w:val="00A27D90"/>
    <w:rsid w:val="00A32AF9"/>
    <w:rsid w:val="00A36B01"/>
    <w:rsid w:val="00A40021"/>
    <w:rsid w:val="00A418D6"/>
    <w:rsid w:val="00A41FE0"/>
    <w:rsid w:val="00A463C0"/>
    <w:rsid w:val="00A46C64"/>
    <w:rsid w:val="00A4780A"/>
    <w:rsid w:val="00A50AB5"/>
    <w:rsid w:val="00A54F8B"/>
    <w:rsid w:val="00A74CBA"/>
    <w:rsid w:val="00A74F81"/>
    <w:rsid w:val="00A762C6"/>
    <w:rsid w:val="00A7647F"/>
    <w:rsid w:val="00A82F90"/>
    <w:rsid w:val="00A831B4"/>
    <w:rsid w:val="00A83C17"/>
    <w:rsid w:val="00A840FD"/>
    <w:rsid w:val="00A936B9"/>
    <w:rsid w:val="00A95CE6"/>
    <w:rsid w:val="00AA2888"/>
    <w:rsid w:val="00AA7821"/>
    <w:rsid w:val="00AB0F9E"/>
    <w:rsid w:val="00AB176C"/>
    <w:rsid w:val="00AB2694"/>
    <w:rsid w:val="00AB7E32"/>
    <w:rsid w:val="00AB7E58"/>
    <w:rsid w:val="00AC4DD4"/>
    <w:rsid w:val="00AC5228"/>
    <w:rsid w:val="00AC67D8"/>
    <w:rsid w:val="00AC694F"/>
    <w:rsid w:val="00AC7467"/>
    <w:rsid w:val="00AD29BD"/>
    <w:rsid w:val="00AD3247"/>
    <w:rsid w:val="00AD44AB"/>
    <w:rsid w:val="00AD5EC2"/>
    <w:rsid w:val="00AE6FE2"/>
    <w:rsid w:val="00AE73AF"/>
    <w:rsid w:val="00AF4436"/>
    <w:rsid w:val="00B02B9C"/>
    <w:rsid w:val="00B04A12"/>
    <w:rsid w:val="00B06A2D"/>
    <w:rsid w:val="00B169D7"/>
    <w:rsid w:val="00B205E2"/>
    <w:rsid w:val="00B20C29"/>
    <w:rsid w:val="00B2408F"/>
    <w:rsid w:val="00B24E03"/>
    <w:rsid w:val="00B3406D"/>
    <w:rsid w:val="00B35D97"/>
    <w:rsid w:val="00B401CC"/>
    <w:rsid w:val="00B444E9"/>
    <w:rsid w:val="00B4492F"/>
    <w:rsid w:val="00B44AE1"/>
    <w:rsid w:val="00B45A6B"/>
    <w:rsid w:val="00B5019A"/>
    <w:rsid w:val="00B536B0"/>
    <w:rsid w:val="00B555FE"/>
    <w:rsid w:val="00B630C0"/>
    <w:rsid w:val="00B632F9"/>
    <w:rsid w:val="00B65EBB"/>
    <w:rsid w:val="00B66576"/>
    <w:rsid w:val="00B7151B"/>
    <w:rsid w:val="00B740FB"/>
    <w:rsid w:val="00B84E76"/>
    <w:rsid w:val="00B8776D"/>
    <w:rsid w:val="00B908CC"/>
    <w:rsid w:val="00B92DD8"/>
    <w:rsid w:val="00B942E3"/>
    <w:rsid w:val="00B958AC"/>
    <w:rsid w:val="00BA1997"/>
    <w:rsid w:val="00BA55EF"/>
    <w:rsid w:val="00BA601E"/>
    <w:rsid w:val="00BA77A9"/>
    <w:rsid w:val="00BB0BED"/>
    <w:rsid w:val="00BC3EF5"/>
    <w:rsid w:val="00BC7132"/>
    <w:rsid w:val="00BC7D84"/>
    <w:rsid w:val="00BD31C7"/>
    <w:rsid w:val="00BD3BFE"/>
    <w:rsid w:val="00BE2005"/>
    <w:rsid w:val="00BE3664"/>
    <w:rsid w:val="00BE3DFF"/>
    <w:rsid w:val="00C03009"/>
    <w:rsid w:val="00C079D8"/>
    <w:rsid w:val="00C07D2D"/>
    <w:rsid w:val="00C141C5"/>
    <w:rsid w:val="00C15791"/>
    <w:rsid w:val="00C15B27"/>
    <w:rsid w:val="00C20821"/>
    <w:rsid w:val="00C2165D"/>
    <w:rsid w:val="00C22F56"/>
    <w:rsid w:val="00C2313A"/>
    <w:rsid w:val="00C2553B"/>
    <w:rsid w:val="00C25708"/>
    <w:rsid w:val="00C3007B"/>
    <w:rsid w:val="00C32979"/>
    <w:rsid w:val="00C33717"/>
    <w:rsid w:val="00C35976"/>
    <w:rsid w:val="00C36DDB"/>
    <w:rsid w:val="00C44E9E"/>
    <w:rsid w:val="00C503B3"/>
    <w:rsid w:val="00C565B6"/>
    <w:rsid w:val="00C60547"/>
    <w:rsid w:val="00C612EF"/>
    <w:rsid w:val="00C64158"/>
    <w:rsid w:val="00C65656"/>
    <w:rsid w:val="00C66600"/>
    <w:rsid w:val="00C7138A"/>
    <w:rsid w:val="00C736F2"/>
    <w:rsid w:val="00C837D6"/>
    <w:rsid w:val="00C83F04"/>
    <w:rsid w:val="00C8535C"/>
    <w:rsid w:val="00C85E53"/>
    <w:rsid w:val="00C87BD2"/>
    <w:rsid w:val="00C91437"/>
    <w:rsid w:val="00C923FA"/>
    <w:rsid w:val="00C924BC"/>
    <w:rsid w:val="00C94463"/>
    <w:rsid w:val="00C94E56"/>
    <w:rsid w:val="00C9596E"/>
    <w:rsid w:val="00C95EF9"/>
    <w:rsid w:val="00C97347"/>
    <w:rsid w:val="00CA4BEA"/>
    <w:rsid w:val="00CA53B7"/>
    <w:rsid w:val="00CA7A46"/>
    <w:rsid w:val="00CB0A42"/>
    <w:rsid w:val="00CC2B8B"/>
    <w:rsid w:val="00CC2E12"/>
    <w:rsid w:val="00CC5BB7"/>
    <w:rsid w:val="00CC71E2"/>
    <w:rsid w:val="00CC77E7"/>
    <w:rsid w:val="00CD2873"/>
    <w:rsid w:val="00CD3D71"/>
    <w:rsid w:val="00CD7808"/>
    <w:rsid w:val="00CE11AE"/>
    <w:rsid w:val="00CE2ED4"/>
    <w:rsid w:val="00CE4856"/>
    <w:rsid w:val="00CE6DB2"/>
    <w:rsid w:val="00CE73CF"/>
    <w:rsid w:val="00CF00A1"/>
    <w:rsid w:val="00CF153B"/>
    <w:rsid w:val="00CF325C"/>
    <w:rsid w:val="00CF334F"/>
    <w:rsid w:val="00CF3748"/>
    <w:rsid w:val="00CF3D62"/>
    <w:rsid w:val="00CF4F17"/>
    <w:rsid w:val="00CF742E"/>
    <w:rsid w:val="00D01F79"/>
    <w:rsid w:val="00D038BD"/>
    <w:rsid w:val="00D1099C"/>
    <w:rsid w:val="00D1200E"/>
    <w:rsid w:val="00D1415A"/>
    <w:rsid w:val="00D219F1"/>
    <w:rsid w:val="00D2435A"/>
    <w:rsid w:val="00D248BF"/>
    <w:rsid w:val="00D25E1A"/>
    <w:rsid w:val="00D30A1B"/>
    <w:rsid w:val="00D346B2"/>
    <w:rsid w:val="00D35454"/>
    <w:rsid w:val="00D40585"/>
    <w:rsid w:val="00D44173"/>
    <w:rsid w:val="00D466BC"/>
    <w:rsid w:val="00D47C8C"/>
    <w:rsid w:val="00D50B93"/>
    <w:rsid w:val="00D51CE6"/>
    <w:rsid w:val="00D520FB"/>
    <w:rsid w:val="00D57C07"/>
    <w:rsid w:val="00D600E0"/>
    <w:rsid w:val="00D61E5A"/>
    <w:rsid w:val="00D63E17"/>
    <w:rsid w:val="00D66004"/>
    <w:rsid w:val="00D66941"/>
    <w:rsid w:val="00D676BC"/>
    <w:rsid w:val="00D716F5"/>
    <w:rsid w:val="00D72533"/>
    <w:rsid w:val="00D743A4"/>
    <w:rsid w:val="00D74572"/>
    <w:rsid w:val="00D7462C"/>
    <w:rsid w:val="00D80370"/>
    <w:rsid w:val="00D806C5"/>
    <w:rsid w:val="00D83FB4"/>
    <w:rsid w:val="00D873D6"/>
    <w:rsid w:val="00D90FA5"/>
    <w:rsid w:val="00D92A62"/>
    <w:rsid w:val="00D95350"/>
    <w:rsid w:val="00DA0272"/>
    <w:rsid w:val="00DA454A"/>
    <w:rsid w:val="00DA53FB"/>
    <w:rsid w:val="00DA6A1C"/>
    <w:rsid w:val="00DA77D9"/>
    <w:rsid w:val="00DC1106"/>
    <w:rsid w:val="00DC2557"/>
    <w:rsid w:val="00DC2C13"/>
    <w:rsid w:val="00DC3931"/>
    <w:rsid w:val="00DC5A54"/>
    <w:rsid w:val="00DD1F79"/>
    <w:rsid w:val="00DD4B9F"/>
    <w:rsid w:val="00DD5C6E"/>
    <w:rsid w:val="00DD6FA2"/>
    <w:rsid w:val="00DD723F"/>
    <w:rsid w:val="00DE07E8"/>
    <w:rsid w:val="00DE25FF"/>
    <w:rsid w:val="00DE35A3"/>
    <w:rsid w:val="00DE3880"/>
    <w:rsid w:val="00DE5FA3"/>
    <w:rsid w:val="00DF1E13"/>
    <w:rsid w:val="00DF2E88"/>
    <w:rsid w:val="00DF332F"/>
    <w:rsid w:val="00DF667B"/>
    <w:rsid w:val="00DF6E1C"/>
    <w:rsid w:val="00E05E87"/>
    <w:rsid w:val="00E0683B"/>
    <w:rsid w:val="00E0733F"/>
    <w:rsid w:val="00E10C73"/>
    <w:rsid w:val="00E13CEE"/>
    <w:rsid w:val="00E147CF"/>
    <w:rsid w:val="00E174ED"/>
    <w:rsid w:val="00E20AE6"/>
    <w:rsid w:val="00E31F3E"/>
    <w:rsid w:val="00E32DD6"/>
    <w:rsid w:val="00E3340D"/>
    <w:rsid w:val="00E33B66"/>
    <w:rsid w:val="00E33EA4"/>
    <w:rsid w:val="00E352E3"/>
    <w:rsid w:val="00E3734D"/>
    <w:rsid w:val="00E41A12"/>
    <w:rsid w:val="00E421CF"/>
    <w:rsid w:val="00E55787"/>
    <w:rsid w:val="00E55C5A"/>
    <w:rsid w:val="00E61636"/>
    <w:rsid w:val="00E62B62"/>
    <w:rsid w:val="00E658C6"/>
    <w:rsid w:val="00E65A68"/>
    <w:rsid w:val="00E66D8C"/>
    <w:rsid w:val="00E7302F"/>
    <w:rsid w:val="00E75986"/>
    <w:rsid w:val="00E80176"/>
    <w:rsid w:val="00E81CC7"/>
    <w:rsid w:val="00E82D8A"/>
    <w:rsid w:val="00E91542"/>
    <w:rsid w:val="00E91D95"/>
    <w:rsid w:val="00E97964"/>
    <w:rsid w:val="00EA6099"/>
    <w:rsid w:val="00EA778D"/>
    <w:rsid w:val="00EB19CE"/>
    <w:rsid w:val="00EB3D21"/>
    <w:rsid w:val="00EB6633"/>
    <w:rsid w:val="00EC13DF"/>
    <w:rsid w:val="00EC35B3"/>
    <w:rsid w:val="00ED0F08"/>
    <w:rsid w:val="00ED1A87"/>
    <w:rsid w:val="00ED2509"/>
    <w:rsid w:val="00ED7C3A"/>
    <w:rsid w:val="00EE05A8"/>
    <w:rsid w:val="00EE237B"/>
    <w:rsid w:val="00EF1AE3"/>
    <w:rsid w:val="00EF2367"/>
    <w:rsid w:val="00EF40EB"/>
    <w:rsid w:val="00EF4979"/>
    <w:rsid w:val="00EF4EF2"/>
    <w:rsid w:val="00F032E8"/>
    <w:rsid w:val="00F03917"/>
    <w:rsid w:val="00F1518B"/>
    <w:rsid w:val="00F1674B"/>
    <w:rsid w:val="00F16DFB"/>
    <w:rsid w:val="00F2019A"/>
    <w:rsid w:val="00F205B2"/>
    <w:rsid w:val="00F22B04"/>
    <w:rsid w:val="00F257EE"/>
    <w:rsid w:val="00F2600D"/>
    <w:rsid w:val="00F27330"/>
    <w:rsid w:val="00F31D20"/>
    <w:rsid w:val="00F33BE8"/>
    <w:rsid w:val="00F33EF9"/>
    <w:rsid w:val="00F3749E"/>
    <w:rsid w:val="00F40FDD"/>
    <w:rsid w:val="00F43936"/>
    <w:rsid w:val="00F504EE"/>
    <w:rsid w:val="00F50B86"/>
    <w:rsid w:val="00F65E63"/>
    <w:rsid w:val="00F662BB"/>
    <w:rsid w:val="00F6716F"/>
    <w:rsid w:val="00F70090"/>
    <w:rsid w:val="00F7144C"/>
    <w:rsid w:val="00F74E45"/>
    <w:rsid w:val="00F81530"/>
    <w:rsid w:val="00F81CDF"/>
    <w:rsid w:val="00F86DF2"/>
    <w:rsid w:val="00F87538"/>
    <w:rsid w:val="00F93BB7"/>
    <w:rsid w:val="00F94A95"/>
    <w:rsid w:val="00F97369"/>
    <w:rsid w:val="00FB47F9"/>
    <w:rsid w:val="00FB537F"/>
    <w:rsid w:val="00FB6EEF"/>
    <w:rsid w:val="00FB7FFE"/>
    <w:rsid w:val="00FC1FDF"/>
    <w:rsid w:val="00FC276F"/>
    <w:rsid w:val="00FC3D7C"/>
    <w:rsid w:val="00FD2B63"/>
    <w:rsid w:val="00FD6447"/>
    <w:rsid w:val="00FD71BF"/>
    <w:rsid w:val="00FE1BCE"/>
    <w:rsid w:val="00FF19A9"/>
    <w:rsid w:val="00FF369D"/>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19E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99"/>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styleId="Hyperlink">
    <w:name w:val="Hyperlink"/>
    <w:uiPriority w:val="99"/>
    <w:semiHidden/>
    <w:unhideWhenUsed/>
    <w:rsid w:val="00CC2B8B"/>
    <w:rPr>
      <w:color w:val="0000FF"/>
      <w:u w:val="single"/>
    </w:rPr>
  </w:style>
  <w:style w:type="paragraph" w:customStyle="1" w:styleId="legp1paratext1">
    <w:name w:val="legp1paratext1"/>
    <w:basedOn w:val="Normal"/>
    <w:rsid w:val="005152A2"/>
    <w:pPr>
      <w:shd w:val="clear" w:color="auto" w:fill="FFFFFF"/>
      <w:spacing w:after="120" w:line="360" w:lineRule="atLeast"/>
      <w:ind w:firstLine="240"/>
      <w:jc w:val="both"/>
    </w:pPr>
    <w:rPr>
      <w:rFonts w:eastAsia="Times New Roman"/>
      <w:color w:val="494949"/>
      <w:sz w:val="19"/>
      <w:szCs w:val="19"/>
    </w:rPr>
  </w:style>
  <w:style w:type="paragraph" w:customStyle="1" w:styleId="legp2paratext1">
    <w:name w:val="legp2paratext1"/>
    <w:basedOn w:val="Normal"/>
    <w:rsid w:val="005152A2"/>
    <w:pPr>
      <w:shd w:val="clear" w:color="auto" w:fill="FFFFFF"/>
      <w:spacing w:after="120" w:line="360" w:lineRule="atLeast"/>
      <w:ind w:firstLine="240"/>
      <w:jc w:val="both"/>
    </w:pPr>
    <w:rPr>
      <w:rFonts w:eastAsia="Times New Roman"/>
      <w:color w:val="494949"/>
      <w:sz w:val="19"/>
      <w:szCs w:val="19"/>
    </w:rPr>
  </w:style>
  <w:style w:type="character" w:customStyle="1" w:styleId="ennote">
    <w:name w:val="ennote"/>
    <w:rsid w:val="005152A2"/>
  </w:style>
  <w:style w:type="character" w:customStyle="1" w:styleId="legp1no3">
    <w:name w:val="legp1no3"/>
    <w:rsid w:val="005152A2"/>
    <w:rPr>
      <w:b/>
      <w:bCs/>
    </w:rPr>
  </w:style>
  <w:style w:type="character" w:styleId="HTMLAcronym">
    <w:name w:val="HTML Acronym"/>
    <w:uiPriority w:val="99"/>
    <w:semiHidden/>
    <w:unhideWhenUsed/>
    <w:rsid w:val="005152A2"/>
  </w:style>
  <w:style w:type="paragraph" w:customStyle="1" w:styleId="legclearfix2">
    <w:name w:val="legclearfix2"/>
    <w:basedOn w:val="Normal"/>
    <w:rsid w:val="005152A2"/>
    <w:pPr>
      <w:shd w:val="clear" w:color="auto" w:fill="FFFFFF"/>
      <w:spacing w:after="120" w:line="360" w:lineRule="atLeast"/>
    </w:pPr>
    <w:rPr>
      <w:rFonts w:eastAsia="Times New Roman"/>
      <w:color w:val="494949"/>
      <w:sz w:val="19"/>
      <w:szCs w:val="19"/>
    </w:rPr>
  </w:style>
  <w:style w:type="character" w:customStyle="1" w:styleId="legds2">
    <w:name w:val="legds2"/>
    <w:rsid w:val="005152A2"/>
    <w:rPr>
      <w:vanish w:val="0"/>
      <w:webHidden w:val="0"/>
      <w:specVanish w:val="0"/>
    </w:rPr>
  </w:style>
  <w:style w:type="paragraph" w:customStyle="1" w:styleId="p">
    <w:name w:val="p"/>
    <w:basedOn w:val="Normal"/>
    <w:rsid w:val="008D0625"/>
    <w:pPr>
      <w:spacing w:before="240"/>
      <w:ind w:left="567" w:hanging="567"/>
      <w:jc w:val="both"/>
    </w:pPr>
    <w:rPr>
      <w:rFonts w:ascii="Book Antiqua" w:eastAsia="Times New Roman" w:hAnsi="Book Antiqua"/>
    </w:rPr>
  </w:style>
  <w:style w:type="character" w:styleId="Emphasis">
    <w:name w:val="Emphasis"/>
    <w:basedOn w:val="DefaultParagraphFont"/>
    <w:uiPriority w:val="99"/>
    <w:qFormat/>
    <w:locked/>
    <w:rsid w:val="007F32E7"/>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9703">
      <w:bodyDiv w:val="1"/>
      <w:marLeft w:val="0"/>
      <w:marRight w:val="0"/>
      <w:marTop w:val="0"/>
      <w:marBottom w:val="0"/>
      <w:divBdr>
        <w:top w:val="none" w:sz="0" w:space="0" w:color="auto"/>
        <w:left w:val="none" w:sz="0" w:space="0" w:color="auto"/>
        <w:bottom w:val="none" w:sz="0" w:space="0" w:color="auto"/>
        <w:right w:val="none" w:sz="0" w:space="0" w:color="auto"/>
      </w:divBdr>
    </w:div>
    <w:div w:id="23753295">
      <w:bodyDiv w:val="1"/>
      <w:marLeft w:val="0"/>
      <w:marRight w:val="0"/>
      <w:marTop w:val="0"/>
      <w:marBottom w:val="0"/>
      <w:divBdr>
        <w:top w:val="none" w:sz="0" w:space="0" w:color="auto"/>
        <w:left w:val="none" w:sz="0" w:space="0" w:color="auto"/>
        <w:bottom w:val="none" w:sz="0" w:space="0" w:color="auto"/>
        <w:right w:val="none" w:sz="0" w:space="0" w:color="auto"/>
      </w:divBdr>
      <w:divsChild>
        <w:div w:id="1422530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40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048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70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74469">
      <w:bodyDiv w:val="1"/>
      <w:marLeft w:val="0"/>
      <w:marRight w:val="0"/>
      <w:marTop w:val="0"/>
      <w:marBottom w:val="0"/>
      <w:divBdr>
        <w:top w:val="none" w:sz="0" w:space="0" w:color="auto"/>
        <w:left w:val="none" w:sz="0" w:space="0" w:color="auto"/>
        <w:bottom w:val="none" w:sz="0" w:space="0" w:color="auto"/>
        <w:right w:val="none" w:sz="0" w:space="0" w:color="auto"/>
      </w:divBdr>
      <w:divsChild>
        <w:div w:id="334112764">
          <w:marLeft w:val="0"/>
          <w:marRight w:val="0"/>
          <w:marTop w:val="0"/>
          <w:marBottom w:val="0"/>
          <w:divBdr>
            <w:top w:val="none" w:sz="0" w:space="0" w:color="auto"/>
            <w:left w:val="none" w:sz="0" w:space="0" w:color="auto"/>
            <w:bottom w:val="none" w:sz="0" w:space="0" w:color="auto"/>
            <w:right w:val="none" w:sz="0" w:space="0" w:color="auto"/>
          </w:divBdr>
          <w:divsChild>
            <w:div w:id="2126776398">
              <w:marLeft w:val="0"/>
              <w:marRight w:val="0"/>
              <w:marTop w:val="0"/>
              <w:marBottom w:val="0"/>
              <w:divBdr>
                <w:top w:val="none" w:sz="0" w:space="0" w:color="auto"/>
                <w:left w:val="none" w:sz="0" w:space="0" w:color="auto"/>
                <w:bottom w:val="none" w:sz="0" w:space="0" w:color="auto"/>
                <w:right w:val="none" w:sz="0" w:space="0" w:color="auto"/>
              </w:divBdr>
              <w:divsChild>
                <w:div w:id="629702591">
                  <w:marLeft w:val="0"/>
                  <w:marRight w:val="0"/>
                  <w:marTop w:val="0"/>
                  <w:marBottom w:val="0"/>
                  <w:divBdr>
                    <w:top w:val="none" w:sz="0" w:space="0" w:color="auto"/>
                    <w:left w:val="none" w:sz="0" w:space="0" w:color="auto"/>
                    <w:bottom w:val="none" w:sz="0" w:space="0" w:color="auto"/>
                    <w:right w:val="none" w:sz="0" w:space="0" w:color="auto"/>
                  </w:divBdr>
                  <w:divsChild>
                    <w:div w:id="1550996100">
                      <w:marLeft w:val="0"/>
                      <w:marRight w:val="0"/>
                      <w:marTop w:val="0"/>
                      <w:marBottom w:val="0"/>
                      <w:divBdr>
                        <w:top w:val="none" w:sz="0" w:space="0" w:color="auto"/>
                        <w:left w:val="none" w:sz="0" w:space="0" w:color="auto"/>
                        <w:bottom w:val="none" w:sz="0" w:space="0" w:color="auto"/>
                        <w:right w:val="none" w:sz="0" w:space="0" w:color="auto"/>
                      </w:divBdr>
                      <w:divsChild>
                        <w:div w:id="925916459">
                          <w:marLeft w:val="0"/>
                          <w:marRight w:val="0"/>
                          <w:marTop w:val="0"/>
                          <w:marBottom w:val="0"/>
                          <w:divBdr>
                            <w:top w:val="none" w:sz="0" w:space="0" w:color="auto"/>
                            <w:left w:val="none" w:sz="0" w:space="0" w:color="auto"/>
                            <w:bottom w:val="none" w:sz="0" w:space="0" w:color="auto"/>
                            <w:right w:val="none" w:sz="0" w:space="0" w:color="auto"/>
                          </w:divBdr>
                          <w:divsChild>
                            <w:div w:id="119810119">
                              <w:marLeft w:val="0"/>
                              <w:marRight w:val="0"/>
                              <w:marTop w:val="0"/>
                              <w:marBottom w:val="0"/>
                              <w:divBdr>
                                <w:top w:val="none" w:sz="0" w:space="0" w:color="auto"/>
                                <w:left w:val="none" w:sz="0" w:space="0" w:color="auto"/>
                                <w:bottom w:val="none" w:sz="0" w:space="0" w:color="auto"/>
                                <w:right w:val="none" w:sz="0" w:space="0" w:color="auto"/>
                              </w:divBdr>
                              <w:divsChild>
                                <w:div w:id="1290548862">
                                  <w:marLeft w:val="0"/>
                                  <w:marRight w:val="0"/>
                                  <w:marTop w:val="0"/>
                                  <w:marBottom w:val="0"/>
                                  <w:divBdr>
                                    <w:top w:val="none" w:sz="0" w:space="0" w:color="auto"/>
                                    <w:left w:val="none" w:sz="0" w:space="0" w:color="auto"/>
                                    <w:bottom w:val="none" w:sz="0" w:space="0" w:color="auto"/>
                                    <w:right w:val="none" w:sz="0" w:space="0" w:color="auto"/>
                                  </w:divBdr>
                                  <w:divsChild>
                                    <w:div w:id="6352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081496">
      <w:bodyDiv w:val="1"/>
      <w:marLeft w:val="0"/>
      <w:marRight w:val="0"/>
      <w:marTop w:val="0"/>
      <w:marBottom w:val="0"/>
      <w:divBdr>
        <w:top w:val="none" w:sz="0" w:space="0" w:color="auto"/>
        <w:left w:val="none" w:sz="0" w:space="0" w:color="auto"/>
        <w:bottom w:val="none" w:sz="0" w:space="0" w:color="auto"/>
        <w:right w:val="none" w:sz="0" w:space="0" w:color="auto"/>
      </w:divBdr>
    </w:div>
    <w:div w:id="600528075">
      <w:bodyDiv w:val="1"/>
      <w:marLeft w:val="0"/>
      <w:marRight w:val="0"/>
      <w:marTop w:val="0"/>
      <w:marBottom w:val="0"/>
      <w:divBdr>
        <w:top w:val="none" w:sz="0" w:space="0" w:color="auto"/>
        <w:left w:val="none" w:sz="0" w:space="0" w:color="auto"/>
        <w:bottom w:val="none" w:sz="0" w:space="0" w:color="auto"/>
        <w:right w:val="none" w:sz="0" w:space="0" w:color="auto"/>
      </w:divBdr>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1796">
      <w:bodyDiv w:val="1"/>
      <w:marLeft w:val="0"/>
      <w:marRight w:val="0"/>
      <w:marTop w:val="0"/>
      <w:marBottom w:val="0"/>
      <w:divBdr>
        <w:top w:val="none" w:sz="0" w:space="0" w:color="auto"/>
        <w:left w:val="none" w:sz="0" w:space="0" w:color="auto"/>
        <w:bottom w:val="none" w:sz="0" w:space="0" w:color="auto"/>
        <w:right w:val="none" w:sz="0" w:space="0" w:color="auto"/>
      </w:divBdr>
    </w:div>
    <w:div w:id="1216964762">
      <w:bodyDiv w:val="1"/>
      <w:marLeft w:val="0"/>
      <w:marRight w:val="0"/>
      <w:marTop w:val="0"/>
      <w:marBottom w:val="0"/>
      <w:divBdr>
        <w:top w:val="none" w:sz="0" w:space="0" w:color="auto"/>
        <w:left w:val="none" w:sz="0" w:space="0" w:color="auto"/>
        <w:bottom w:val="none" w:sz="0" w:space="0" w:color="auto"/>
        <w:right w:val="none" w:sz="0" w:space="0" w:color="auto"/>
      </w:divBdr>
      <w:divsChild>
        <w:div w:id="435251673">
          <w:marLeft w:val="0"/>
          <w:marRight w:val="0"/>
          <w:marTop w:val="0"/>
          <w:marBottom w:val="0"/>
          <w:divBdr>
            <w:top w:val="none" w:sz="0" w:space="0" w:color="auto"/>
            <w:left w:val="none" w:sz="0" w:space="0" w:color="auto"/>
            <w:bottom w:val="none" w:sz="0" w:space="0" w:color="auto"/>
            <w:right w:val="none" w:sz="0" w:space="0" w:color="auto"/>
          </w:divBdr>
          <w:divsChild>
            <w:div w:id="2120711394">
              <w:marLeft w:val="0"/>
              <w:marRight w:val="0"/>
              <w:marTop w:val="0"/>
              <w:marBottom w:val="0"/>
              <w:divBdr>
                <w:top w:val="none" w:sz="0" w:space="0" w:color="auto"/>
                <w:left w:val="none" w:sz="0" w:space="0" w:color="auto"/>
                <w:bottom w:val="none" w:sz="0" w:space="0" w:color="auto"/>
                <w:right w:val="none" w:sz="0" w:space="0" w:color="auto"/>
              </w:divBdr>
              <w:divsChild>
                <w:div w:id="473062773">
                  <w:marLeft w:val="0"/>
                  <w:marRight w:val="0"/>
                  <w:marTop w:val="0"/>
                  <w:marBottom w:val="0"/>
                  <w:divBdr>
                    <w:top w:val="none" w:sz="0" w:space="0" w:color="auto"/>
                    <w:left w:val="none" w:sz="0" w:space="0" w:color="auto"/>
                    <w:bottom w:val="none" w:sz="0" w:space="0" w:color="auto"/>
                    <w:right w:val="none" w:sz="0" w:space="0" w:color="auto"/>
                  </w:divBdr>
                  <w:divsChild>
                    <w:div w:id="525023003">
                      <w:marLeft w:val="0"/>
                      <w:marRight w:val="0"/>
                      <w:marTop w:val="0"/>
                      <w:marBottom w:val="0"/>
                      <w:divBdr>
                        <w:top w:val="none" w:sz="0" w:space="0" w:color="auto"/>
                        <w:left w:val="none" w:sz="0" w:space="0" w:color="auto"/>
                        <w:bottom w:val="none" w:sz="0" w:space="0" w:color="auto"/>
                        <w:right w:val="none" w:sz="0" w:space="0" w:color="auto"/>
                      </w:divBdr>
                      <w:divsChild>
                        <w:div w:id="1949000238">
                          <w:marLeft w:val="0"/>
                          <w:marRight w:val="0"/>
                          <w:marTop w:val="0"/>
                          <w:marBottom w:val="0"/>
                          <w:divBdr>
                            <w:top w:val="none" w:sz="0" w:space="0" w:color="auto"/>
                            <w:left w:val="none" w:sz="0" w:space="0" w:color="auto"/>
                            <w:bottom w:val="none" w:sz="0" w:space="0" w:color="auto"/>
                            <w:right w:val="none" w:sz="0" w:space="0" w:color="auto"/>
                          </w:divBdr>
                          <w:divsChild>
                            <w:div w:id="632758811">
                              <w:marLeft w:val="0"/>
                              <w:marRight w:val="0"/>
                              <w:marTop w:val="0"/>
                              <w:marBottom w:val="0"/>
                              <w:divBdr>
                                <w:top w:val="none" w:sz="0" w:space="0" w:color="auto"/>
                                <w:left w:val="none" w:sz="0" w:space="0" w:color="auto"/>
                                <w:bottom w:val="none" w:sz="0" w:space="0" w:color="auto"/>
                                <w:right w:val="none" w:sz="0" w:space="0" w:color="auto"/>
                              </w:divBdr>
                              <w:divsChild>
                                <w:div w:id="428278762">
                                  <w:marLeft w:val="0"/>
                                  <w:marRight w:val="0"/>
                                  <w:marTop w:val="0"/>
                                  <w:marBottom w:val="0"/>
                                  <w:divBdr>
                                    <w:top w:val="none" w:sz="0" w:space="0" w:color="auto"/>
                                    <w:left w:val="none" w:sz="0" w:space="0" w:color="auto"/>
                                    <w:bottom w:val="none" w:sz="0" w:space="0" w:color="auto"/>
                                    <w:right w:val="none" w:sz="0" w:space="0" w:color="auto"/>
                                  </w:divBdr>
                                  <w:divsChild>
                                    <w:div w:id="21174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736102">
      <w:bodyDiv w:val="1"/>
      <w:marLeft w:val="0"/>
      <w:marRight w:val="0"/>
      <w:marTop w:val="0"/>
      <w:marBottom w:val="0"/>
      <w:divBdr>
        <w:top w:val="none" w:sz="0" w:space="0" w:color="auto"/>
        <w:left w:val="none" w:sz="0" w:space="0" w:color="auto"/>
        <w:bottom w:val="none" w:sz="0" w:space="0" w:color="auto"/>
        <w:right w:val="none" w:sz="0" w:space="0" w:color="auto"/>
      </w:divBdr>
      <w:divsChild>
        <w:div w:id="1209300248">
          <w:marLeft w:val="0"/>
          <w:marRight w:val="0"/>
          <w:marTop w:val="0"/>
          <w:marBottom w:val="0"/>
          <w:divBdr>
            <w:top w:val="none" w:sz="0" w:space="0" w:color="auto"/>
            <w:left w:val="none" w:sz="0" w:space="0" w:color="auto"/>
            <w:bottom w:val="none" w:sz="0" w:space="0" w:color="auto"/>
            <w:right w:val="none" w:sz="0" w:space="0" w:color="auto"/>
          </w:divBdr>
          <w:divsChild>
            <w:div w:id="703752785">
              <w:marLeft w:val="0"/>
              <w:marRight w:val="0"/>
              <w:marTop w:val="0"/>
              <w:marBottom w:val="0"/>
              <w:divBdr>
                <w:top w:val="single" w:sz="2" w:space="0" w:color="FFFFFF"/>
                <w:left w:val="single" w:sz="6" w:space="0" w:color="FFFFFF"/>
                <w:bottom w:val="single" w:sz="6" w:space="0" w:color="FFFFFF"/>
                <w:right w:val="single" w:sz="6" w:space="0" w:color="FFFFFF"/>
              </w:divBdr>
              <w:divsChild>
                <w:div w:id="1034378568">
                  <w:marLeft w:val="0"/>
                  <w:marRight w:val="0"/>
                  <w:marTop w:val="0"/>
                  <w:marBottom w:val="0"/>
                  <w:divBdr>
                    <w:top w:val="single" w:sz="6" w:space="1" w:color="D3D3D3"/>
                    <w:left w:val="none" w:sz="0" w:space="0" w:color="auto"/>
                    <w:bottom w:val="none" w:sz="0" w:space="0" w:color="auto"/>
                    <w:right w:val="none" w:sz="0" w:space="0" w:color="auto"/>
                  </w:divBdr>
                  <w:divsChild>
                    <w:div w:id="2057586484">
                      <w:marLeft w:val="0"/>
                      <w:marRight w:val="0"/>
                      <w:marTop w:val="0"/>
                      <w:marBottom w:val="0"/>
                      <w:divBdr>
                        <w:top w:val="none" w:sz="0" w:space="0" w:color="auto"/>
                        <w:left w:val="none" w:sz="0" w:space="0" w:color="auto"/>
                        <w:bottom w:val="none" w:sz="0" w:space="0" w:color="auto"/>
                        <w:right w:val="none" w:sz="0" w:space="0" w:color="auto"/>
                      </w:divBdr>
                      <w:divsChild>
                        <w:div w:id="3311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095586">
      <w:bodyDiv w:val="1"/>
      <w:marLeft w:val="0"/>
      <w:marRight w:val="0"/>
      <w:marTop w:val="0"/>
      <w:marBottom w:val="0"/>
      <w:divBdr>
        <w:top w:val="none" w:sz="0" w:space="0" w:color="auto"/>
        <w:left w:val="none" w:sz="0" w:space="0" w:color="auto"/>
        <w:bottom w:val="none" w:sz="0" w:space="0" w:color="auto"/>
        <w:right w:val="none" w:sz="0" w:space="0" w:color="auto"/>
      </w:divBdr>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53635">
      <w:bodyDiv w:val="1"/>
      <w:marLeft w:val="0"/>
      <w:marRight w:val="0"/>
      <w:marTop w:val="0"/>
      <w:marBottom w:val="0"/>
      <w:divBdr>
        <w:top w:val="none" w:sz="0" w:space="0" w:color="auto"/>
        <w:left w:val="none" w:sz="0" w:space="0" w:color="auto"/>
        <w:bottom w:val="none" w:sz="0" w:space="0" w:color="auto"/>
        <w:right w:val="none" w:sz="0" w:space="0" w:color="auto"/>
      </w:divBdr>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802224">
      <w:bodyDiv w:val="1"/>
      <w:marLeft w:val="0"/>
      <w:marRight w:val="0"/>
      <w:marTop w:val="0"/>
      <w:marBottom w:val="0"/>
      <w:divBdr>
        <w:top w:val="none" w:sz="0" w:space="0" w:color="auto"/>
        <w:left w:val="none" w:sz="0" w:space="0" w:color="auto"/>
        <w:bottom w:val="none" w:sz="0" w:space="0" w:color="auto"/>
        <w:right w:val="none" w:sz="0" w:space="0" w:color="auto"/>
      </w:divBdr>
      <w:divsChild>
        <w:div w:id="895629392">
          <w:marLeft w:val="0"/>
          <w:marRight w:val="0"/>
          <w:marTop w:val="0"/>
          <w:marBottom w:val="0"/>
          <w:divBdr>
            <w:top w:val="none" w:sz="0" w:space="0" w:color="auto"/>
            <w:left w:val="none" w:sz="0" w:space="0" w:color="auto"/>
            <w:bottom w:val="none" w:sz="0" w:space="0" w:color="auto"/>
            <w:right w:val="none" w:sz="0" w:space="0" w:color="auto"/>
          </w:divBdr>
          <w:divsChild>
            <w:div w:id="2122915573">
              <w:marLeft w:val="0"/>
              <w:marRight w:val="0"/>
              <w:marTop w:val="0"/>
              <w:marBottom w:val="0"/>
              <w:divBdr>
                <w:top w:val="single" w:sz="2" w:space="0" w:color="FFFFFF"/>
                <w:left w:val="single" w:sz="6" w:space="0" w:color="FFFFFF"/>
                <w:bottom w:val="single" w:sz="6" w:space="0" w:color="FFFFFF"/>
                <w:right w:val="single" w:sz="6" w:space="0" w:color="FFFFFF"/>
              </w:divBdr>
              <w:divsChild>
                <w:div w:id="880096199">
                  <w:marLeft w:val="0"/>
                  <w:marRight w:val="0"/>
                  <w:marTop w:val="0"/>
                  <w:marBottom w:val="0"/>
                  <w:divBdr>
                    <w:top w:val="single" w:sz="6" w:space="1" w:color="D3D3D3"/>
                    <w:left w:val="none" w:sz="0" w:space="0" w:color="auto"/>
                    <w:bottom w:val="none" w:sz="0" w:space="0" w:color="auto"/>
                    <w:right w:val="none" w:sz="0" w:space="0" w:color="auto"/>
                  </w:divBdr>
                  <w:divsChild>
                    <w:div w:id="1520001406">
                      <w:marLeft w:val="0"/>
                      <w:marRight w:val="0"/>
                      <w:marTop w:val="0"/>
                      <w:marBottom w:val="0"/>
                      <w:divBdr>
                        <w:top w:val="none" w:sz="0" w:space="0" w:color="auto"/>
                        <w:left w:val="none" w:sz="0" w:space="0" w:color="auto"/>
                        <w:bottom w:val="none" w:sz="0" w:space="0" w:color="auto"/>
                        <w:right w:val="none" w:sz="0" w:space="0" w:color="auto"/>
                      </w:divBdr>
                      <w:divsChild>
                        <w:div w:id="7112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37586">
      <w:bodyDiv w:val="1"/>
      <w:marLeft w:val="0"/>
      <w:marRight w:val="0"/>
      <w:marTop w:val="0"/>
      <w:marBottom w:val="0"/>
      <w:divBdr>
        <w:top w:val="none" w:sz="0" w:space="0" w:color="auto"/>
        <w:left w:val="none" w:sz="0" w:space="0" w:color="auto"/>
        <w:bottom w:val="none" w:sz="0" w:space="0" w:color="auto"/>
        <w:right w:val="none" w:sz="0" w:space="0" w:color="auto"/>
      </w:divBdr>
    </w:div>
    <w:div w:id="196634639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42E69-45A4-43D6-A32B-82BE9B8F0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4480</Words>
  <Characters>22002</Characters>
  <Application>Microsoft Office Word</Application>
  <DocSecurity>0</DocSecurity>
  <Lines>183</Lines>
  <Paragraphs>52</Paragraphs>
  <ScaleCrop>false</ScaleCrop>
  <Company/>
  <LinksUpToDate>false</LinksUpToDate>
  <CharactersWithSpaces>26430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2018-07-19T13:46:00Z</dcterms:created>
  <dcterms:modified xsi:type="dcterms:W3CDTF">2018-07-19T13:46:00Z</dcterms:modified>
</cp:coreProperties>
</file>