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14C" w:rsidRPr="009B7433" w:rsidRDefault="000E714C" w:rsidP="00A16E60">
      <w:pPr>
        <w:jc w:val="center"/>
        <w:rPr>
          <w:rFonts w:ascii="Book Antiqua" w:hAnsi="Book Antiqua" w:cs="Arial"/>
          <w:caps/>
          <w:color w:val="000000"/>
          <w:sz w:val="16"/>
          <w:szCs w:val="16"/>
        </w:rPr>
      </w:pPr>
      <w:r>
        <w:rPr>
          <w:rFonts w:ascii="Book Antiqua" w:hAnsi="Book Antiqua" w:cs="Arial"/>
          <w:caps/>
          <w:color w:val="000000"/>
          <w:sz w:val="16"/>
          <w:szCs w:val="16"/>
        </w:rPr>
        <w:t xml:space="preserve">         </w:t>
      </w:r>
      <w:r w:rsidR="00B9227A">
        <w:rPr>
          <w:noProof/>
        </w:rPr>
        <w:drawing>
          <wp:inline distT="0" distB="0" distL="0" distR="0">
            <wp:extent cx="1216800" cy="1033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800" cy="1033200"/>
                    </a:xfrm>
                    <a:prstGeom prst="rect">
                      <a:avLst/>
                    </a:prstGeom>
                    <a:noFill/>
                    <a:ln>
                      <a:noFill/>
                    </a:ln>
                  </pic:spPr>
                </pic:pic>
              </a:graphicData>
            </a:graphic>
          </wp:inline>
        </w:drawing>
      </w:r>
    </w:p>
    <w:p w:rsidR="000E714C" w:rsidRPr="009B7433" w:rsidRDefault="000E714C" w:rsidP="00203FEA">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0E714C" w:rsidRPr="004F7744" w:rsidRDefault="000E714C" w:rsidP="008307DA">
      <w:pPr>
        <w:tabs>
          <w:tab w:val="right" w:pos="9720"/>
        </w:tabs>
        <w:ind w:right="-82"/>
        <w:rPr>
          <w:rFonts w:ascii="Book Antiqua" w:hAnsi="Book Antiqua" w:cs="Arial"/>
          <w:b/>
          <w:caps/>
          <w:color w:val="000000"/>
        </w:rPr>
      </w:pPr>
      <w:r w:rsidRPr="009B7433">
        <w:rPr>
          <w:rFonts w:ascii="Book Antiqua" w:hAnsi="Book Antiqua" w:cs="Arial"/>
          <w:b/>
          <w:color w:val="000000"/>
        </w:rPr>
        <w:t>(</w:t>
      </w:r>
      <w:r w:rsidR="004F7744">
        <w:rPr>
          <w:rFonts w:ascii="Book Antiqua" w:hAnsi="Book Antiqua" w:cs="Arial"/>
          <w:b/>
          <w:color w:val="000000"/>
        </w:rPr>
        <w:t xml:space="preserve">Immigration and Asylum </w:t>
      </w:r>
      <w:proofErr w:type="gramStart"/>
      <w:r w:rsidR="004F7744">
        <w:rPr>
          <w:rFonts w:ascii="Book Antiqua" w:hAnsi="Book Antiqua" w:cs="Arial"/>
          <w:b/>
          <w:color w:val="000000"/>
        </w:rPr>
        <w:t xml:space="preserve">Chamber)   </w:t>
      </w:r>
      <w:proofErr w:type="gramEnd"/>
      <w:r w:rsidR="004F7744">
        <w:rPr>
          <w:rFonts w:ascii="Book Antiqua" w:hAnsi="Book Antiqua" w:cs="Arial"/>
          <w:b/>
          <w:color w:val="000000"/>
        </w:rPr>
        <w:t xml:space="preserve">                      </w:t>
      </w:r>
      <w:r w:rsidRPr="004F7744">
        <w:rPr>
          <w:rFonts w:ascii="Book Antiqua" w:hAnsi="Book Antiqua" w:cs="Arial"/>
          <w:b/>
          <w:color w:val="000000"/>
        </w:rPr>
        <w:t>Appeal Number: HU/13564/2016</w:t>
      </w:r>
    </w:p>
    <w:p w:rsidR="000E714C" w:rsidRPr="009B7433" w:rsidRDefault="000E714C" w:rsidP="008307DA">
      <w:pPr>
        <w:jc w:val="center"/>
        <w:rPr>
          <w:rFonts w:ascii="Book Antiqua" w:hAnsi="Book Antiqua" w:cs="Arial"/>
          <w:color w:val="000000"/>
        </w:rPr>
      </w:pPr>
    </w:p>
    <w:p w:rsidR="000E714C" w:rsidRPr="009B7433" w:rsidRDefault="000E714C" w:rsidP="00203FEA">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0E714C" w:rsidRPr="009B7433" w:rsidRDefault="000E714C" w:rsidP="008307DA">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0E714C" w:rsidRPr="00F011A6" w:rsidTr="004F7744">
        <w:tc>
          <w:tcPr>
            <w:tcW w:w="5387" w:type="dxa"/>
          </w:tcPr>
          <w:p w:rsidR="000E714C" w:rsidRPr="00F011A6" w:rsidRDefault="000E714C" w:rsidP="00E12D04">
            <w:pPr>
              <w:jc w:val="both"/>
              <w:rPr>
                <w:rFonts w:ascii="Book Antiqua" w:hAnsi="Book Antiqua" w:cs="Arial"/>
                <w:b/>
              </w:rPr>
            </w:pPr>
            <w:r w:rsidRPr="00F011A6">
              <w:rPr>
                <w:rFonts w:ascii="Book Antiqua" w:hAnsi="Book Antiqua" w:cs="Arial"/>
                <w:b/>
              </w:rPr>
              <w:t>Heard at Field House</w:t>
            </w:r>
          </w:p>
        </w:tc>
        <w:tc>
          <w:tcPr>
            <w:tcW w:w="4621" w:type="dxa"/>
          </w:tcPr>
          <w:p w:rsidR="000E714C" w:rsidRPr="00F011A6" w:rsidRDefault="000E714C" w:rsidP="00E12D04">
            <w:pPr>
              <w:jc w:val="both"/>
              <w:rPr>
                <w:rFonts w:ascii="Book Antiqua" w:hAnsi="Book Antiqua" w:cs="Arial"/>
                <w:b/>
                <w:color w:val="000000"/>
              </w:rPr>
            </w:pPr>
            <w:r w:rsidRPr="00F011A6">
              <w:rPr>
                <w:rFonts w:ascii="Book Antiqua" w:hAnsi="Book Antiqua" w:cs="Arial"/>
                <w:b/>
                <w:color w:val="000000"/>
              </w:rPr>
              <w:t>Decision &amp; Reasons Promulgated</w:t>
            </w:r>
          </w:p>
        </w:tc>
      </w:tr>
      <w:tr w:rsidR="000E714C" w:rsidRPr="00F011A6" w:rsidTr="004F7744">
        <w:tc>
          <w:tcPr>
            <w:tcW w:w="5387" w:type="dxa"/>
          </w:tcPr>
          <w:p w:rsidR="000E714C" w:rsidRPr="00F011A6" w:rsidRDefault="000E714C" w:rsidP="007A56C4">
            <w:pPr>
              <w:jc w:val="both"/>
              <w:rPr>
                <w:rFonts w:ascii="Book Antiqua" w:hAnsi="Book Antiqua" w:cs="Arial"/>
                <w:b/>
              </w:rPr>
            </w:pPr>
            <w:r w:rsidRPr="00F011A6">
              <w:rPr>
                <w:rFonts w:ascii="Book Antiqua" w:hAnsi="Book Antiqua" w:cs="Arial"/>
                <w:b/>
              </w:rPr>
              <w:t>On</w:t>
            </w:r>
            <w:r>
              <w:rPr>
                <w:rFonts w:ascii="Book Antiqua" w:hAnsi="Book Antiqua" w:cs="Arial"/>
                <w:b/>
              </w:rPr>
              <w:t xml:space="preserve"> 2 August 2018</w:t>
            </w:r>
          </w:p>
        </w:tc>
        <w:tc>
          <w:tcPr>
            <w:tcW w:w="4621" w:type="dxa"/>
          </w:tcPr>
          <w:p w:rsidR="000E714C" w:rsidRPr="00F011A6" w:rsidRDefault="00B9227A" w:rsidP="00E12D04">
            <w:pPr>
              <w:jc w:val="both"/>
              <w:rPr>
                <w:rFonts w:ascii="Book Antiqua" w:hAnsi="Book Antiqua" w:cs="Arial"/>
                <w:b/>
              </w:rPr>
            </w:pPr>
            <w:r>
              <w:rPr>
                <w:rFonts w:ascii="Book Antiqua" w:hAnsi="Book Antiqua" w:cs="Arial"/>
                <w:b/>
              </w:rPr>
              <w:t>On 24 August 2018</w:t>
            </w:r>
          </w:p>
        </w:tc>
      </w:tr>
      <w:tr w:rsidR="000E714C" w:rsidRPr="00F011A6" w:rsidTr="004F7744">
        <w:tc>
          <w:tcPr>
            <w:tcW w:w="5387" w:type="dxa"/>
          </w:tcPr>
          <w:p w:rsidR="000E714C" w:rsidRPr="00F011A6" w:rsidRDefault="000E714C" w:rsidP="00E12D04">
            <w:pPr>
              <w:jc w:val="both"/>
              <w:rPr>
                <w:rFonts w:ascii="Book Antiqua" w:hAnsi="Book Antiqua" w:cs="Arial"/>
                <w:b/>
              </w:rPr>
            </w:pPr>
          </w:p>
        </w:tc>
        <w:tc>
          <w:tcPr>
            <w:tcW w:w="4621" w:type="dxa"/>
          </w:tcPr>
          <w:p w:rsidR="000E714C" w:rsidRPr="00F011A6" w:rsidRDefault="000E714C" w:rsidP="00E12D04">
            <w:pPr>
              <w:jc w:val="both"/>
              <w:rPr>
                <w:rFonts w:ascii="Book Antiqua" w:hAnsi="Book Antiqua" w:cs="Arial"/>
                <w:b/>
              </w:rPr>
            </w:pPr>
          </w:p>
        </w:tc>
      </w:tr>
    </w:tbl>
    <w:p w:rsidR="000E714C" w:rsidRPr="009B7433" w:rsidRDefault="000E714C" w:rsidP="008307DA">
      <w:pPr>
        <w:jc w:val="center"/>
        <w:rPr>
          <w:rFonts w:ascii="Book Antiqua" w:hAnsi="Book Antiqua" w:cs="Arial"/>
        </w:rPr>
      </w:pPr>
    </w:p>
    <w:p w:rsidR="000E714C" w:rsidRPr="009B7433" w:rsidRDefault="000E714C" w:rsidP="00203FEA">
      <w:pPr>
        <w:jc w:val="center"/>
        <w:outlineLvl w:val="0"/>
        <w:rPr>
          <w:rFonts w:ascii="Book Antiqua" w:hAnsi="Book Antiqua" w:cs="Arial"/>
          <w:b/>
        </w:rPr>
      </w:pPr>
      <w:r w:rsidRPr="009B7433">
        <w:rPr>
          <w:rFonts w:ascii="Book Antiqua" w:hAnsi="Book Antiqua" w:cs="Arial"/>
          <w:b/>
        </w:rPr>
        <w:t>Before</w:t>
      </w:r>
    </w:p>
    <w:p w:rsidR="000E714C" w:rsidRPr="009B7433" w:rsidRDefault="000E714C" w:rsidP="008307DA">
      <w:pPr>
        <w:jc w:val="center"/>
        <w:rPr>
          <w:rFonts w:ascii="Book Antiqua" w:hAnsi="Book Antiqua" w:cs="Arial"/>
          <w:b/>
        </w:rPr>
      </w:pPr>
    </w:p>
    <w:p w:rsidR="000E714C" w:rsidRPr="009B7433" w:rsidRDefault="000E714C" w:rsidP="00203FEA">
      <w:pPr>
        <w:jc w:val="center"/>
        <w:outlineLvl w:val="0"/>
        <w:rPr>
          <w:rFonts w:ascii="Book Antiqua" w:hAnsi="Book Antiqua" w:cs="Arial"/>
          <w:b/>
          <w:color w:val="000000"/>
        </w:rPr>
      </w:pPr>
      <w:r>
        <w:rPr>
          <w:rFonts w:ascii="Book Antiqua" w:hAnsi="Book Antiqua" w:cs="Arial"/>
          <w:b/>
          <w:color w:val="000000"/>
        </w:rPr>
        <w:t>DEPUTY UPPER TRIBUNAL</w:t>
      </w:r>
      <w:r w:rsidRPr="009B7433">
        <w:rPr>
          <w:rFonts w:ascii="Book Antiqua" w:hAnsi="Book Antiqua" w:cs="Arial"/>
          <w:b/>
          <w:color w:val="000000"/>
        </w:rPr>
        <w:t xml:space="preserve"> JUDGE LATTER</w:t>
      </w:r>
    </w:p>
    <w:p w:rsidR="000E714C" w:rsidRPr="009B7433" w:rsidRDefault="000E714C" w:rsidP="008307DA">
      <w:pPr>
        <w:jc w:val="center"/>
        <w:rPr>
          <w:rFonts w:ascii="Book Antiqua" w:hAnsi="Book Antiqua" w:cs="Arial"/>
          <w:b/>
        </w:rPr>
      </w:pPr>
    </w:p>
    <w:p w:rsidR="000E714C" w:rsidRDefault="000E714C" w:rsidP="00203FEA">
      <w:pPr>
        <w:jc w:val="center"/>
        <w:outlineLvl w:val="0"/>
        <w:rPr>
          <w:rFonts w:ascii="Book Antiqua" w:hAnsi="Book Antiqua" w:cs="Arial"/>
          <w:b/>
        </w:rPr>
      </w:pPr>
      <w:r w:rsidRPr="009B7433">
        <w:rPr>
          <w:rFonts w:ascii="Book Antiqua" w:hAnsi="Book Antiqua" w:cs="Arial"/>
          <w:b/>
        </w:rPr>
        <w:t>Between</w:t>
      </w:r>
    </w:p>
    <w:p w:rsidR="000E714C" w:rsidRPr="009B7433" w:rsidRDefault="000E714C" w:rsidP="008307DA">
      <w:pPr>
        <w:jc w:val="center"/>
        <w:rPr>
          <w:rFonts w:ascii="Book Antiqua" w:hAnsi="Book Antiqua" w:cs="Arial"/>
          <w:b/>
        </w:rPr>
      </w:pPr>
    </w:p>
    <w:p w:rsidR="000E714C" w:rsidRDefault="000E714C" w:rsidP="00203FEA">
      <w:pPr>
        <w:jc w:val="center"/>
        <w:outlineLvl w:val="0"/>
        <w:rPr>
          <w:rFonts w:ascii="Book Antiqua" w:hAnsi="Book Antiqua" w:cs="Arial"/>
          <w:b/>
          <w:caps/>
        </w:rPr>
      </w:pPr>
      <w:r w:rsidRPr="00271319">
        <w:rPr>
          <w:rFonts w:ascii="Book Antiqua" w:hAnsi="Book Antiqua" w:cs="Arial"/>
          <w:b/>
          <w:caps/>
        </w:rPr>
        <w:t xml:space="preserve"> </w:t>
      </w:r>
      <w:r>
        <w:rPr>
          <w:rFonts w:ascii="Book Antiqua" w:hAnsi="Book Antiqua" w:cs="Arial"/>
          <w:b/>
          <w:caps/>
        </w:rPr>
        <w:t>MOHAMMED ANHAR HUSSAIN</w:t>
      </w:r>
    </w:p>
    <w:p w:rsidR="000E714C" w:rsidRPr="004F7744" w:rsidRDefault="000E714C" w:rsidP="008307DA">
      <w:pPr>
        <w:jc w:val="center"/>
        <w:rPr>
          <w:rFonts w:ascii="Book Antiqua" w:hAnsi="Book Antiqua" w:cs="Arial"/>
        </w:rPr>
      </w:pPr>
      <w:r w:rsidRPr="004F7744">
        <w:rPr>
          <w:rFonts w:ascii="Book Antiqua" w:hAnsi="Book Antiqua" w:cs="Arial"/>
          <w:caps/>
        </w:rPr>
        <w:t xml:space="preserve">(ANONYMITY DIRECTION </w:t>
      </w:r>
      <w:bookmarkStart w:id="0" w:name="Text21"/>
      <w:r w:rsidRPr="004F7744">
        <w:rPr>
          <w:rFonts w:ascii="Book Antiqua" w:hAnsi="Book Antiqua" w:cs="Arial"/>
          <w:caps/>
        </w:rPr>
        <w:t>NOT</w:t>
      </w:r>
      <w:bookmarkEnd w:id="0"/>
      <w:r w:rsidR="004F7744" w:rsidRPr="004F7744">
        <w:rPr>
          <w:rFonts w:ascii="Book Antiqua" w:hAnsi="Book Antiqua" w:cs="Arial"/>
          <w:caps/>
        </w:rPr>
        <w:t xml:space="preserve"> MADE</w:t>
      </w:r>
      <w:r w:rsidRPr="004F7744">
        <w:rPr>
          <w:rFonts w:ascii="Book Antiqua" w:hAnsi="Book Antiqua" w:cs="Arial"/>
          <w:caps/>
        </w:rPr>
        <w:t>)</w:t>
      </w:r>
    </w:p>
    <w:p w:rsidR="000E714C" w:rsidRPr="009B7433" w:rsidRDefault="000E714C" w:rsidP="00203FEA">
      <w:pPr>
        <w:jc w:val="right"/>
        <w:outlineLvl w:val="0"/>
        <w:rPr>
          <w:rFonts w:ascii="Book Antiqua" w:hAnsi="Book Antiqua" w:cs="Arial"/>
          <w:u w:val="single"/>
        </w:rPr>
      </w:pPr>
      <w:r w:rsidRPr="009B7433">
        <w:rPr>
          <w:rFonts w:ascii="Book Antiqua" w:hAnsi="Book Antiqua" w:cs="Arial"/>
          <w:u w:val="single"/>
        </w:rPr>
        <w:t>Appellant</w:t>
      </w:r>
    </w:p>
    <w:p w:rsidR="000E714C" w:rsidRPr="009B7433" w:rsidRDefault="000E714C" w:rsidP="008307DA">
      <w:pPr>
        <w:jc w:val="center"/>
        <w:rPr>
          <w:rFonts w:ascii="Book Antiqua" w:hAnsi="Book Antiqua" w:cs="Arial"/>
          <w:b/>
        </w:rPr>
      </w:pPr>
      <w:r w:rsidRPr="009B7433">
        <w:rPr>
          <w:rFonts w:ascii="Book Antiqua" w:hAnsi="Book Antiqua" w:cs="Arial"/>
          <w:b/>
        </w:rPr>
        <w:t>and</w:t>
      </w:r>
    </w:p>
    <w:p w:rsidR="000E714C" w:rsidRPr="009B7433" w:rsidRDefault="000E714C" w:rsidP="008307DA">
      <w:pPr>
        <w:jc w:val="center"/>
        <w:rPr>
          <w:rFonts w:ascii="Book Antiqua" w:hAnsi="Book Antiqua" w:cs="Arial"/>
          <w:b/>
        </w:rPr>
      </w:pPr>
    </w:p>
    <w:p w:rsidR="000E714C" w:rsidRPr="009B7433" w:rsidRDefault="000E714C" w:rsidP="00203FEA">
      <w:pPr>
        <w:jc w:val="center"/>
        <w:outlineLvl w:val="0"/>
        <w:rPr>
          <w:rFonts w:ascii="Book Antiqua" w:hAnsi="Book Antiqua" w:cs="Arial"/>
          <w:b/>
        </w:rPr>
      </w:pPr>
      <w:r>
        <w:rPr>
          <w:rFonts w:ascii="Book Antiqua" w:hAnsi="Book Antiqua" w:cs="Arial"/>
          <w:b/>
        </w:rPr>
        <w:t>SECRETARY OF STATE FOR THE HOME DEPARTMENT</w:t>
      </w:r>
    </w:p>
    <w:p w:rsidR="000E714C" w:rsidRPr="009B7433" w:rsidRDefault="000E714C" w:rsidP="00203FEA">
      <w:pPr>
        <w:jc w:val="right"/>
        <w:outlineLvl w:val="0"/>
        <w:rPr>
          <w:rFonts w:ascii="Book Antiqua" w:hAnsi="Book Antiqua" w:cs="Arial"/>
          <w:u w:val="single"/>
        </w:rPr>
      </w:pPr>
      <w:r w:rsidRPr="009B7433">
        <w:rPr>
          <w:rFonts w:ascii="Book Antiqua" w:hAnsi="Book Antiqua" w:cs="Arial"/>
          <w:u w:val="single"/>
        </w:rPr>
        <w:t>Respondent</w:t>
      </w:r>
    </w:p>
    <w:p w:rsidR="000E714C" w:rsidRPr="009B7433" w:rsidRDefault="000E714C" w:rsidP="008307DA">
      <w:pPr>
        <w:rPr>
          <w:rFonts w:ascii="Book Antiqua" w:hAnsi="Book Antiqua" w:cs="Arial"/>
          <w:u w:val="single"/>
        </w:rPr>
      </w:pPr>
    </w:p>
    <w:p w:rsidR="000E714C" w:rsidRPr="009B7433" w:rsidRDefault="000E714C" w:rsidP="00203FEA">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0E714C" w:rsidRPr="009B7433" w:rsidRDefault="000E714C" w:rsidP="008307DA">
      <w:pPr>
        <w:rPr>
          <w:rFonts w:ascii="Book Antiqua" w:hAnsi="Book Antiqua" w:cs="Arial"/>
        </w:rPr>
      </w:pPr>
    </w:p>
    <w:p w:rsidR="000E714C" w:rsidRPr="009B7433" w:rsidRDefault="000E714C" w:rsidP="00203FEA">
      <w:pPr>
        <w:tabs>
          <w:tab w:val="left" w:pos="2520"/>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Mr A Syed-Ali, counsel.</w:t>
      </w:r>
    </w:p>
    <w:p w:rsidR="000E714C" w:rsidRPr="009B7433" w:rsidRDefault="000E714C" w:rsidP="008307DA">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Ms A Everett, Home Office Presenting Officer </w:t>
      </w:r>
    </w:p>
    <w:p w:rsidR="000E714C" w:rsidRDefault="000E714C" w:rsidP="00012173">
      <w:pPr>
        <w:tabs>
          <w:tab w:val="left" w:pos="2520"/>
        </w:tabs>
        <w:rPr>
          <w:rFonts w:ascii="Book Antiqua" w:hAnsi="Book Antiqua" w:cs="Arial"/>
        </w:rPr>
      </w:pPr>
      <w:r>
        <w:rPr>
          <w:rFonts w:ascii="Book Antiqua" w:hAnsi="Book Antiqua" w:cs="Arial"/>
        </w:rPr>
        <w:tab/>
      </w:r>
    </w:p>
    <w:p w:rsidR="000E714C" w:rsidRPr="009B7433" w:rsidRDefault="000E714C" w:rsidP="00203FEA">
      <w:pPr>
        <w:tabs>
          <w:tab w:val="left" w:pos="2520"/>
        </w:tabs>
        <w:jc w:val="center"/>
        <w:outlineLvl w:val="0"/>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 xml:space="preserve">AND </w:t>
      </w:r>
      <w:r>
        <w:rPr>
          <w:rFonts w:ascii="Book Antiqua" w:hAnsi="Book Antiqua" w:cs="Arial"/>
          <w:b/>
          <w:u w:val="single"/>
        </w:rPr>
        <w:t>REASONS</w:t>
      </w:r>
    </w:p>
    <w:p w:rsidR="000E714C" w:rsidRDefault="000E714C" w:rsidP="00012173">
      <w:pPr>
        <w:jc w:val="both"/>
        <w:rPr>
          <w:rFonts w:ascii="Book Antiqua" w:hAnsi="Book Antiqua"/>
        </w:rPr>
      </w:pPr>
    </w:p>
    <w:p w:rsidR="000E714C" w:rsidRDefault="000E714C" w:rsidP="00012173">
      <w:pPr>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w:t>
      </w:r>
      <w:r>
        <w:rPr>
          <w:rFonts w:ascii="Book Antiqua" w:hAnsi="Book Antiqua"/>
        </w:rPr>
        <w:tab/>
      </w:r>
      <w:r w:rsidRPr="00431994">
        <w:rPr>
          <w:rFonts w:ascii="Book Antiqua" w:hAnsi="Book Antiqua"/>
        </w:rPr>
        <w:t>This is an appeal by the appellant against a decision of the First-tier Tribunal issued on 28 November 2017 dismissing his appeal against the respondent's decision of 17 May 2016 refusing his application for leave to remain on the 10</w:t>
      </w:r>
      <w:r>
        <w:rPr>
          <w:rFonts w:ascii="Book Antiqua" w:hAnsi="Book Antiqua"/>
        </w:rPr>
        <w:t>-</w:t>
      </w:r>
      <w:r w:rsidRPr="00431994">
        <w:rPr>
          <w:rFonts w:ascii="Book Antiqua" w:hAnsi="Book Antiqua"/>
        </w:rPr>
        <w:t>year partner route.</w:t>
      </w:r>
    </w:p>
    <w:p w:rsidR="004F7744" w:rsidRDefault="004F7744"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0E714C" w:rsidRPr="00AD7D29"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AD7D29">
        <w:rPr>
          <w:rFonts w:ascii="Book Antiqua" w:hAnsi="Book Antiqua"/>
          <w:u w:val="single"/>
        </w:rPr>
        <w:t>Background</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w:t>
      </w:r>
      <w:r>
        <w:rPr>
          <w:rFonts w:ascii="Book Antiqua" w:hAnsi="Book Antiqua"/>
        </w:rPr>
        <w:tab/>
      </w:r>
      <w:r w:rsidRPr="00431994">
        <w:rPr>
          <w:rFonts w:ascii="Book Antiqua" w:hAnsi="Book Antiqua"/>
        </w:rPr>
        <w:t xml:space="preserve">The appellant is a citizen of </w:t>
      </w:r>
      <w:smartTag w:uri="urn:schemas-microsoft-com:office:smarttags" w:element="country-region">
        <w:smartTag w:uri="urn:schemas-microsoft-com:office:smarttags" w:element="place">
          <w:r w:rsidRPr="00431994">
            <w:rPr>
              <w:rFonts w:ascii="Book Antiqua" w:hAnsi="Book Antiqua"/>
            </w:rPr>
            <w:t>Bangladesh</w:t>
          </w:r>
        </w:smartTag>
      </w:smartTag>
      <w:r w:rsidRPr="00431994">
        <w:rPr>
          <w:rFonts w:ascii="Book Antiqua" w:hAnsi="Book Antiqua"/>
        </w:rPr>
        <w:t xml:space="preserve"> born on 1 January 1984.  He entered the </w:t>
      </w:r>
      <w:smartTag w:uri="urn:schemas-microsoft-com:office:smarttags" w:element="country-region">
        <w:smartTag w:uri="urn:schemas-microsoft-com:office:smarttags" w:element="place">
          <w:r w:rsidRPr="00431994">
            <w:rPr>
              <w:rFonts w:ascii="Book Antiqua" w:hAnsi="Book Antiqua"/>
            </w:rPr>
            <w:t>UK</w:t>
          </w:r>
        </w:smartTag>
      </w:smartTag>
      <w:r w:rsidRPr="00431994">
        <w:rPr>
          <w:rFonts w:ascii="Book Antiqua" w:hAnsi="Book Antiqua"/>
        </w:rPr>
        <w:t xml:space="preserve"> on 1 February 2010 with leave as a student until 31 August 2012.  His leave to remain </w:t>
      </w:r>
      <w:r>
        <w:rPr>
          <w:rFonts w:ascii="Book Antiqua" w:hAnsi="Book Antiqua"/>
        </w:rPr>
        <w:t xml:space="preserve">in </w:t>
      </w:r>
      <w:r w:rsidRPr="00431994">
        <w:rPr>
          <w:rFonts w:ascii="Book Antiqua" w:hAnsi="Book Antiqua"/>
        </w:rPr>
        <w:t xml:space="preserve">that capacity was then extended to 14 December 2015 but on 11 February 2015 </w:t>
      </w:r>
      <w:r>
        <w:rPr>
          <w:rFonts w:ascii="Book Antiqua" w:hAnsi="Book Antiqua"/>
        </w:rPr>
        <w:t>it</w:t>
      </w:r>
      <w:r w:rsidRPr="00431994">
        <w:rPr>
          <w:rFonts w:ascii="Book Antiqua" w:hAnsi="Book Antiqua"/>
        </w:rPr>
        <w:t xml:space="preserve"> was curtailed to 17 April 2015 when he stopped attending his course</w:t>
      </w:r>
      <w:r>
        <w:rPr>
          <w:rFonts w:ascii="Book Antiqua" w:hAnsi="Book Antiqua"/>
        </w:rPr>
        <w:t xml:space="preserve"> of studies</w:t>
      </w:r>
      <w:r w:rsidRPr="00431994">
        <w:rPr>
          <w:rFonts w:ascii="Book Antiqua" w:hAnsi="Book Antiqua"/>
        </w:rPr>
        <w:t xml:space="preserve">.  He was advised to make a further application by 17 April 2015 if he wished to remain in the </w:t>
      </w:r>
      <w:smartTag w:uri="urn:schemas-microsoft-com:office:smarttags" w:element="country-region">
        <w:smartTag w:uri="urn:schemas-microsoft-com:office:smarttags" w:element="place">
          <w:r>
            <w:rPr>
              <w:rFonts w:ascii="Book Antiqua" w:hAnsi="Book Antiqua"/>
            </w:rPr>
            <w:t>U</w:t>
          </w:r>
          <w:r w:rsidRPr="00431994">
            <w:rPr>
              <w:rFonts w:ascii="Book Antiqua" w:hAnsi="Book Antiqua"/>
            </w:rPr>
            <w:t>K</w:t>
          </w:r>
        </w:smartTag>
      </w:smartTag>
      <w:r w:rsidRPr="00431994">
        <w:rPr>
          <w:rFonts w:ascii="Book Antiqua" w:hAnsi="Book Antiqua"/>
        </w:rPr>
        <w:t>.  On 27 November 2015 he applied under the 10</w:t>
      </w:r>
      <w:r>
        <w:rPr>
          <w:rFonts w:ascii="Book Antiqua" w:hAnsi="Book Antiqua"/>
        </w:rPr>
        <w:t>-</w:t>
      </w:r>
      <w:r w:rsidRPr="00431994">
        <w:rPr>
          <w:rFonts w:ascii="Book Antiqua" w:hAnsi="Book Antiqua"/>
        </w:rPr>
        <w:t xml:space="preserve">year partner </w:t>
      </w:r>
      <w:r>
        <w:rPr>
          <w:rFonts w:ascii="Book Antiqua" w:hAnsi="Book Antiqua"/>
        </w:rPr>
        <w:t xml:space="preserve">route </w:t>
      </w:r>
      <w:r w:rsidRPr="00431994">
        <w:rPr>
          <w:rFonts w:ascii="Book Antiqua" w:hAnsi="Book Antiqua"/>
        </w:rPr>
        <w:t xml:space="preserve">and </w:t>
      </w:r>
      <w:r>
        <w:rPr>
          <w:rFonts w:ascii="Book Antiqua" w:hAnsi="Book Antiqua"/>
        </w:rPr>
        <w:t xml:space="preserve">the private life provisions of </w:t>
      </w:r>
      <w:r w:rsidRPr="00431994">
        <w:rPr>
          <w:rFonts w:ascii="Book Antiqua" w:hAnsi="Book Antiqua"/>
        </w:rPr>
        <w:t>para</w:t>
      </w:r>
      <w:r>
        <w:rPr>
          <w:rFonts w:ascii="Book Antiqua" w:hAnsi="Book Antiqua"/>
        </w:rPr>
        <w:t xml:space="preserve"> 276</w:t>
      </w:r>
      <w:r w:rsidRPr="00431994">
        <w:rPr>
          <w:rFonts w:ascii="Book Antiqua" w:hAnsi="Book Antiqua"/>
        </w:rPr>
        <w:t>ADE</w:t>
      </w:r>
      <w:r>
        <w:rPr>
          <w:rFonts w:ascii="Book Antiqua" w:hAnsi="Book Antiqua"/>
        </w:rPr>
        <w:t xml:space="preserve"> of the Rules</w:t>
      </w:r>
      <w:r w:rsidRPr="00431994">
        <w:rPr>
          <w:rFonts w:ascii="Book Antiqua" w:hAnsi="Book Antiqua"/>
        </w:rPr>
        <w:t xml:space="preserve">.  Following an interview on 4 May </w:t>
      </w:r>
      <w:r w:rsidRPr="00431994">
        <w:rPr>
          <w:rFonts w:ascii="Book Antiqua" w:hAnsi="Book Antiqua"/>
        </w:rPr>
        <w:lastRenderedPageBreak/>
        <w:t xml:space="preserve">2016 the respondent concluded that the appellant had obtained by deception his </w:t>
      </w:r>
      <w:r>
        <w:rPr>
          <w:rFonts w:ascii="Book Antiqua" w:hAnsi="Book Antiqua"/>
        </w:rPr>
        <w:t>TOEIC</w:t>
      </w:r>
      <w:r w:rsidRPr="00431994">
        <w:rPr>
          <w:rFonts w:ascii="Book Antiqua" w:hAnsi="Book Antiqua"/>
        </w:rPr>
        <w:t xml:space="preserve"> certificate </w:t>
      </w:r>
      <w:r>
        <w:rPr>
          <w:rFonts w:ascii="Book Antiqua" w:hAnsi="Book Antiqua"/>
        </w:rPr>
        <w:t xml:space="preserve">issued </w:t>
      </w:r>
      <w:r w:rsidRPr="00431994">
        <w:rPr>
          <w:rFonts w:ascii="Book Antiqua" w:hAnsi="Book Antiqua"/>
        </w:rPr>
        <w:t xml:space="preserve">following </w:t>
      </w:r>
      <w:r>
        <w:rPr>
          <w:rFonts w:ascii="Book Antiqua" w:hAnsi="Book Antiqua"/>
        </w:rPr>
        <w:t>an ETS</w:t>
      </w:r>
      <w:r w:rsidRPr="00431994">
        <w:rPr>
          <w:rFonts w:ascii="Book Antiqua" w:hAnsi="Book Antiqua"/>
        </w:rPr>
        <w:t xml:space="preserve"> test on 27 June 2012</w:t>
      </w:r>
      <w:r>
        <w:rPr>
          <w:rFonts w:ascii="Book Antiqua" w:hAnsi="Book Antiqua"/>
        </w:rPr>
        <w:t>.</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w:t>
      </w:r>
      <w:r>
        <w:rPr>
          <w:rFonts w:ascii="Book Antiqua" w:hAnsi="Book Antiqua"/>
        </w:rPr>
        <w:tab/>
      </w:r>
      <w:r w:rsidRPr="00431994">
        <w:rPr>
          <w:rFonts w:ascii="Book Antiqua" w:hAnsi="Book Antiqua"/>
        </w:rPr>
        <w:t>His application was refused firstly on the basis that he had exercise</w:t>
      </w:r>
      <w:r>
        <w:rPr>
          <w:rFonts w:ascii="Book Antiqua" w:hAnsi="Book Antiqua"/>
        </w:rPr>
        <w:t>d</w:t>
      </w:r>
      <w:r w:rsidRPr="00431994">
        <w:rPr>
          <w:rFonts w:ascii="Book Antiqua" w:hAnsi="Book Antiqua"/>
        </w:rPr>
        <w:t xml:space="preserve"> deception in obtaining his certificate </w:t>
      </w:r>
      <w:r>
        <w:rPr>
          <w:rFonts w:ascii="Book Antiqua" w:hAnsi="Book Antiqua"/>
        </w:rPr>
        <w:t xml:space="preserve">in 2012 </w:t>
      </w:r>
      <w:r w:rsidRPr="00431994">
        <w:rPr>
          <w:rFonts w:ascii="Book Antiqua" w:hAnsi="Book Antiqua"/>
        </w:rPr>
        <w:t xml:space="preserve">and that his presence was </w:t>
      </w:r>
      <w:r>
        <w:rPr>
          <w:rFonts w:ascii="Book Antiqua" w:hAnsi="Book Antiqua"/>
        </w:rPr>
        <w:t xml:space="preserve">therefore </w:t>
      </w:r>
      <w:r w:rsidRPr="00431994">
        <w:rPr>
          <w:rFonts w:ascii="Book Antiqua" w:hAnsi="Book Antiqua"/>
        </w:rPr>
        <w:t xml:space="preserve">not conducive to the public good.  </w:t>
      </w:r>
      <w:r>
        <w:rPr>
          <w:rFonts w:ascii="Book Antiqua" w:hAnsi="Book Antiqua"/>
        </w:rPr>
        <w:t>Secondly,</w:t>
      </w:r>
      <w:r w:rsidRPr="00431994">
        <w:rPr>
          <w:rFonts w:ascii="Book Antiqua" w:hAnsi="Book Antiqua"/>
        </w:rPr>
        <w:t xml:space="preserve"> it was not accepted that </w:t>
      </w:r>
      <w:r>
        <w:rPr>
          <w:rFonts w:ascii="Book Antiqua" w:hAnsi="Book Antiqua"/>
        </w:rPr>
        <w:t>he</w:t>
      </w:r>
      <w:r w:rsidRPr="00431994">
        <w:rPr>
          <w:rFonts w:ascii="Book Antiqua" w:hAnsi="Book Antiqua"/>
        </w:rPr>
        <w:t xml:space="preserve"> was able to meet the requirements of the </w:t>
      </w:r>
      <w:r>
        <w:rPr>
          <w:rFonts w:ascii="Book Antiqua" w:hAnsi="Book Antiqua"/>
        </w:rPr>
        <w:t>R</w:t>
      </w:r>
      <w:r w:rsidRPr="00431994">
        <w:rPr>
          <w:rFonts w:ascii="Book Antiqua" w:hAnsi="Book Antiqua"/>
        </w:rPr>
        <w:t xml:space="preserve">ules for leave to remain under the </w:t>
      </w:r>
      <w:r>
        <w:rPr>
          <w:rFonts w:ascii="Book Antiqua" w:hAnsi="Book Antiqua"/>
        </w:rPr>
        <w:t>10-year</w:t>
      </w:r>
      <w:r w:rsidRPr="00431994">
        <w:rPr>
          <w:rFonts w:ascii="Book Antiqua" w:hAnsi="Book Antiqua"/>
        </w:rPr>
        <w:t xml:space="preserve"> partner route.  He also failed to meet the requirements of </w:t>
      </w:r>
      <w:r>
        <w:rPr>
          <w:rFonts w:ascii="Book Antiqua" w:hAnsi="Book Antiqua"/>
        </w:rPr>
        <w:t>para 276ADE</w:t>
      </w:r>
      <w:r w:rsidRPr="00431994">
        <w:rPr>
          <w:rFonts w:ascii="Book Antiqua" w:hAnsi="Book Antiqua"/>
        </w:rPr>
        <w:t xml:space="preserve">(1) and the respondent was also not satisfied that there were any exceptional circumstances justifying a grant of leave outside the requirements of the </w:t>
      </w:r>
      <w:r>
        <w:rPr>
          <w:rFonts w:ascii="Book Antiqua" w:hAnsi="Book Antiqua"/>
        </w:rPr>
        <w:t>R</w:t>
      </w:r>
      <w:r w:rsidRPr="00431994">
        <w:rPr>
          <w:rFonts w:ascii="Book Antiqua" w:hAnsi="Book Antiqua"/>
        </w:rPr>
        <w:t>ules.</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AD7D29">
        <w:rPr>
          <w:rFonts w:ascii="Book Antiqua" w:hAnsi="Book Antiqua"/>
          <w:u w:val="single"/>
        </w:rPr>
        <w:t xml:space="preserve">The </w:t>
      </w:r>
      <w:r>
        <w:rPr>
          <w:rFonts w:ascii="Book Antiqua" w:hAnsi="Book Antiqua"/>
          <w:u w:val="single"/>
        </w:rPr>
        <w:t>H</w:t>
      </w:r>
      <w:r w:rsidRPr="00AD7D29">
        <w:rPr>
          <w:rFonts w:ascii="Book Antiqua" w:hAnsi="Book Antiqua"/>
          <w:u w:val="single"/>
        </w:rPr>
        <w:t>ea</w:t>
      </w:r>
      <w:r>
        <w:rPr>
          <w:rFonts w:ascii="Book Antiqua" w:hAnsi="Book Antiqua"/>
          <w:u w:val="single"/>
        </w:rPr>
        <w:t>r</w:t>
      </w:r>
      <w:r w:rsidRPr="00AD7D29">
        <w:rPr>
          <w:rFonts w:ascii="Book Antiqua" w:hAnsi="Book Antiqua"/>
          <w:u w:val="single"/>
        </w:rPr>
        <w:t xml:space="preserve">ing </w:t>
      </w:r>
      <w:r>
        <w:rPr>
          <w:rFonts w:ascii="Book Antiqua" w:hAnsi="Book Antiqua"/>
          <w:u w:val="single"/>
        </w:rPr>
        <w:t>be</w:t>
      </w:r>
      <w:r w:rsidRPr="00AD7D29">
        <w:rPr>
          <w:rFonts w:ascii="Book Antiqua" w:hAnsi="Book Antiqua"/>
          <w:u w:val="single"/>
        </w:rPr>
        <w:t>fo</w:t>
      </w:r>
      <w:r>
        <w:rPr>
          <w:rFonts w:ascii="Book Antiqua" w:hAnsi="Book Antiqua"/>
          <w:u w:val="single"/>
        </w:rPr>
        <w:t>re</w:t>
      </w:r>
      <w:r w:rsidRPr="00AD7D29">
        <w:rPr>
          <w:rFonts w:ascii="Book Antiqua" w:hAnsi="Book Antiqua"/>
          <w:u w:val="single"/>
        </w:rPr>
        <w:t xml:space="preserve"> the First-tier Tribunal</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w:t>
      </w:r>
      <w:r>
        <w:rPr>
          <w:rFonts w:ascii="Book Antiqua" w:hAnsi="Book Antiqua"/>
        </w:rPr>
        <w:tab/>
      </w:r>
      <w:r w:rsidRPr="00431994">
        <w:rPr>
          <w:rFonts w:ascii="Book Antiqua" w:hAnsi="Book Antiqua"/>
        </w:rPr>
        <w:t>At the hearing before the First-tier Tribunal</w:t>
      </w:r>
      <w:r>
        <w:rPr>
          <w:rFonts w:ascii="Book Antiqua" w:hAnsi="Book Antiqua"/>
        </w:rPr>
        <w:t>,</w:t>
      </w:r>
      <w:r w:rsidRPr="00431994">
        <w:rPr>
          <w:rFonts w:ascii="Book Antiqua" w:hAnsi="Book Antiqua"/>
        </w:rPr>
        <w:t xml:space="preserve"> the judge heard oral evidence from the appellant and his </w:t>
      </w:r>
      <w:r>
        <w:rPr>
          <w:rFonts w:ascii="Book Antiqua" w:hAnsi="Book Antiqua"/>
        </w:rPr>
        <w:t>p</w:t>
      </w:r>
      <w:r w:rsidRPr="00431994">
        <w:rPr>
          <w:rFonts w:ascii="Book Antiqua" w:hAnsi="Book Antiqua"/>
        </w:rPr>
        <w:t xml:space="preserve">artner and considered </w:t>
      </w:r>
      <w:r>
        <w:rPr>
          <w:rFonts w:ascii="Book Antiqua" w:hAnsi="Book Antiqua"/>
        </w:rPr>
        <w:t xml:space="preserve">the </w:t>
      </w:r>
      <w:r w:rsidRPr="00431994">
        <w:rPr>
          <w:rFonts w:ascii="Book Antiqua" w:hAnsi="Book Antiqua"/>
        </w:rPr>
        <w:t xml:space="preserve">written evidence </w:t>
      </w:r>
      <w:r>
        <w:rPr>
          <w:rFonts w:ascii="Book Antiqua" w:hAnsi="Book Antiqua"/>
        </w:rPr>
        <w:t>about</w:t>
      </w:r>
      <w:r w:rsidRPr="00431994">
        <w:rPr>
          <w:rFonts w:ascii="Book Antiqua" w:hAnsi="Book Antiqua"/>
        </w:rPr>
        <w:t xml:space="preserve"> the allegation that </w:t>
      </w:r>
      <w:r>
        <w:rPr>
          <w:rFonts w:ascii="Book Antiqua" w:hAnsi="Book Antiqua"/>
        </w:rPr>
        <w:t>he</w:t>
      </w:r>
      <w:r w:rsidRPr="00431994">
        <w:rPr>
          <w:rFonts w:ascii="Book Antiqua" w:hAnsi="Book Antiqua"/>
        </w:rPr>
        <w:t xml:space="preserve"> had obtained his test certificate by fraud.  </w:t>
      </w:r>
      <w:r>
        <w:rPr>
          <w:rFonts w:ascii="Book Antiqua" w:hAnsi="Book Antiqua"/>
        </w:rPr>
        <w:t>F</w:t>
      </w:r>
      <w:r w:rsidRPr="00431994">
        <w:rPr>
          <w:rFonts w:ascii="Book Antiqua" w:hAnsi="Book Antiqua"/>
        </w:rPr>
        <w:t>or the reasons set out in [</w:t>
      </w:r>
      <w:r>
        <w:rPr>
          <w:rFonts w:ascii="Book Antiqua" w:hAnsi="Book Antiqua"/>
        </w:rPr>
        <w:t>2</w:t>
      </w:r>
      <w:r w:rsidRPr="00431994">
        <w:rPr>
          <w:rFonts w:ascii="Book Antiqua" w:hAnsi="Book Antiqua"/>
        </w:rPr>
        <w:t xml:space="preserve">3]-[24] </w:t>
      </w:r>
      <w:r>
        <w:rPr>
          <w:rFonts w:ascii="Book Antiqua" w:hAnsi="Book Antiqua"/>
        </w:rPr>
        <w:t xml:space="preserve">he </w:t>
      </w:r>
      <w:r w:rsidRPr="00431994">
        <w:rPr>
          <w:rFonts w:ascii="Book Antiqua" w:hAnsi="Book Antiqua"/>
        </w:rPr>
        <w:t xml:space="preserve">concluded that the respondent had not provided evidence of sufficient strength and quality to prove that the appellant probably did not sit the ETS test back in 2012 and </w:t>
      </w:r>
      <w:r>
        <w:rPr>
          <w:rFonts w:ascii="Book Antiqua" w:hAnsi="Book Antiqua"/>
        </w:rPr>
        <w:t xml:space="preserve">that </w:t>
      </w:r>
      <w:r w:rsidRPr="00431994">
        <w:rPr>
          <w:rFonts w:ascii="Book Antiqua" w:hAnsi="Book Antiqua"/>
        </w:rPr>
        <w:t xml:space="preserve">the allegation of deception against </w:t>
      </w:r>
      <w:r>
        <w:rPr>
          <w:rFonts w:ascii="Book Antiqua" w:hAnsi="Book Antiqua"/>
        </w:rPr>
        <w:t>him</w:t>
      </w:r>
      <w:r w:rsidRPr="00431994">
        <w:rPr>
          <w:rFonts w:ascii="Book Antiqua" w:hAnsi="Book Antiqua"/>
        </w:rPr>
        <w:t xml:space="preserve"> was not made out.  </w:t>
      </w:r>
      <w:r>
        <w:rPr>
          <w:rFonts w:ascii="Book Antiqua" w:hAnsi="Book Antiqua"/>
        </w:rPr>
        <w:t>The judge</w:t>
      </w:r>
      <w:r w:rsidRPr="00431994">
        <w:rPr>
          <w:rFonts w:ascii="Book Antiqua" w:hAnsi="Book Antiqua"/>
        </w:rPr>
        <w:t xml:space="preserve"> </w:t>
      </w:r>
      <w:r>
        <w:rPr>
          <w:rFonts w:ascii="Book Antiqua" w:hAnsi="Book Antiqua"/>
        </w:rPr>
        <w:t xml:space="preserve">then </w:t>
      </w:r>
      <w:r w:rsidRPr="00431994">
        <w:rPr>
          <w:rFonts w:ascii="Book Antiqua" w:hAnsi="Book Antiqua"/>
        </w:rPr>
        <w:t>went on to consider the issue of</w:t>
      </w:r>
      <w:r>
        <w:rPr>
          <w:rFonts w:ascii="Book Antiqua" w:hAnsi="Book Antiqua"/>
        </w:rPr>
        <w:t xml:space="preserve"> whether the appellant met the requirements of the Rules as a partner.</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w:t>
      </w:r>
      <w:r>
        <w:rPr>
          <w:rFonts w:ascii="Book Antiqua" w:hAnsi="Book Antiqua"/>
        </w:rPr>
        <w:tab/>
        <w:t>His</w:t>
      </w:r>
      <w:r w:rsidRPr="00431994">
        <w:rPr>
          <w:rFonts w:ascii="Book Antiqua" w:hAnsi="Book Antiqua"/>
        </w:rPr>
        <w:t xml:space="preserve"> partner had entered the </w:t>
      </w:r>
      <w:smartTag w:uri="urn:schemas-microsoft-com:office:smarttags" w:element="country-region">
        <w:smartTag w:uri="urn:schemas-microsoft-com:office:smarttags" w:element="place">
          <w:r w:rsidRPr="00431994">
            <w:rPr>
              <w:rFonts w:ascii="Book Antiqua" w:hAnsi="Book Antiqua"/>
            </w:rPr>
            <w:t>UK</w:t>
          </w:r>
        </w:smartTag>
      </w:smartTag>
      <w:r w:rsidRPr="00431994">
        <w:rPr>
          <w:rFonts w:ascii="Book Antiqua" w:hAnsi="Book Antiqua"/>
        </w:rPr>
        <w:t xml:space="preserve"> on 2 April 2007 on her probationary year as the spouse of her first husband.  </w:t>
      </w:r>
      <w:r>
        <w:rPr>
          <w:rFonts w:ascii="Book Antiqua" w:hAnsi="Book Antiqua"/>
        </w:rPr>
        <w:t>In her</w:t>
      </w:r>
      <w:r w:rsidRPr="00431994">
        <w:rPr>
          <w:rFonts w:ascii="Book Antiqua" w:hAnsi="Book Antiqua"/>
        </w:rPr>
        <w:t xml:space="preserve"> evidence she explained how she had suffered with her previous husband who was a violent drug addict.  She had later met the appellant and said that he was the man for whom she had been looking </w:t>
      </w:r>
      <w:r>
        <w:rPr>
          <w:rFonts w:ascii="Book Antiqua" w:hAnsi="Book Antiqua"/>
        </w:rPr>
        <w:t>and</w:t>
      </w:r>
      <w:r w:rsidRPr="00431994">
        <w:rPr>
          <w:rFonts w:ascii="Book Antiqua" w:hAnsi="Book Antiqua"/>
        </w:rPr>
        <w:t xml:space="preserve"> he had been very attentive to her needs following </w:t>
      </w:r>
      <w:r>
        <w:rPr>
          <w:rFonts w:ascii="Book Antiqua" w:hAnsi="Book Antiqua"/>
        </w:rPr>
        <w:t>her</w:t>
      </w:r>
      <w:r w:rsidRPr="00431994">
        <w:rPr>
          <w:rFonts w:ascii="Book Antiqua" w:hAnsi="Book Antiqua"/>
        </w:rPr>
        <w:t xml:space="preserve"> </w:t>
      </w:r>
      <w:r w:rsidR="00624D14" w:rsidRPr="00431994">
        <w:rPr>
          <w:rFonts w:ascii="Book Antiqua" w:hAnsi="Book Antiqua"/>
        </w:rPr>
        <w:t>ca</w:t>
      </w:r>
      <w:r w:rsidR="00624D14">
        <w:rPr>
          <w:rFonts w:ascii="Book Antiqua" w:hAnsi="Book Antiqua"/>
        </w:rPr>
        <w:t>e</w:t>
      </w:r>
      <w:r w:rsidR="00624D14" w:rsidRPr="00431994">
        <w:rPr>
          <w:rFonts w:ascii="Book Antiqua" w:hAnsi="Book Antiqua"/>
        </w:rPr>
        <w:t>sarean</w:t>
      </w:r>
      <w:r w:rsidRPr="00431994">
        <w:rPr>
          <w:rFonts w:ascii="Book Antiqua" w:hAnsi="Book Antiqua"/>
        </w:rPr>
        <w:t xml:space="preserve"> operation </w:t>
      </w:r>
      <w:r>
        <w:rPr>
          <w:rFonts w:ascii="Book Antiqua" w:hAnsi="Book Antiqua"/>
        </w:rPr>
        <w:t xml:space="preserve">in 2016, when their son was born, </w:t>
      </w:r>
      <w:r w:rsidRPr="00431994">
        <w:rPr>
          <w:rFonts w:ascii="Book Antiqua" w:hAnsi="Book Antiqua"/>
        </w:rPr>
        <w:t xml:space="preserve">and the </w:t>
      </w:r>
      <w:r>
        <w:rPr>
          <w:rFonts w:ascii="Book Antiqua" w:hAnsi="Book Antiqua"/>
        </w:rPr>
        <w:t xml:space="preserve">ensuing </w:t>
      </w:r>
      <w:r w:rsidRPr="00431994">
        <w:rPr>
          <w:rFonts w:ascii="Book Antiqua" w:hAnsi="Book Antiqua"/>
        </w:rPr>
        <w:t>complications</w:t>
      </w:r>
      <w:r>
        <w:rPr>
          <w:rFonts w:ascii="Book Antiqua" w:hAnsi="Book Antiqua"/>
        </w:rPr>
        <w:t xml:space="preserve"> [14]</w:t>
      </w:r>
      <w:r w:rsidRPr="00431994">
        <w:rPr>
          <w:rFonts w:ascii="Book Antiqua" w:hAnsi="Book Antiqua"/>
        </w:rPr>
        <w:t xml:space="preserve">.  </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6.</w:t>
      </w:r>
      <w:r>
        <w:rPr>
          <w:rFonts w:ascii="Book Antiqua" w:hAnsi="Book Antiqua"/>
        </w:rPr>
        <w:tab/>
        <w:t xml:space="preserve">However, </w:t>
      </w:r>
      <w:r w:rsidRPr="00431994">
        <w:rPr>
          <w:rFonts w:ascii="Book Antiqua" w:hAnsi="Book Antiqua"/>
        </w:rPr>
        <w:t xml:space="preserve">at the time of </w:t>
      </w:r>
      <w:r>
        <w:rPr>
          <w:rFonts w:ascii="Book Antiqua" w:hAnsi="Book Antiqua"/>
        </w:rPr>
        <w:t xml:space="preserve">his </w:t>
      </w:r>
      <w:r w:rsidRPr="00431994">
        <w:rPr>
          <w:rFonts w:ascii="Book Antiqua" w:hAnsi="Book Antiqua"/>
        </w:rPr>
        <w:t xml:space="preserve">application the appellant </w:t>
      </w:r>
      <w:r>
        <w:rPr>
          <w:rFonts w:ascii="Book Antiqua" w:hAnsi="Book Antiqua"/>
        </w:rPr>
        <w:t>was</w:t>
      </w:r>
      <w:r w:rsidRPr="00431994">
        <w:rPr>
          <w:rFonts w:ascii="Book Antiqua" w:hAnsi="Book Antiqua"/>
        </w:rPr>
        <w:t xml:space="preserve"> not lawfully married to his partner and they had not been together at </w:t>
      </w:r>
      <w:r>
        <w:rPr>
          <w:rFonts w:ascii="Book Antiqua" w:hAnsi="Book Antiqua"/>
        </w:rPr>
        <w:t>that time as a couple</w:t>
      </w:r>
      <w:r w:rsidRPr="00431994">
        <w:rPr>
          <w:rFonts w:ascii="Book Antiqua" w:hAnsi="Book Antiqua"/>
        </w:rPr>
        <w:t xml:space="preserve"> for at least two years.  </w:t>
      </w:r>
      <w:r>
        <w:rPr>
          <w:rFonts w:ascii="Book Antiqua" w:hAnsi="Book Antiqua"/>
        </w:rPr>
        <w:t>The judge commented that,</w:t>
      </w:r>
      <w:r w:rsidRPr="00431994">
        <w:rPr>
          <w:rFonts w:ascii="Book Antiqua" w:hAnsi="Book Antiqua"/>
        </w:rPr>
        <w:t xml:space="preserve"> </w:t>
      </w:r>
      <w:r>
        <w:rPr>
          <w:rFonts w:ascii="Book Antiqua" w:hAnsi="Book Antiqua"/>
        </w:rPr>
        <w:t>as the appellant</w:t>
      </w:r>
      <w:r w:rsidRPr="00431994">
        <w:rPr>
          <w:rFonts w:ascii="Book Antiqua" w:hAnsi="Book Antiqua"/>
        </w:rPr>
        <w:t xml:space="preserve"> had only left </w:t>
      </w:r>
      <w:smartTag w:uri="urn:schemas-microsoft-com:office:smarttags" w:element="country-region">
        <w:smartTag w:uri="urn:schemas-microsoft-com:office:smarttags" w:element="place">
          <w:r w:rsidRPr="00431994">
            <w:rPr>
              <w:rFonts w:ascii="Book Antiqua" w:hAnsi="Book Antiqua"/>
            </w:rPr>
            <w:t>Bangladesh</w:t>
          </w:r>
        </w:smartTag>
      </w:smartTag>
      <w:r w:rsidRPr="00431994">
        <w:rPr>
          <w:rFonts w:ascii="Book Antiqua" w:hAnsi="Book Antiqua"/>
        </w:rPr>
        <w:t xml:space="preserve"> in 2010 when he was already 26</w:t>
      </w:r>
      <w:r>
        <w:rPr>
          <w:rFonts w:ascii="Book Antiqua" w:hAnsi="Book Antiqua"/>
        </w:rPr>
        <w:t>,</w:t>
      </w:r>
      <w:r w:rsidRPr="00431994">
        <w:rPr>
          <w:rFonts w:ascii="Book Antiqua" w:hAnsi="Book Antiqua"/>
        </w:rPr>
        <w:t xml:space="preserve"> </w:t>
      </w:r>
      <w:r>
        <w:rPr>
          <w:rFonts w:ascii="Book Antiqua" w:hAnsi="Book Antiqua"/>
        </w:rPr>
        <w:t>it was</w:t>
      </w:r>
      <w:r w:rsidRPr="00431994">
        <w:rPr>
          <w:rFonts w:ascii="Book Antiqua" w:hAnsi="Book Antiqua"/>
        </w:rPr>
        <w:t xml:space="preserve"> difficult to see why</w:t>
      </w:r>
      <w:r>
        <w:rPr>
          <w:rFonts w:ascii="Book Antiqua" w:hAnsi="Book Antiqua"/>
        </w:rPr>
        <w:t>,</w:t>
      </w:r>
      <w:r w:rsidRPr="00431994">
        <w:rPr>
          <w:rFonts w:ascii="Book Antiqua" w:hAnsi="Book Antiqua"/>
        </w:rPr>
        <w:t xml:space="preserve"> particular</w:t>
      </w:r>
      <w:r>
        <w:rPr>
          <w:rFonts w:ascii="Book Antiqua" w:hAnsi="Book Antiqua"/>
        </w:rPr>
        <w:t>ly as a</w:t>
      </w:r>
      <w:r w:rsidRPr="00431994">
        <w:rPr>
          <w:rFonts w:ascii="Book Antiqua" w:hAnsi="Book Antiqua"/>
        </w:rPr>
        <w:t xml:space="preserve"> graduate</w:t>
      </w:r>
      <w:r>
        <w:rPr>
          <w:rFonts w:ascii="Book Antiqua" w:hAnsi="Book Antiqua"/>
        </w:rPr>
        <w:t>,</w:t>
      </w:r>
      <w:r w:rsidRPr="00431994">
        <w:rPr>
          <w:rFonts w:ascii="Book Antiqua" w:hAnsi="Book Antiqua"/>
        </w:rPr>
        <w:t xml:space="preserve"> he would encounter very significant obstacles reintegrating</w:t>
      </w:r>
      <w:r>
        <w:rPr>
          <w:rFonts w:ascii="Book Antiqua" w:hAnsi="Book Antiqua"/>
        </w:rPr>
        <w:t xml:space="preserve"> there</w:t>
      </w:r>
      <w:r w:rsidRPr="00431994">
        <w:rPr>
          <w:rFonts w:ascii="Book Antiqua" w:hAnsi="Book Antiqua"/>
        </w:rPr>
        <w:t xml:space="preserve">.  </w:t>
      </w:r>
      <w:r>
        <w:rPr>
          <w:rFonts w:ascii="Book Antiqua" w:hAnsi="Book Antiqua"/>
        </w:rPr>
        <w:t>His partner had</w:t>
      </w:r>
      <w:r w:rsidRPr="00431994">
        <w:rPr>
          <w:rFonts w:ascii="Book Antiqua" w:hAnsi="Book Antiqua"/>
        </w:rPr>
        <w:t xml:space="preserve"> grown up in </w:t>
      </w:r>
      <w:smartTag w:uri="urn:schemas-microsoft-com:office:smarttags" w:element="country-region">
        <w:smartTag w:uri="urn:schemas-microsoft-com:office:smarttags" w:element="place">
          <w:r w:rsidRPr="00431994">
            <w:rPr>
              <w:rFonts w:ascii="Book Antiqua" w:hAnsi="Book Antiqua"/>
            </w:rPr>
            <w:t>Bangladesh</w:t>
          </w:r>
        </w:smartTag>
      </w:smartTag>
      <w:r w:rsidRPr="00431994">
        <w:rPr>
          <w:rFonts w:ascii="Book Antiqua" w:hAnsi="Book Antiqua"/>
        </w:rPr>
        <w:t xml:space="preserve"> where she remained until she was 20 and she had been back </w:t>
      </w:r>
      <w:r>
        <w:rPr>
          <w:rFonts w:ascii="Book Antiqua" w:hAnsi="Book Antiqua"/>
        </w:rPr>
        <w:t>for a visit</w:t>
      </w:r>
      <w:r w:rsidRPr="00431994">
        <w:rPr>
          <w:rFonts w:ascii="Book Antiqua" w:hAnsi="Book Antiqua"/>
        </w:rPr>
        <w:t>.  Their son was still well short of his second birthday and the judge said that he would as yet have little appreciation</w:t>
      </w:r>
      <w:r>
        <w:rPr>
          <w:rFonts w:ascii="Book Antiqua" w:hAnsi="Book Antiqua"/>
        </w:rPr>
        <w:t xml:space="preserve"> of the world beyond his parents, </w:t>
      </w:r>
      <w:r w:rsidRPr="00431994">
        <w:rPr>
          <w:rFonts w:ascii="Book Antiqua" w:hAnsi="Book Antiqua"/>
        </w:rPr>
        <w:t xml:space="preserve">both of whom were bilingual.  </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7.</w:t>
      </w:r>
      <w:r>
        <w:rPr>
          <w:rFonts w:ascii="Book Antiqua" w:hAnsi="Book Antiqua"/>
        </w:rPr>
        <w:tab/>
      </w:r>
      <w:r w:rsidRPr="00431994">
        <w:rPr>
          <w:rFonts w:ascii="Book Antiqua" w:hAnsi="Book Antiqua"/>
        </w:rPr>
        <w:t xml:space="preserve">The judge took into account the best interests of the child as a primary consideration and said they were generally best served by being looked after by both parents and that could continue if </w:t>
      </w:r>
      <w:r>
        <w:rPr>
          <w:rFonts w:ascii="Book Antiqua" w:hAnsi="Book Antiqua"/>
        </w:rPr>
        <w:t>all three</w:t>
      </w:r>
      <w:r w:rsidRPr="00431994">
        <w:rPr>
          <w:rFonts w:ascii="Book Antiqua" w:hAnsi="Book Antiqua"/>
        </w:rPr>
        <w:t xml:space="preserve"> relocated in Bangladesh.  Both parents had known when they chose to enter into a relationship that the </w:t>
      </w:r>
      <w:r>
        <w:rPr>
          <w:rFonts w:ascii="Book Antiqua" w:hAnsi="Book Antiqua"/>
        </w:rPr>
        <w:t>appellant’s</w:t>
      </w:r>
      <w:r w:rsidRPr="00431994">
        <w:rPr>
          <w:rFonts w:ascii="Book Antiqua" w:hAnsi="Book Antiqua"/>
        </w:rPr>
        <w:t xml:space="preserve"> immigration status was not </w:t>
      </w:r>
      <w:r>
        <w:rPr>
          <w:rFonts w:ascii="Book Antiqua" w:hAnsi="Book Antiqua"/>
        </w:rPr>
        <w:t>assured</w:t>
      </w:r>
      <w:r w:rsidRPr="00431994">
        <w:rPr>
          <w:rFonts w:ascii="Book Antiqua" w:hAnsi="Book Antiqua"/>
        </w:rPr>
        <w:t xml:space="preserve"> and </w:t>
      </w:r>
      <w:r>
        <w:rPr>
          <w:rFonts w:ascii="Book Antiqua" w:hAnsi="Book Antiqua"/>
        </w:rPr>
        <w:t>he</w:t>
      </w:r>
      <w:r w:rsidRPr="00431994">
        <w:rPr>
          <w:rFonts w:ascii="Book Antiqua" w:hAnsi="Book Antiqua"/>
        </w:rPr>
        <w:t xml:space="preserve"> knew </w:t>
      </w:r>
      <w:r>
        <w:rPr>
          <w:rFonts w:ascii="Book Antiqua" w:hAnsi="Book Antiqua"/>
        </w:rPr>
        <w:t>that t</w:t>
      </w:r>
      <w:r w:rsidRPr="00431994">
        <w:rPr>
          <w:rFonts w:ascii="Book Antiqua" w:hAnsi="Book Antiqua"/>
        </w:rPr>
        <w:t xml:space="preserve">he only leave ever granted </w:t>
      </w:r>
      <w:r>
        <w:rPr>
          <w:rFonts w:ascii="Book Antiqua" w:hAnsi="Book Antiqua"/>
        </w:rPr>
        <w:t xml:space="preserve">had </w:t>
      </w:r>
      <w:r w:rsidRPr="00431994">
        <w:rPr>
          <w:rFonts w:ascii="Book Antiqua" w:hAnsi="Book Antiqua"/>
        </w:rPr>
        <w:t xml:space="preserve">been curtailed because he had failed to pursue the course which represented the reason for allowing him to continue to remain.  </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lastRenderedPageBreak/>
        <w:t>8.</w:t>
      </w:r>
      <w:r>
        <w:rPr>
          <w:rFonts w:ascii="Book Antiqua" w:hAnsi="Book Antiqua"/>
        </w:rPr>
        <w:tab/>
      </w:r>
      <w:r w:rsidRPr="00431994">
        <w:rPr>
          <w:rFonts w:ascii="Book Antiqua" w:hAnsi="Book Antiqua"/>
        </w:rPr>
        <w:t xml:space="preserve">The judge accepted that if all three relocated to </w:t>
      </w:r>
      <w:smartTag w:uri="urn:schemas-microsoft-com:office:smarttags" w:element="country-region">
        <w:smartTag w:uri="urn:schemas-microsoft-com:office:smarttags" w:element="place">
          <w:r w:rsidRPr="00431994">
            <w:rPr>
              <w:rFonts w:ascii="Book Antiqua" w:hAnsi="Book Antiqua"/>
            </w:rPr>
            <w:t>Bangladesh</w:t>
          </w:r>
        </w:smartTag>
      </w:smartTag>
      <w:r w:rsidRPr="00431994">
        <w:rPr>
          <w:rFonts w:ascii="Book Antiqua" w:hAnsi="Book Antiqua"/>
        </w:rPr>
        <w:t xml:space="preserve"> it would mean that mother and child </w:t>
      </w:r>
      <w:r>
        <w:rPr>
          <w:rFonts w:ascii="Book Antiqua" w:hAnsi="Book Antiqua"/>
        </w:rPr>
        <w:t xml:space="preserve">would </w:t>
      </w:r>
      <w:r w:rsidRPr="00431994">
        <w:rPr>
          <w:rFonts w:ascii="Book Antiqua" w:hAnsi="Book Antiqua"/>
        </w:rPr>
        <w:t>not be able to exercise some important aspects of their entitlement as British nationals but they were not obliged to relocate</w:t>
      </w:r>
      <w:r>
        <w:rPr>
          <w:rFonts w:ascii="Book Antiqua" w:hAnsi="Book Antiqua"/>
        </w:rPr>
        <w:t>. H</w:t>
      </w:r>
      <w:r w:rsidRPr="00431994">
        <w:rPr>
          <w:rFonts w:ascii="Book Antiqua" w:hAnsi="Book Antiqua"/>
        </w:rPr>
        <w:t>e accepted that this would be a very difficult choice for the parents to make and he felt for the appellant</w:t>
      </w:r>
      <w:r>
        <w:rPr>
          <w:rFonts w:ascii="Book Antiqua" w:hAnsi="Book Antiqua"/>
        </w:rPr>
        <w:t>’s</w:t>
      </w:r>
      <w:r w:rsidRPr="00431994">
        <w:rPr>
          <w:rFonts w:ascii="Book Antiqua" w:hAnsi="Book Antiqua"/>
        </w:rPr>
        <w:t xml:space="preserve"> partner</w:t>
      </w:r>
      <w:r>
        <w:rPr>
          <w:rFonts w:ascii="Book Antiqua" w:hAnsi="Book Antiqua"/>
        </w:rPr>
        <w:t>,</w:t>
      </w:r>
      <w:r w:rsidRPr="00431994">
        <w:rPr>
          <w:rFonts w:ascii="Book Antiqua" w:hAnsi="Book Antiqua"/>
        </w:rPr>
        <w:t xml:space="preserve"> </w:t>
      </w:r>
      <w:r>
        <w:rPr>
          <w:rFonts w:ascii="Book Antiqua" w:hAnsi="Book Antiqua"/>
        </w:rPr>
        <w:t xml:space="preserve">who </w:t>
      </w:r>
      <w:r w:rsidRPr="00431994">
        <w:rPr>
          <w:rFonts w:ascii="Book Antiqua" w:hAnsi="Book Antiqua"/>
        </w:rPr>
        <w:t xml:space="preserve">had been through one </w:t>
      </w:r>
      <w:r>
        <w:rPr>
          <w:rFonts w:ascii="Book Antiqua" w:hAnsi="Book Antiqua"/>
        </w:rPr>
        <w:t>wretched</w:t>
      </w:r>
      <w:r w:rsidRPr="00431994">
        <w:rPr>
          <w:rFonts w:ascii="Book Antiqua" w:hAnsi="Book Antiqua"/>
        </w:rPr>
        <w:t xml:space="preserve"> marriage and </w:t>
      </w:r>
      <w:r>
        <w:rPr>
          <w:rFonts w:ascii="Book Antiqua" w:hAnsi="Book Antiqua"/>
        </w:rPr>
        <w:t xml:space="preserve">had had a </w:t>
      </w:r>
      <w:r w:rsidRPr="00431994">
        <w:rPr>
          <w:rFonts w:ascii="Book Antiqua" w:hAnsi="Book Antiqua"/>
        </w:rPr>
        <w:t>very worrying time post</w:t>
      </w:r>
      <w:r>
        <w:rPr>
          <w:rFonts w:ascii="Book Antiqua" w:hAnsi="Book Antiqua"/>
        </w:rPr>
        <w:t>-</w:t>
      </w:r>
      <w:proofErr w:type="spellStart"/>
      <w:r w:rsidRPr="00431994">
        <w:rPr>
          <w:rFonts w:ascii="Book Antiqua" w:hAnsi="Book Antiqua"/>
        </w:rPr>
        <w:t>natally</w:t>
      </w:r>
      <w:proofErr w:type="spellEnd"/>
      <w:r w:rsidRPr="00431994">
        <w:rPr>
          <w:rFonts w:ascii="Book Antiqua" w:hAnsi="Book Antiqua"/>
        </w:rPr>
        <w:t>.  However</w:t>
      </w:r>
      <w:r>
        <w:rPr>
          <w:rFonts w:ascii="Book Antiqua" w:hAnsi="Book Antiqua"/>
        </w:rPr>
        <w:t>,</w:t>
      </w:r>
      <w:r w:rsidRPr="00431994">
        <w:rPr>
          <w:rFonts w:ascii="Book Antiqua" w:hAnsi="Book Antiqua"/>
        </w:rPr>
        <w:t xml:space="preserve"> there was no medical reason to prove that she was incapable of working and</w:t>
      </w:r>
      <w:r>
        <w:rPr>
          <w:rFonts w:ascii="Book Antiqua" w:hAnsi="Book Antiqua"/>
        </w:rPr>
        <w:t>,</w:t>
      </w:r>
      <w:r w:rsidRPr="00431994">
        <w:rPr>
          <w:rFonts w:ascii="Book Antiqua" w:hAnsi="Book Antiqua"/>
        </w:rPr>
        <w:t xml:space="preserve"> if there was indeed such a reason</w:t>
      </w:r>
      <w:r>
        <w:rPr>
          <w:rFonts w:ascii="Book Antiqua" w:hAnsi="Book Antiqua"/>
        </w:rPr>
        <w:t>, an</w:t>
      </w:r>
      <w:r w:rsidRPr="00431994">
        <w:rPr>
          <w:rFonts w:ascii="Book Antiqua" w:hAnsi="Book Antiqua"/>
        </w:rPr>
        <w:t xml:space="preserve"> application based on that could be made by the appellant </w:t>
      </w:r>
      <w:r>
        <w:rPr>
          <w:rFonts w:ascii="Book Antiqua" w:hAnsi="Book Antiqua"/>
        </w:rPr>
        <w:t xml:space="preserve">from </w:t>
      </w:r>
      <w:r w:rsidRPr="00431994">
        <w:rPr>
          <w:rFonts w:ascii="Book Antiqua" w:hAnsi="Book Antiqua"/>
        </w:rPr>
        <w:t>abroad</w:t>
      </w:r>
      <w:r>
        <w:rPr>
          <w:rFonts w:ascii="Book Antiqua" w:hAnsi="Book Antiqua"/>
        </w:rPr>
        <w:t xml:space="preserve"> [25]</w:t>
      </w:r>
      <w:r w:rsidRPr="00431994">
        <w:rPr>
          <w:rFonts w:ascii="Book Antiqua" w:hAnsi="Book Antiqua"/>
        </w:rPr>
        <w:t xml:space="preserve">.  </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9.</w:t>
      </w:r>
      <w:r>
        <w:rPr>
          <w:rFonts w:ascii="Book Antiqua" w:hAnsi="Book Antiqua"/>
        </w:rPr>
        <w:tab/>
        <w:t xml:space="preserve">The </w:t>
      </w:r>
      <w:r w:rsidRPr="00431994">
        <w:rPr>
          <w:rFonts w:ascii="Book Antiqua" w:hAnsi="Book Antiqua"/>
        </w:rPr>
        <w:t xml:space="preserve">judge commented that it was not in the interests of effective immigration control </w:t>
      </w:r>
      <w:r>
        <w:rPr>
          <w:rFonts w:ascii="Book Antiqua" w:hAnsi="Book Antiqua"/>
        </w:rPr>
        <w:t xml:space="preserve">for </w:t>
      </w:r>
      <w:r w:rsidRPr="00431994">
        <w:rPr>
          <w:rFonts w:ascii="Book Antiqua" w:hAnsi="Book Antiqua"/>
        </w:rPr>
        <w:t xml:space="preserve">people to be encouraged to believe that if they married a British national and had a child before they were removed </w:t>
      </w:r>
      <w:r>
        <w:rPr>
          <w:rFonts w:ascii="Book Antiqua" w:hAnsi="Book Antiqua"/>
        </w:rPr>
        <w:t xml:space="preserve">for </w:t>
      </w:r>
      <w:r w:rsidRPr="00431994">
        <w:rPr>
          <w:rFonts w:ascii="Book Antiqua" w:hAnsi="Book Antiqua"/>
        </w:rPr>
        <w:t xml:space="preserve">failing to leave after </w:t>
      </w:r>
      <w:r>
        <w:rPr>
          <w:rFonts w:ascii="Book Antiqua" w:hAnsi="Book Antiqua"/>
        </w:rPr>
        <w:t xml:space="preserve">having </w:t>
      </w:r>
      <w:r w:rsidRPr="00431994">
        <w:rPr>
          <w:rFonts w:ascii="Book Antiqua" w:hAnsi="Book Antiqua"/>
        </w:rPr>
        <w:t>the</w:t>
      </w:r>
      <w:r>
        <w:rPr>
          <w:rFonts w:ascii="Book Antiqua" w:hAnsi="Book Antiqua"/>
        </w:rPr>
        <w:t>ir</w:t>
      </w:r>
      <w:r w:rsidRPr="00431994">
        <w:rPr>
          <w:rFonts w:ascii="Book Antiqua" w:hAnsi="Book Antiqua"/>
        </w:rPr>
        <w:t xml:space="preserve"> leave </w:t>
      </w:r>
      <w:r>
        <w:rPr>
          <w:rFonts w:ascii="Book Antiqua" w:hAnsi="Book Antiqua"/>
        </w:rPr>
        <w:t>curtailed,</w:t>
      </w:r>
      <w:r w:rsidRPr="00431994">
        <w:rPr>
          <w:rFonts w:ascii="Book Antiqua" w:hAnsi="Book Antiqua"/>
        </w:rPr>
        <w:t xml:space="preserve"> they would then be able to remain without meeting the requirements of the </w:t>
      </w:r>
      <w:r>
        <w:rPr>
          <w:rFonts w:ascii="Book Antiqua" w:hAnsi="Book Antiqua"/>
        </w:rPr>
        <w:t>R</w:t>
      </w:r>
      <w:r w:rsidRPr="00431994">
        <w:rPr>
          <w:rFonts w:ascii="Book Antiqua" w:hAnsi="Book Antiqua"/>
        </w:rPr>
        <w:t>ules.  The judge then said that</w:t>
      </w:r>
      <w:r>
        <w:rPr>
          <w:rFonts w:ascii="Book Antiqua" w:hAnsi="Book Antiqua"/>
        </w:rPr>
        <w:t>,</w:t>
      </w:r>
      <w:r w:rsidRPr="00431994">
        <w:rPr>
          <w:rFonts w:ascii="Book Antiqua" w:hAnsi="Book Antiqua"/>
        </w:rPr>
        <w:t xml:space="preserve"> whilst one part of the reason for refusing the application was found not to be well-founded</w:t>
      </w:r>
      <w:r>
        <w:rPr>
          <w:rFonts w:ascii="Book Antiqua" w:hAnsi="Book Antiqua"/>
        </w:rPr>
        <w:t>,</w:t>
      </w:r>
      <w:r w:rsidRPr="00431994">
        <w:rPr>
          <w:rFonts w:ascii="Book Antiqua" w:hAnsi="Book Antiqua"/>
        </w:rPr>
        <w:t xml:space="preserve"> the refusal was justified on other grounds.  Having considered all the evidence provided in the case</w:t>
      </w:r>
      <w:r>
        <w:rPr>
          <w:rFonts w:ascii="Book Antiqua" w:hAnsi="Book Antiqua"/>
        </w:rPr>
        <w:t>,</w:t>
      </w:r>
      <w:r w:rsidRPr="00431994">
        <w:rPr>
          <w:rFonts w:ascii="Book Antiqua" w:hAnsi="Book Antiqua"/>
        </w:rPr>
        <w:t xml:space="preserve"> the judge found that it would not be unreasonable or disproportionate</w:t>
      </w:r>
      <w:r>
        <w:rPr>
          <w:rFonts w:ascii="Book Antiqua" w:hAnsi="Book Antiqua"/>
        </w:rPr>
        <w:t xml:space="preserve"> to</w:t>
      </w:r>
      <w:r w:rsidRPr="00431994">
        <w:rPr>
          <w:rFonts w:ascii="Book Antiqua" w:hAnsi="Book Antiqua"/>
        </w:rPr>
        <w:t xml:space="preserve"> expect the appellant </w:t>
      </w:r>
      <w:r>
        <w:rPr>
          <w:rFonts w:ascii="Book Antiqua" w:hAnsi="Book Antiqua"/>
        </w:rPr>
        <w:t>now to</w:t>
      </w:r>
      <w:r w:rsidRPr="00431994">
        <w:rPr>
          <w:rFonts w:ascii="Book Antiqua" w:hAnsi="Book Antiqua"/>
        </w:rPr>
        <w:t xml:space="preserve"> return to </w:t>
      </w:r>
      <w:smartTag w:uri="urn:schemas-microsoft-com:office:smarttags" w:element="country-region">
        <w:smartTag w:uri="urn:schemas-microsoft-com:office:smarttags" w:element="place">
          <w:r w:rsidRPr="00431994">
            <w:rPr>
              <w:rFonts w:ascii="Book Antiqua" w:hAnsi="Book Antiqua"/>
            </w:rPr>
            <w:t>Bangladesh</w:t>
          </w:r>
        </w:smartTag>
      </w:smartTag>
      <w:r w:rsidRPr="00431994">
        <w:rPr>
          <w:rFonts w:ascii="Book Antiqua" w:hAnsi="Book Antiqua"/>
        </w:rPr>
        <w:t xml:space="preserve"> where he could make an application to return if he could prove he met all the requirements of the </w:t>
      </w:r>
      <w:r>
        <w:rPr>
          <w:rFonts w:ascii="Book Antiqua" w:hAnsi="Book Antiqua"/>
        </w:rPr>
        <w:t>R</w:t>
      </w:r>
      <w:r w:rsidRPr="00431994">
        <w:rPr>
          <w:rFonts w:ascii="Book Antiqua" w:hAnsi="Book Antiqua"/>
        </w:rPr>
        <w:t xml:space="preserve">ules.  Such an outcome would be in the interests of effective immigration control and </w:t>
      </w:r>
      <w:r>
        <w:rPr>
          <w:rFonts w:ascii="Book Antiqua" w:hAnsi="Book Antiqua"/>
        </w:rPr>
        <w:t xml:space="preserve">the economic well-being of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xml:space="preserve"> [26].</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974BE1">
        <w:rPr>
          <w:rFonts w:ascii="Book Antiqua" w:hAnsi="Book Antiqua"/>
          <w:u w:val="single"/>
        </w:rPr>
        <w:t>The Grounds and Submissions</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10.</w:t>
      </w:r>
      <w:r>
        <w:rPr>
          <w:rFonts w:ascii="Book Antiqua" w:hAnsi="Book Antiqua"/>
        </w:rPr>
        <w:tab/>
      </w:r>
      <w:r w:rsidRPr="00431994">
        <w:rPr>
          <w:rFonts w:ascii="Book Antiqua" w:hAnsi="Book Antiqua"/>
        </w:rPr>
        <w:t xml:space="preserve">In the grounds it is argued that the </w:t>
      </w:r>
      <w:r>
        <w:rPr>
          <w:rFonts w:ascii="Book Antiqua" w:hAnsi="Book Antiqua"/>
        </w:rPr>
        <w:t>judge did</w:t>
      </w:r>
      <w:r w:rsidRPr="00431994">
        <w:rPr>
          <w:rFonts w:ascii="Book Antiqua" w:hAnsi="Book Antiqua"/>
        </w:rPr>
        <w:t xml:space="preserve"> not consider the application of the 10</w:t>
      </w:r>
      <w:r>
        <w:rPr>
          <w:rFonts w:ascii="Book Antiqua" w:hAnsi="Book Antiqua"/>
        </w:rPr>
        <w:t>-</w:t>
      </w:r>
      <w:r w:rsidRPr="00431994">
        <w:rPr>
          <w:rFonts w:ascii="Book Antiqua" w:hAnsi="Book Antiqua"/>
        </w:rPr>
        <w:t xml:space="preserve">year route </w:t>
      </w:r>
      <w:r>
        <w:rPr>
          <w:rFonts w:ascii="Book Antiqua" w:hAnsi="Book Antiqua"/>
        </w:rPr>
        <w:t xml:space="preserve">to </w:t>
      </w:r>
      <w:r w:rsidRPr="00431994">
        <w:rPr>
          <w:rFonts w:ascii="Book Antiqua" w:hAnsi="Book Antiqua"/>
        </w:rPr>
        <w:t>settlement either as a partner or as a parent</w:t>
      </w:r>
      <w:r>
        <w:rPr>
          <w:rFonts w:ascii="Book Antiqua" w:hAnsi="Book Antiqua"/>
        </w:rPr>
        <w:t>.  The</w:t>
      </w:r>
      <w:r w:rsidRPr="00431994">
        <w:rPr>
          <w:rFonts w:ascii="Book Antiqua" w:hAnsi="Book Antiqua"/>
        </w:rPr>
        <w:t xml:space="preserve"> grounds </w:t>
      </w:r>
      <w:r>
        <w:rPr>
          <w:rFonts w:ascii="Book Antiqua" w:hAnsi="Book Antiqua"/>
        </w:rPr>
        <w:t>c</w:t>
      </w:r>
      <w:r w:rsidRPr="00431994">
        <w:rPr>
          <w:rFonts w:ascii="Book Antiqua" w:hAnsi="Book Antiqua"/>
        </w:rPr>
        <w:t xml:space="preserve">ite at length from </w:t>
      </w:r>
      <w:r w:rsidRPr="00974BE1">
        <w:rPr>
          <w:rFonts w:ascii="Book Antiqua" w:hAnsi="Book Antiqua"/>
          <w:u w:val="single"/>
        </w:rPr>
        <w:t xml:space="preserve">SF and others (guidance, post-2014 </w:t>
      </w:r>
      <w:r>
        <w:rPr>
          <w:rFonts w:ascii="Book Antiqua" w:hAnsi="Book Antiqua"/>
          <w:u w:val="single"/>
        </w:rPr>
        <w:t>A</w:t>
      </w:r>
      <w:r w:rsidRPr="00974BE1">
        <w:rPr>
          <w:rFonts w:ascii="Book Antiqua" w:hAnsi="Book Antiqua"/>
          <w:u w:val="single"/>
        </w:rPr>
        <w:t>ct)</w:t>
      </w:r>
      <w:r w:rsidRPr="00431994">
        <w:rPr>
          <w:rFonts w:ascii="Book Antiqua" w:hAnsi="Book Antiqua"/>
        </w:rPr>
        <w:t xml:space="preserve"> </w:t>
      </w:r>
      <w:smartTag w:uri="urn:schemas-microsoft-com:office:smarttags" w:element="country-region">
        <w:smartTag w:uri="urn:schemas-microsoft-com:office:smarttags" w:element="place">
          <w:r w:rsidRPr="00431994">
            <w:rPr>
              <w:rFonts w:ascii="Book Antiqua" w:hAnsi="Book Antiqua"/>
            </w:rPr>
            <w:t>Albania</w:t>
          </w:r>
        </w:smartTag>
      </w:smartTag>
      <w:r w:rsidRPr="00431994">
        <w:rPr>
          <w:rFonts w:ascii="Book Antiqua" w:hAnsi="Book Antiqua"/>
        </w:rPr>
        <w:t xml:space="preserve"> [2</w:t>
      </w:r>
      <w:r>
        <w:rPr>
          <w:rFonts w:ascii="Book Antiqua" w:hAnsi="Book Antiqua"/>
        </w:rPr>
        <w:t>01</w:t>
      </w:r>
      <w:r w:rsidRPr="00431994">
        <w:rPr>
          <w:rFonts w:ascii="Book Antiqua" w:hAnsi="Book Antiqua"/>
        </w:rPr>
        <w:t xml:space="preserve">7] </w:t>
      </w:r>
      <w:r>
        <w:rPr>
          <w:rFonts w:ascii="Book Antiqua" w:hAnsi="Book Antiqua"/>
        </w:rPr>
        <w:t>U</w:t>
      </w:r>
      <w:r w:rsidRPr="00431994">
        <w:rPr>
          <w:rFonts w:ascii="Book Antiqua" w:hAnsi="Book Antiqua"/>
        </w:rPr>
        <w:t xml:space="preserve">KUT 120.  Permission to appeal was granted by the First-tier Tribunal on the basis that it was arguable that the </w:t>
      </w:r>
      <w:r>
        <w:rPr>
          <w:rFonts w:ascii="Book Antiqua" w:hAnsi="Book Antiqua"/>
        </w:rPr>
        <w:t>judge</w:t>
      </w:r>
      <w:r w:rsidRPr="00431994">
        <w:rPr>
          <w:rFonts w:ascii="Book Antiqua" w:hAnsi="Book Antiqua"/>
        </w:rPr>
        <w:t xml:space="preserve"> failed to have regard to the respondent's policy and to the decision in </w:t>
      </w:r>
      <w:r w:rsidRPr="00974BE1">
        <w:rPr>
          <w:rFonts w:ascii="Book Antiqua" w:hAnsi="Book Antiqua"/>
          <w:u w:val="single"/>
        </w:rPr>
        <w:t>SF and other</w:t>
      </w:r>
      <w:r w:rsidRPr="00431994">
        <w:rPr>
          <w:rFonts w:ascii="Book Antiqua" w:hAnsi="Book Antiqua"/>
        </w:rPr>
        <w:t>s in coming to his conclusion that it was reasonable for the appellant</w:t>
      </w:r>
      <w:r>
        <w:rPr>
          <w:rFonts w:ascii="Book Antiqua" w:hAnsi="Book Antiqua"/>
        </w:rPr>
        <w:t>s’</w:t>
      </w:r>
      <w:r w:rsidRPr="00431994">
        <w:rPr>
          <w:rFonts w:ascii="Book Antiqua" w:hAnsi="Book Antiqua"/>
        </w:rPr>
        <w:t xml:space="preserve"> </w:t>
      </w:r>
      <w:r>
        <w:rPr>
          <w:rFonts w:ascii="Book Antiqua" w:hAnsi="Book Antiqua"/>
        </w:rPr>
        <w:t>child</w:t>
      </w:r>
      <w:r w:rsidRPr="00431994">
        <w:rPr>
          <w:rFonts w:ascii="Book Antiqua" w:hAnsi="Book Antiqua"/>
        </w:rPr>
        <w:t xml:space="preserve"> to accompany him to </w:t>
      </w:r>
      <w:smartTag w:uri="urn:schemas-microsoft-com:office:smarttags" w:element="country-region">
        <w:smartTag w:uri="urn:schemas-microsoft-com:office:smarttags" w:element="place">
          <w:r w:rsidRPr="00431994">
            <w:rPr>
              <w:rFonts w:ascii="Book Antiqua" w:hAnsi="Book Antiqua"/>
            </w:rPr>
            <w:t>Bangladesh</w:t>
          </w:r>
        </w:smartTag>
      </w:smartTag>
      <w:r w:rsidRPr="00431994">
        <w:rPr>
          <w:rFonts w:ascii="Book Antiqua" w:hAnsi="Book Antiqua"/>
        </w:rPr>
        <w:t xml:space="preserve">.  </w:t>
      </w:r>
    </w:p>
    <w:p w:rsidR="000E714C" w:rsidRPr="00CA6971"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11.</w:t>
      </w:r>
      <w:r>
        <w:rPr>
          <w:rFonts w:ascii="Book Antiqua" w:hAnsi="Book Antiqua"/>
        </w:rPr>
        <w:tab/>
      </w:r>
      <w:r w:rsidRPr="00431994">
        <w:rPr>
          <w:rFonts w:ascii="Book Antiqua" w:hAnsi="Book Antiqua"/>
        </w:rPr>
        <w:t>Mr Syed</w:t>
      </w:r>
      <w:r>
        <w:rPr>
          <w:rFonts w:ascii="Book Antiqua" w:hAnsi="Book Antiqua"/>
        </w:rPr>
        <w:t>-</w:t>
      </w:r>
      <w:r w:rsidRPr="00431994">
        <w:rPr>
          <w:rFonts w:ascii="Book Antiqua" w:hAnsi="Book Antiqua"/>
        </w:rPr>
        <w:t>Ali accepted that the grounds did not fully express the core of his submissions on whether the First-tier Tribunal had erred in law</w:t>
      </w:r>
      <w:r>
        <w:rPr>
          <w:rFonts w:ascii="Book Antiqua" w:hAnsi="Book Antiqua"/>
        </w:rPr>
        <w:t xml:space="preserve">. </w:t>
      </w:r>
      <w:r w:rsidRPr="00431994">
        <w:rPr>
          <w:rFonts w:ascii="Book Antiqua" w:hAnsi="Book Antiqua"/>
        </w:rPr>
        <w:t xml:space="preserve"> </w:t>
      </w:r>
      <w:r>
        <w:rPr>
          <w:rFonts w:ascii="Book Antiqua" w:hAnsi="Book Antiqua"/>
        </w:rPr>
        <w:t xml:space="preserve">His </w:t>
      </w:r>
      <w:r w:rsidRPr="00431994">
        <w:rPr>
          <w:rFonts w:ascii="Book Antiqua" w:hAnsi="Book Antiqua"/>
        </w:rPr>
        <w:t xml:space="preserve">argument was that the judge had failed properly to consider the application within the </w:t>
      </w:r>
      <w:r>
        <w:rPr>
          <w:rFonts w:ascii="Book Antiqua" w:hAnsi="Book Antiqua"/>
        </w:rPr>
        <w:t>R</w:t>
      </w:r>
      <w:r w:rsidRPr="00431994">
        <w:rPr>
          <w:rFonts w:ascii="Book Antiqua" w:hAnsi="Book Antiqua"/>
        </w:rPr>
        <w:t>ules relating to the 10</w:t>
      </w:r>
      <w:r>
        <w:rPr>
          <w:rFonts w:ascii="Book Antiqua" w:hAnsi="Book Antiqua"/>
        </w:rPr>
        <w:t>-</w:t>
      </w:r>
      <w:r w:rsidRPr="00431994">
        <w:rPr>
          <w:rFonts w:ascii="Book Antiqua" w:hAnsi="Book Antiqua"/>
        </w:rPr>
        <w:t>year route to settlement</w:t>
      </w:r>
      <w:r>
        <w:rPr>
          <w:rFonts w:ascii="Book Antiqua" w:hAnsi="Book Antiqua"/>
        </w:rPr>
        <w:t xml:space="preserve"> or outside the Rules under article 8</w:t>
      </w:r>
      <w:r w:rsidRPr="00431994">
        <w:rPr>
          <w:rFonts w:ascii="Book Antiqua" w:hAnsi="Book Antiqua"/>
        </w:rPr>
        <w:t xml:space="preserve">.  </w:t>
      </w:r>
      <w:r>
        <w:rPr>
          <w:rFonts w:ascii="Book Antiqua" w:hAnsi="Book Antiqua"/>
        </w:rPr>
        <w:t xml:space="preserve">In the light of the reliance on </w:t>
      </w:r>
      <w:r w:rsidRPr="00F47EC7">
        <w:rPr>
          <w:rFonts w:ascii="Book Antiqua" w:hAnsi="Book Antiqua"/>
          <w:u w:val="single"/>
        </w:rPr>
        <w:t>SF and others</w:t>
      </w:r>
      <w:r>
        <w:rPr>
          <w:rFonts w:ascii="Book Antiqua" w:hAnsi="Book Antiqua"/>
        </w:rPr>
        <w:t xml:space="preserve"> I asked whether reliance was being placed on any particular policy.  After a short adjournment, Mr Syed-Ali produced the Home Office guidance published for staff dated 22 February 2018 on Family Life (as a Partner or Parent) and Private Life: 10-Year Routes and the Overview of the 10-year route. He conceded that the appellant could not meet the parent route and confirmed that it was his submission that the judge had failed to deal adequately with the 10-year route including whether it was reasonable to expect the child to leave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There was no other policy or guidance he sought to rely on.</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12.</w:t>
      </w:r>
      <w:r>
        <w:rPr>
          <w:rFonts w:ascii="Book Antiqua" w:hAnsi="Book Antiqua"/>
        </w:rPr>
        <w:tab/>
      </w:r>
      <w:r w:rsidRPr="00431994">
        <w:rPr>
          <w:rFonts w:ascii="Book Antiqua" w:hAnsi="Book Antiqua"/>
        </w:rPr>
        <w:t xml:space="preserve">Ms Everett submitted that </w:t>
      </w:r>
      <w:r>
        <w:rPr>
          <w:rFonts w:ascii="Book Antiqua" w:hAnsi="Book Antiqua"/>
        </w:rPr>
        <w:t>j</w:t>
      </w:r>
      <w:r w:rsidRPr="00431994">
        <w:rPr>
          <w:rFonts w:ascii="Book Antiqua" w:hAnsi="Book Antiqua"/>
        </w:rPr>
        <w:t xml:space="preserve">udge had made a finding that there was no reason why the appellant's partner </w:t>
      </w:r>
      <w:r>
        <w:rPr>
          <w:rFonts w:ascii="Book Antiqua" w:hAnsi="Book Antiqua"/>
        </w:rPr>
        <w:t xml:space="preserve">and child </w:t>
      </w:r>
      <w:r w:rsidRPr="00431994">
        <w:rPr>
          <w:rFonts w:ascii="Book Antiqua" w:hAnsi="Book Antiqua"/>
        </w:rPr>
        <w:t xml:space="preserve">could not return to </w:t>
      </w:r>
      <w:smartTag w:uri="urn:schemas-microsoft-com:office:smarttags" w:element="country-region">
        <w:smartTag w:uri="urn:schemas-microsoft-com:office:smarttags" w:element="place">
          <w:r w:rsidRPr="00431994">
            <w:rPr>
              <w:rFonts w:ascii="Book Antiqua" w:hAnsi="Book Antiqua"/>
            </w:rPr>
            <w:t>Bangladesh</w:t>
          </w:r>
        </w:smartTag>
      </w:smartTag>
      <w:r w:rsidRPr="00431994">
        <w:rPr>
          <w:rFonts w:ascii="Book Antiqua" w:hAnsi="Book Antiqua"/>
        </w:rPr>
        <w:t xml:space="preserve"> with him or</w:t>
      </w:r>
      <w:r>
        <w:rPr>
          <w:rFonts w:ascii="Book Antiqua" w:hAnsi="Book Antiqua"/>
        </w:rPr>
        <w:t>,</w:t>
      </w:r>
      <w:r w:rsidRPr="00431994">
        <w:rPr>
          <w:rFonts w:ascii="Book Antiqua" w:hAnsi="Book Antiqua"/>
        </w:rPr>
        <w:t xml:space="preserve"> in the </w:t>
      </w:r>
      <w:r w:rsidRPr="00431994">
        <w:rPr>
          <w:rFonts w:ascii="Book Antiqua" w:hAnsi="Book Antiqua"/>
        </w:rPr>
        <w:lastRenderedPageBreak/>
        <w:t>alternative</w:t>
      </w:r>
      <w:r>
        <w:rPr>
          <w:rFonts w:ascii="Book Antiqua" w:hAnsi="Book Antiqua"/>
        </w:rPr>
        <w:t>,</w:t>
      </w:r>
      <w:r w:rsidRPr="00431994">
        <w:rPr>
          <w:rFonts w:ascii="Book Antiqua" w:hAnsi="Book Antiqua"/>
        </w:rPr>
        <w:t xml:space="preserve"> the appellant could return and make an application in accordance with the </w:t>
      </w:r>
      <w:r>
        <w:rPr>
          <w:rFonts w:ascii="Book Antiqua" w:hAnsi="Book Antiqua"/>
        </w:rPr>
        <w:t>Rules.  The grounds, so she argued, did not disclose any error of law.</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Pr="00CA6971"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CA6971">
        <w:rPr>
          <w:rFonts w:ascii="Book Antiqua" w:hAnsi="Book Antiqua"/>
          <w:u w:val="single"/>
        </w:rPr>
        <w:t>Assessment of the issues</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13</w:t>
      </w:r>
      <w:r>
        <w:rPr>
          <w:rFonts w:ascii="Book Antiqua" w:hAnsi="Book Antiqua"/>
        </w:rPr>
        <w:tab/>
      </w:r>
      <w:r w:rsidRPr="00431994">
        <w:rPr>
          <w:rFonts w:ascii="Book Antiqua" w:hAnsi="Book Antiqua"/>
        </w:rPr>
        <w:t xml:space="preserve">The issue </w:t>
      </w:r>
      <w:r>
        <w:rPr>
          <w:rFonts w:ascii="Book Antiqua" w:hAnsi="Book Antiqua"/>
        </w:rPr>
        <w:t>I must consider</w:t>
      </w:r>
      <w:r w:rsidRPr="00431994">
        <w:rPr>
          <w:rFonts w:ascii="Book Antiqua" w:hAnsi="Book Antiqua"/>
        </w:rPr>
        <w:t xml:space="preserve"> is whether the judge erred in law such that the decision should be set aside.  </w:t>
      </w:r>
      <w:r>
        <w:rPr>
          <w:rFonts w:ascii="Book Antiqua" w:hAnsi="Book Antiqua"/>
        </w:rPr>
        <w:t xml:space="preserve">The substance </w:t>
      </w:r>
      <w:r w:rsidRPr="00431994">
        <w:rPr>
          <w:rFonts w:ascii="Book Antiqua" w:hAnsi="Book Antiqua"/>
        </w:rPr>
        <w:t>of the argument made on behalf of the appellant is that the judge failed to consider application of the 10</w:t>
      </w:r>
      <w:r>
        <w:rPr>
          <w:rFonts w:ascii="Book Antiqua" w:hAnsi="Book Antiqua"/>
        </w:rPr>
        <w:t>-</w:t>
      </w:r>
      <w:r w:rsidRPr="00431994">
        <w:rPr>
          <w:rFonts w:ascii="Book Antiqua" w:hAnsi="Book Antiqua"/>
        </w:rPr>
        <w:t xml:space="preserve">year </w:t>
      </w:r>
      <w:r>
        <w:rPr>
          <w:rFonts w:ascii="Book Antiqua" w:hAnsi="Book Antiqua"/>
        </w:rPr>
        <w:t>route</w:t>
      </w:r>
      <w:r w:rsidRPr="00431994">
        <w:rPr>
          <w:rFonts w:ascii="Book Antiqua" w:hAnsi="Book Antiqua"/>
        </w:rPr>
        <w:t xml:space="preserve"> to settlement either as a partner or as a parent.  In submissions</w:t>
      </w:r>
      <w:r>
        <w:rPr>
          <w:rFonts w:ascii="Book Antiqua" w:hAnsi="Book Antiqua"/>
        </w:rPr>
        <w:t>,</w:t>
      </w:r>
      <w:r w:rsidRPr="00431994">
        <w:rPr>
          <w:rFonts w:ascii="Book Antiqua" w:hAnsi="Book Antiqua"/>
        </w:rPr>
        <w:t xml:space="preserve"> Mr </w:t>
      </w:r>
      <w:r>
        <w:rPr>
          <w:rFonts w:ascii="Book Antiqua" w:hAnsi="Book Antiqua"/>
        </w:rPr>
        <w:t>Syed-</w:t>
      </w:r>
      <w:r w:rsidRPr="00431994">
        <w:rPr>
          <w:rFonts w:ascii="Book Antiqua" w:hAnsi="Book Antiqua"/>
        </w:rPr>
        <w:t xml:space="preserve">Ali accepted that the claim could not succeed as a parent but </w:t>
      </w:r>
      <w:r>
        <w:rPr>
          <w:rFonts w:ascii="Book Antiqua" w:hAnsi="Book Antiqua"/>
        </w:rPr>
        <w:t xml:space="preserve">argued </w:t>
      </w:r>
      <w:r w:rsidRPr="00431994">
        <w:rPr>
          <w:rFonts w:ascii="Book Antiqua" w:hAnsi="Book Antiqua"/>
        </w:rPr>
        <w:t xml:space="preserve">that it could succeed as a partner.  </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14.</w:t>
      </w:r>
      <w:r>
        <w:rPr>
          <w:rFonts w:ascii="Book Antiqua" w:hAnsi="Book Antiqua"/>
        </w:rPr>
        <w:tab/>
      </w:r>
      <w:r w:rsidRPr="00431994">
        <w:rPr>
          <w:rFonts w:ascii="Book Antiqua" w:hAnsi="Book Antiqua"/>
        </w:rPr>
        <w:t>In order to qualify under the 10</w:t>
      </w:r>
      <w:r>
        <w:rPr>
          <w:rFonts w:ascii="Book Antiqua" w:hAnsi="Book Antiqua"/>
        </w:rPr>
        <w:t>-</w:t>
      </w:r>
      <w:r w:rsidRPr="00431994">
        <w:rPr>
          <w:rFonts w:ascii="Book Antiqua" w:hAnsi="Book Antiqua"/>
        </w:rPr>
        <w:t xml:space="preserve">year partner route the appellant must </w:t>
      </w:r>
      <w:r>
        <w:rPr>
          <w:rFonts w:ascii="Book Antiqua" w:hAnsi="Book Antiqua"/>
        </w:rPr>
        <w:t>meet the requirements of R-LTRP.1.(a) .</w:t>
      </w:r>
      <w:r w:rsidRPr="00431994">
        <w:rPr>
          <w:rFonts w:ascii="Book Antiqua" w:hAnsi="Book Antiqua"/>
        </w:rPr>
        <w:t>(</w:t>
      </w:r>
      <w:r>
        <w:rPr>
          <w:rFonts w:ascii="Book Antiqua" w:hAnsi="Book Antiqua"/>
        </w:rPr>
        <w:t>b) and .</w:t>
      </w:r>
      <w:r w:rsidRPr="00431994">
        <w:rPr>
          <w:rFonts w:ascii="Book Antiqua" w:hAnsi="Book Antiqua"/>
        </w:rPr>
        <w:t>(</w:t>
      </w:r>
      <w:r>
        <w:rPr>
          <w:rFonts w:ascii="Book Antiqua" w:hAnsi="Book Antiqua"/>
        </w:rPr>
        <w:t>d</w:t>
      </w:r>
      <w:r w:rsidRPr="00431994">
        <w:rPr>
          <w:rFonts w:ascii="Book Antiqua" w:hAnsi="Book Antiqua"/>
        </w:rPr>
        <w:t xml:space="preserve">) </w:t>
      </w:r>
      <w:r>
        <w:rPr>
          <w:rFonts w:ascii="Book Antiqua" w:hAnsi="Book Antiqua"/>
        </w:rPr>
        <w:t>of A</w:t>
      </w:r>
      <w:r w:rsidRPr="00431994">
        <w:rPr>
          <w:rFonts w:ascii="Book Antiqua" w:hAnsi="Book Antiqua"/>
        </w:rPr>
        <w:t>ppendix FM</w:t>
      </w:r>
      <w:r>
        <w:rPr>
          <w:rFonts w:ascii="Book Antiqua" w:hAnsi="Book Antiqua"/>
        </w:rPr>
        <w:t>.</w:t>
      </w:r>
      <w:r w:rsidRPr="00431994">
        <w:rPr>
          <w:rFonts w:ascii="Book Antiqua" w:hAnsi="Book Antiqua"/>
        </w:rPr>
        <w:t xml:space="preserve"> </w:t>
      </w:r>
      <w:r>
        <w:rPr>
          <w:rFonts w:ascii="Book Antiqua" w:hAnsi="Book Antiqua"/>
        </w:rPr>
        <w:t>One of the requirements in R-LTRP.1.1.(d) is that para EX.1.</w:t>
      </w:r>
      <w:r w:rsidRPr="00431994">
        <w:rPr>
          <w:rFonts w:ascii="Book Antiqua" w:hAnsi="Book Antiqua"/>
        </w:rPr>
        <w:t xml:space="preserve">(a) or </w:t>
      </w:r>
      <w:r>
        <w:rPr>
          <w:rFonts w:ascii="Book Antiqua" w:hAnsi="Book Antiqua"/>
        </w:rPr>
        <w:t>.</w:t>
      </w:r>
      <w:r w:rsidRPr="00431994">
        <w:rPr>
          <w:rFonts w:ascii="Book Antiqua" w:hAnsi="Book Antiqua"/>
        </w:rPr>
        <w:t>(</w:t>
      </w:r>
      <w:r>
        <w:rPr>
          <w:rFonts w:ascii="Book Antiqua" w:hAnsi="Book Antiqua"/>
        </w:rPr>
        <w:t>b</w:t>
      </w:r>
      <w:r w:rsidRPr="00431994">
        <w:rPr>
          <w:rFonts w:ascii="Book Antiqua" w:hAnsi="Book Antiqua"/>
        </w:rPr>
        <w:t>) applies.  The relevant part of EX</w:t>
      </w:r>
      <w:r>
        <w:rPr>
          <w:rFonts w:ascii="Book Antiqua" w:hAnsi="Book Antiqua"/>
        </w:rPr>
        <w:t>.1 is the need to show under EX.1(a)</w:t>
      </w:r>
      <w:r w:rsidRPr="00431994">
        <w:rPr>
          <w:rFonts w:ascii="Book Antiqua" w:hAnsi="Book Antiqua"/>
        </w:rPr>
        <w:t>(</w:t>
      </w:r>
      <w:r>
        <w:rPr>
          <w:rFonts w:ascii="Book Antiqua" w:hAnsi="Book Antiqua"/>
        </w:rPr>
        <w:t>ii)</w:t>
      </w:r>
      <w:r w:rsidRPr="00431994">
        <w:rPr>
          <w:rFonts w:ascii="Book Antiqua" w:hAnsi="Book Antiqua"/>
        </w:rPr>
        <w:t xml:space="preserve"> that "it would not be reasonable to expect the child to leave the UK".  </w:t>
      </w:r>
      <w:r>
        <w:rPr>
          <w:rFonts w:ascii="Book Antiqua" w:hAnsi="Book Antiqua"/>
        </w:rPr>
        <w:t>Hence, the reference to the reasonableness test in the grant of permission to appeal.</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15</w:t>
      </w:r>
      <w:r>
        <w:rPr>
          <w:rFonts w:ascii="Book Antiqua" w:hAnsi="Book Antiqua"/>
        </w:rPr>
        <w:tab/>
        <w:t>T</w:t>
      </w:r>
      <w:r w:rsidRPr="00431994">
        <w:rPr>
          <w:rFonts w:ascii="Book Antiqua" w:hAnsi="Book Antiqua"/>
        </w:rPr>
        <w:t xml:space="preserve">he judge was fully aware that the </w:t>
      </w:r>
      <w:r>
        <w:rPr>
          <w:rFonts w:ascii="Book Antiqua" w:hAnsi="Book Antiqua"/>
        </w:rPr>
        <w:t>application</w:t>
      </w:r>
      <w:r w:rsidRPr="00431994">
        <w:rPr>
          <w:rFonts w:ascii="Book Antiqua" w:hAnsi="Book Antiqua"/>
        </w:rPr>
        <w:t xml:space="preserve"> was for leave to remain under the 10</w:t>
      </w:r>
      <w:r>
        <w:rPr>
          <w:rFonts w:ascii="Book Antiqua" w:hAnsi="Book Antiqua"/>
        </w:rPr>
        <w:t>-</w:t>
      </w:r>
      <w:r w:rsidRPr="00431994">
        <w:rPr>
          <w:rFonts w:ascii="Book Antiqua" w:hAnsi="Book Antiqua"/>
        </w:rPr>
        <w:t xml:space="preserve"> year partner route.  </w:t>
      </w:r>
      <w:r>
        <w:rPr>
          <w:rFonts w:ascii="Book Antiqua" w:hAnsi="Book Antiqua"/>
        </w:rPr>
        <w:t xml:space="preserve">He referred to this in terms in [2]. </w:t>
      </w:r>
      <w:r w:rsidRPr="00431994">
        <w:rPr>
          <w:rFonts w:ascii="Book Antiqua" w:hAnsi="Book Antiqua"/>
        </w:rPr>
        <w:t>He also</w:t>
      </w:r>
      <w:r>
        <w:rPr>
          <w:rFonts w:ascii="Book Antiqua" w:hAnsi="Book Antiqua"/>
        </w:rPr>
        <w:t>,</w:t>
      </w:r>
      <w:r w:rsidRPr="00431994">
        <w:rPr>
          <w:rFonts w:ascii="Book Antiqua" w:hAnsi="Book Antiqua"/>
        </w:rPr>
        <w:t xml:space="preserve"> when referring to the law </w:t>
      </w:r>
      <w:r>
        <w:rPr>
          <w:rFonts w:ascii="Book Antiqua" w:hAnsi="Book Antiqua"/>
        </w:rPr>
        <w:t>in [16], identified R-LTRP.1.1 and EX.1 of Appendix FM</w:t>
      </w:r>
      <w:r w:rsidRPr="00431994">
        <w:rPr>
          <w:rFonts w:ascii="Book Antiqua" w:hAnsi="Book Antiqua"/>
        </w:rPr>
        <w:t xml:space="preserve"> </w:t>
      </w:r>
      <w:r>
        <w:rPr>
          <w:rFonts w:ascii="Book Antiqua" w:hAnsi="Book Antiqua"/>
        </w:rPr>
        <w:t>as</w:t>
      </w:r>
      <w:r w:rsidRPr="00431994">
        <w:rPr>
          <w:rFonts w:ascii="Book Antiqua" w:hAnsi="Book Antiqua"/>
        </w:rPr>
        <w:t xml:space="preserve"> relevant </w:t>
      </w:r>
      <w:r>
        <w:rPr>
          <w:rFonts w:ascii="Book Antiqua" w:hAnsi="Book Antiqua"/>
        </w:rPr>
        <w:t>R</w:t>
      </w:r>
      <w:r w:rsidRPr="00431994">
        <w:rPr>
          <w:rFonts w:ascii="Book Antiqua" w:hAnsi="Book Antiqua"/>
        </w:rPr>
        <w:t xml:space="preserve">ules.  </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16.</w:t>
      </w:r>
      <w:r>
        <w:rPr>
          <w:rFonts w:ascii="Book Antiqua" w:hAnsi="Book Antiqua"/>
        </w:rPr>
        <w:tab/>
        <w:t>However, R-LTRP .1.1.(d)(ii) requires the appellant to meet the eligibility requirements in E-LTPR1.2 as a partner but the appellant could not meet these requirements as his partner did not meet the definition of partner in Gen.1.2.  As the judge set out in [25], they were not lawfully married and had not been together at the date of application for two years.  For this reason, the appellant could not succeed under the Rules. There is, therefore, no substance in the ground that the judge failed to consider the 10-year route.  He explained why that part of the appeal could not succeed.</w:t>
      </w:r>
    </w:p>
    <w:p w:rsidR="000E714C" w:rsidRDefault="000E714C" w:rsidP="00F52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17.</w:t>
      </w:r>
      <w:r>
        <w:rPr>
          <w:rFonts w:ascii="Book Antiqua" w:hAnsi="Book Antiqua"/>
        </w:rPr>
        <w:tab/>
        <w:t>The judge went on to consider the position outside the Rules. His f</w:t>
      </w:r>
      <w:r w:rsidRPr="00431994">
        <w:rPr>
          <w:rFonts w:ascii="Book Antiqua" w:hAnsi="Book Antiqua"/>
        </w:rPr>
        <w:t xml:space="preserve">indings and assessment of </w:t>
      </w:r>
      <w:r>
        <w:rPr>
          <w:rFonts w:ascii="Book Antiqua" w:hAnsi="Book Antiqua"/>
        </w:rPr>
        <w:t>this issue are</w:t>
      </w:r>
      <w:r w:rsidRPr="00431994">
        <w:rPr>
          <w:rFonts w:ascii="Book Antiqua" w:hAnsi="Book Antiqua"/>
        </w:rPr>
        <w:t xml:space="preserve"> set out in [25] and [26]</w:t>
      </w:r>
      <w:r>
        <w:rPr>
          <w:rFonts w:ascii="Book Antiqua" w:hAnsi="Book Antiqua"/>
        </w:rPr>
        <w:t>.</w:t>
      </w:r>
      <w:r w:rsidRPr="00431994">
        <w:rPr>
          <w:rFonts w:ascii="Book Antiqua" w:hAnsi="Book Antiqua"/>
        </w:rPr>
        <w:t xml:space="preserve"> </w:t>
      </w:r>
      <w:r>
        <w:rPr>
          <w:rFonts w:ascii="Book Antiqua" w:hAnsi="Book Antiqua"/>
        </w:rPr>
        <w:t>He t</w:t>
      </w:r>
      <w:r w:rsidRPr="00431994">
        <w:rPr>
          <w:rFonts w:ascii="Book Antiqua" w:hAnsi="Book Antiqua"/>
        </w:rPr>
        <w:t>ook into account the child</w:t>
      </w:r>
      <w:r>
        <w:rPr>
          <w:rFonts w:ascii="Book Antiqua" w:hAnsi="Book Antiqua"/>
        </w:rPr>
        <w:t>’s</w:t>
      </w:r>
      <w:r w:rsidRPr="00431994">
        <w:rPr>
          <w:rFonts w:ascii="Book Antiqua" w:hAnsi="Book Antiqua"/>
        </w:rPr>
        <w:t xml:space="preserve"> young age</w:t>
      </w:r>
      <w:r>
        <w:rPr>
          <w:rFonts w:ascii="Book Antiqua" w:hAnsi="Book Antiqua"/>
        </w:rPr>
        <w:t>,</w:t>
      </w:r>
      <w:r w:rsidRPr="00431994">
        <w:rPr>
          <w:rFonts w:ascii="Book Antiqua" w:hAnsi="Book Antiqua"/>
        </w:rPr>
        <w:t xml:space="preserve"> being just short of his second birthday</w:t>
      </w:r>
      <w:r>
        <w:rPr>
          <w:rFonts w:ascii="Book Antiqua" w:hAnsi="Book Antiqua"/>
        </w:rPr>
        <w:t>,</w:t>
      </w:r>
      <w:r w:rsidRPr="00431994">
        <w:rPr>
          <w:rFonts w:ascii="Book Antiqua" w:hAnsi="Book Antiqua"/>
        </w:rPr>
        <w:t xml:space="preserve"> and the fact that he would have little appreciation of the world beyond his parents.  </w:t>
      </w:r>
      <w:r>
        <w:rPr>
          <w:rFonts w:ascii="Book Antiqua" w:hAnsi="Book Antiqua"/>
        </w:rPr>
        <w:t>He also took</w:t>
      </w:r>
      <w:r w:rsidRPr="00431994">
        <w:rPr>
          <w:rFonts w:ascii="Book Antiqua" w:hAnsi="Book Antiqua"/>
        </w:rPr>
        <w:t xml:space="preserve"> </w:t>
      </w:r>
      <w:r>
        <w:rPr>
          <w:rFonts w:ascii="Book Antiqua" w:hAnsi="Book Antiqua"/>
        </w:rPr>
        <w:t xml:space="preserve">note of </w:t>
      </w:r>
      <w:r w:rsidRPr="00431994">
        <w:rPr>
          <w:rFonts w:ascii="Book Antiqua" w:hAnsi="Book Antiqua"/>
        </w:rPr>
        <w:t xml:space="preserve">the fact that the appellant's partner had been unwell and had </w:t>
      </w:r>
      <w:r>
        <w:rPr>
          <w:rFonts w:ascii="Book Antiqua" w:hAnsi="Book Antiqua"/>
        </w:rPr>
        <w:t xml:space="preserve">had </w:t>
      </w:r>
      <w:r w:rsidRPr="00431994">
        <w:rPr>
          <w:rFonts w:ascii="Book Antiqua" w:hAnsi="Book Antiqua"/>
        </w:rPr>
        <w:t xml:space="preserve">a difficult time for many months following </w:t>
      </w:r>
      <w:r>
        <w:rPr>
          <w:rFonts w:ascii="Book Antiqua" w:hAnsi="Book Antiqua"/>
        </w:rPr>
        <w:t>her</w:t>
      </w:r>
      <w:r w:rsidRPr="00431994">
        <w:rPr>
          <w:rFonts w:ascii="Book Antiqua" w:hAnsi="Book Antiqua"/>
        </w:rPr>
        <w:t xml:space="preserve"> </w:t>
      </w:r>
      <w:r w:rsidR="002279EF" w:rsidRPr="00431994">
        <w:rPr>
          <w:rFonts w:ascii="Book Antiqua" w:hAnsi="Book Antiqua"/>
        </w:rPr>
        <w:t>c</w:t>
      </w:r>
      <w:r w:rsidR="002279EF">
        <w:rPr>
          <w:rFonts w:ascii="Book Antiqua" w:hAnsi="Book Antiqua"/>
        </w:rPr>
        <w:t>ae</w:t>
      </w:r>
      <w:r w:rsidR="002279EF" w:rsidRPr="00431994">
        <w:rPr>
          <w:rFonts w:ascii="Book Antiqua" w:hAnsi="Book Antiqua"/>
        </w:rPr>
        <w:t>sarean</w:t>
      </w:r>
      <w:r>
        <w:rPr>
          <w:rFonts w:ascii="Book Antiqua" w:hAnsi="Book Antiqua"/>
        </w:rPr>
        <w:t xml:space="preserve"> </w:t>
      </w:r>
      <w:bookmarkStart w:id="1" w:name="_GoBack"/>
      <w:bookmarkEnd w:id="1"/>
      <w:r>
        <w:rPr>
          <w:rFonts w:ascii="Book Antiqua" w:hAnsi="Book Antiqua"/>
        </w:rPr>
        <w:t>operation b</w:t>
      </w:r>
      <w:r w:rsidRPr="00431994">
        <w:rPr>
          <w:rFonts w:ascii="Book Antiqua" w:hAnsi="Book Antiqua"/>
        </w:rPr>
        <w:t xml:space="preserve">ut her GP had made it clear that the healing of the infected wound was completed by January-February 2017 and there was no medical evidence to show that she was in any way incapacitated and no evidence of her inability to take employment or look after herself and her child.  </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18.</w:t>
      </w:r>
      <w:r>
        <w:rPr>
          <w:rFonts w:ascii="Book Antiqua" w:hAnsi="Book Antiqua"/>
        </w:rPr>
        <w:tab/>
        <w:t>The judge reminded himself in [26]</w:t>
      </w:r>
      <w:r w:rsidRPr="00431994">
        <w:rPr>
          <w:rFonts w:ascii="Book Antiqua" w:hAnsi="Book Antiqua"/>
        </w:rPr>
        <w:t xml:space="preserve"> </w:t>
      </w:r>
      <w:r>
        <w:rPr>
          <w:rFonts w:ascii="Book Antiqua" w:hAnsi="Book Antiqua"/>
        </w:rPr>
        <w:t xml:space="preserve">that </w:t>
      </w:r>
      <w:r w:rsidRPr="00431994">
        <w:rPr>
          <w:rFonts w:ascii="Book Antiqua" w:hAnsi="Book Antiqua"/>
        </w:rPr>
        <w:t xml:space="preserve">the best interests of the child </w:t>
      </w:r>
      <w:r>
        <w:rPr>
          <w:rFonts w:ascii="Book Antiqua" w:hAnsi="Book Antiqua"/>
        </w:rPr>
        <w:t>were</w:t>
      </w:r>
      <w:r w:rsidRPr="00431994">
        <w:rPr>
          <w:rFonts w:ascii="Book Antiqua" w:hAnsi="Book Antiqua"/>
        </w:rPr>
        <w:t xml:space="preserve"> a primary consideration and that they were generally best served by being looked after by both parents.  He said that th</w:t>
      </w:r>
      <w:r>
        <w:rPr>
          <w:rFonts w:ascii="Book Antiqua" w:hAnsi="Book Antiqua"/>
        </w:rPr>
        <w:t>is</w:t>
      </w:r>
      <w:r w:rsidRPr="00431994">
        <w:rPr>
          <w:rFonts w:ascii="Book Antiqua" w:hAnsi="Book Antiqua"/>
        </w:rPr>
        <w:t xml:space="preserve"> could continue if the three of them relocated in Bangladesh</w:t>
      </w:r>
      <w:r>
        <w:rPr>
          <w:rFonts w:ascii="Book Antiqua" w:hAnsi="Book Antiqua"/>
        </w:rPr>
        <w:t xml:space="preserve"> but he noted that they were not obliged to relocate</w:t>
      </w:r>
      <w:r w:rsidRPr="00431994">
        <w:rPr>
          <w:rFonts w:ascii="Book Antiqua" w:hAnsi="Book Antiqua"/>
        </w:rPr>
        <w:t>.</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19.</w:t>
      </w:r>
      <w:r>
        <w:rPr>
          <w:rFonts w:ascii="Book Antiqua" w:hAnsi="Book Antiqua"/>
        </w:rPr>
        <w:tab/>
        <w:t>It was</w:t>
      </w:r>
      <w:r w:rsidRPr="00431994">
        <w:rPr>
          <w:rFonts w:ascii="Book Antiqua" w:hAnsi="Book Antiqua"/>
        </w:rPr>
        <w:t xml:space="preserve"> </w:t>
      </w:r>
      <w:r>
        <w:rPr>
          <w:rFonts w:ascii="Book Antiqua" w:hAnsi="Book Antiqua"/>
        </w:rPr>
        <w:t xml:space="preserve">also </w:t>
      </w:r>
      <w:r w:rsidRPr="00431994">
        <w:rPr>
          <w:rFonts w:ascii="Book Antiqua" w:hAnsi="Book Antiqua"/>
        </w:rPr>
        <w:t xml:space="preserve">argued that the judge had failed to consider the exercise of discretion outside the </w:t>
      </w:r>
      <w:r>
        <w:rPr>
          <w:rFonts w:ascii="Book Antiqua" w:hAnsi="Book Antiqua"/>
        </w:rPr>
        <w:t>R</w:t>
      </w:r>
      <w:r w:rsidRPr="00431994">
        <w:rPr>
          <w:rFonts w:ascii="Book Antiqua" w:hAnsi="Book Antiqua"/>
        </w:rPr>
        <w:t>ules</w:t>
      </w:r>
      <w:r>
        <w:rPr>
          <w:rFonts w:ascii="Book Antiqua" w:hAnsi="Book Antiqua"/>
        </w:rPr>
        <w:t xml:space="preserve"> but this is not the case.  It is clearly implicit in</w:t>
      </w:r>
      <w:r w:rsidRPr="00431994">
        <w:rPr>
          <w:rFonts w:ascii="Book Antiqua" w:hAnsi="Book Antiqua"/>
        </w:rPr>
        <w:t xml:space="preserve"> his findings and </w:t>
      </w:r>
      <w:r w:rsidRPr="00431994">
        <w:rPr>
          <w:rFonts w:ascii="Book Antiqua" w:hAnsi="Book Antiqua"/>
        </w:rPr>
        <w:lastRenderedPageBreak/>
        <w:t>conclusions in [25] and [26</w:t>
      </w:r>
      <w:r>
        <w:rPr>
          <w:rFonts w:ascii="Book Antiqua" w:hAnsi="Book Antiqua"/>
        </w:rPr>
        <w:t>]</w:t>
      </w:r>
      <w:r w:rsidRPr="00431994">
        <w:rPr>
          <w:rFonts w:ascii="Book Antiqua" w:hAnsi="Book Antiqua"/>
        </w:rPr>
        <w:t xml:space="preserve"> that he was not satisfied that there were any compelling or exceptional circumstances </w:t>
      </w:r>
      <w:r>
        <w:rPr>
          <w:rFonts w:ascii="Book Antiqua" w:hAnsi="Book Antiqua"/>
        </w:rPr>
        <w:t xml:space="preserve">to </w:t>
      </w:r>
      <w:r w:rsidRPr="00431994">
        <w:rPr>
          <w:rFonts w:ascii="Book Antiqua" w:hAnsi="Book Antiqua"/>
        </w:rPr>
        <w:t xml:space="preserve">justify the grant of leave outside the </w:t>
      </w:r>
      <w:r>
        <w:rPr>
          <w:rFonts w:ascii="Book Antiqua" w:hAnsi="Book Antiqua"/>
        </w:rPr>
        <w:t>R</w:t>
      </w:r>
      <w:r w:rsidRPr="00431994">
        <w:rPr>
          <w:rFonts w:ascii="Book Antiqua" w:hAnsi="Book Antiqua"/>
        </w:rPr>
        <w:t>ules</w:t>
      </w:r>
      <w:r w:rsidRPr="00042F9F">
        <w:rPr>
          <w:rFonts w:ascii="Book Antiqua" w:hAnsi="Book Antiqua"/>
        </w:rPr>
        <w:t xml:space="preserve"> </w:t>
      </w:r>
      <w:r>
        <w:rPr>
          <w:rFonts w:ascii="Book Antiqua" w:hAnsi="Book Antiqua"/>
        </w:rPr>
        <w:t>and that it would be reasonable for the child to leave the UK</w:t>
      </w:r>
      <w:r w:rsidRPr="00431994">
        <w:rPr>
          <w:rFonts w:ascii="Book Antiqua" w:hAnsi="Book Antiqua"/>
        </w:rPr>
        <w:t xml:space="preserve">.  He accepted that whether the appellant's partner and child should go with </w:t>
      </w:r>
      <w:r>
        <w:rPr>
          <w:rFonts w:ascii="Book Antiqua" w:hAnsi="Book Antiqua"/>
        </w:rPr>
        <w:t>the appellant</w:t>
      </w:r>
      <w:r w:rsidRPr="00431994">
        <w:rPr>
          <w:rFonts w:ascii="Book Antiqua" w:hAnsi="Book Antiqua"/>
        </w:rPr>
        <w:t xml:space="preserve"> to Bangladesh would be a very difficult choice for the</w:t>
      </w:r>
      <w:r>
        <w:rPr>
          <w:rFonts w:ascii="Book Antiqua" w:hAnsi="Book Antiqua"/>
        </w:rPr>
        <w:t>m</w:t>
      </w:r>
      <w:r w:rsidRPr="00431994">
        <w:rPr>
          <w:rFonts w:ascii="Book Antiqua" w:hAnsi="Book Antiqua"/>
        </w:rPr>
        <w:t xml:space="preserve"> to make</w:t>
      </w:r>
      <w:r>
        <w:rPr>
          <w:rFonts w:ascii="Book Antiqua" w:hAnsi="Book Antiqua"/>
        </w:rPr>
        <w:t xml:space="preserve"> and that </w:t>
      </w:r>
      <w:r w:rsidRPr="00431994">
        <w:rPr>
          <w:rFonts w:ascii="Book Antiqua" w:hAnsi="Book Antiqua"/>
        </w:rPr>
        <w:t xml:space="preserve">an application could be made from abroad.  The judge was entitled to give weight to the fact that the relationship was entered into when </w:t>
      </w:r>
      <w:r>
        <w:rPr>
          <w:rFonts w:ascii="Book Antiqua" w:hAnsi="Book Antiqua"/>
        </w:rPr>
        <w:t xml:space="preserve">the appellant’s </w:t>
      </w:r>
      <w:r w:rsidRPr="00431994">
        <w:rPr>
          <w:rFonts w:ascii="Book Antiqua" w:hAnsi="Book Antiqua"/>
        </w:rPr>
        <w:t xml:space="preserve">status was precarious </w:t>
      </w:r>
      <w:r>
        <w:rPr>
          <w:rFonts w:ascii="Book Antiqua" w:hAnsi="Book Antiqua"/>
        </w:rPr>
        <w:t>and to</w:t>
      </w:r>
      <w:r w:rsidRPr="00431994">
        <w:rPr>
          <w:rFonts w:ascii="Book Antiqua" w:hAnsi="Book Antiqua"/>
        </w:rPr>
        <w:t xml:space="preserve"> conclude</w:t>
      </w:r>
      <w:r>
        <w:rPr>
          <w:rFonts w:ascii="Book Antiqua" w:hAnsi="Book Antiqua"/>
        </w:rPr>
        <w:t xml:space="preserve"> for the reasons he gave </w:t>
      </w:r>
      <w:r w:rsidRPr="00431994">
        <w:rPr>
          <w:rFonts w:ascii="Book Antiqua" w:hAnsi="Book Antiqua"/>
        </w:rPr>
        <w:t xml:space="preserve">that it would not be unreasonable </w:t>
      </w:r>
      <w:r>
        <w:rPr>
          <w:rFonts w:ascii="Book Antiqua" w:hAnsi="Book Antiqua"/>
        </w:rPr>
        <w:t xml:space="preserve">or </w:t>
      </w:r>
      <w:r w:rsidRPr="00431994">
        <w:rPr>
          <w:rFonts w:ascii="Book Antiqua" w:hAnsi="Book Antiqua"/>
        </w:rPr>
        <w:t xml:space="preserve">disproportionate to expect </w:t>
      </w:r>
      <w:r>
        <w:rPr>
          <w:rFonts w:ascii="Book Antiqua" w:hAnsi="Book Antiqua"/>
        </w:rPr>
        <w:t>him to</w:t>
      </w:r>
      <w:r w:rsidRPr="00431994">
        <w:rPr>
          <w:rFonts w:ascii="Book Antiqua" w:hAnsi="Book Antiqua"/>
        </w:rPr>
        <w:t xml:space="preserve"> return to Bangladesh where he could make an application to return if he c</w:t>
      </w:r>
      <w:r>
        <w:rPr>
          <w:rFonts w:ascii="Book Antiqua" w:hAnsi="Book Antiqua"/>
        </w:rPr>
        <w:t>ould</w:t>
      </w:r>
      <w:r w:rsidRPr="00431994">
        <w:rPr>
          <w:rFonts w:ascii="Book Antiqua" w:hAnsi="Book Antiqua"/>
        </w:rPr>
        <w:t xml:space="preserve"> prove that he met all the requirements of the </w:t>
      </w:r>
      <w:r>
        <w:rPr>
          <w:rFonts w:ascii="Book Antiqua" w:hAnsi="Book Antiqua"/>
        </w:rPr>
        <w:t>Rules.  I am satisfied that the judge’s findings and conclusions were properly open to him.</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20.</w:t>
      </w:r>
      <w:r>
        <w:rPr>
          <w:rFonts w:ascii="Book Antiqua" w:hAnsi="Book Antiqua"/>
        </w:rPr>
        <w:tab/>
      </w:r>
      <w:r w:rsidRPr="00431994">
        <w:rPr>
          <w:rFonts w:ascii="Book Antiqua" w:hAnsi="Book Antiqua"/>
        </w:rPr>
        <w:t>When granting pe</w:t>
      </w:r>
      <w:r>
        <w:rPr>
          <w:rFonts w:ascii="Book Antiqua" w:hAnsi="Book Antiqua"/>
        </w:rPr>
        <w:t>rmission to appeal the issue was raised of whether the judge</w:t>
      </w:r>
      <w:r w:rsidRPr="00431994">
        <w:rPr>
          <w:rFonts w:ascii="Book Antiqua" w:hAnsi="Book Antiqua"/>
        </w:rPr>
        <w:t xml:space="preserve"> fail</w:t>
      </w:r>
      <w:r>
        <w:rPr>
          <w:rFonts w:ascii="Book Antiqua" w:hAnsi="Book Antiqua"/>
        </w:rPr>
        <w:t xml:space="preserve">ed </w:t>
      </w:r>
      <w:r w:rsidRPr="00431994">
        <w:rPr>
          <w:rFonts w:ascii="Book Antiqua" w:hAnsi="Book Antiqua"/>
        </w:rPr>
        <w:t xml:space="preserve">to have regard to the respondent's </w:t>
      </w:r>
      <w:r>
        <w:rPr>
          <w:rFonts w:ascii="Book Antiqua" w:hAnsi="Book Antiqua"/>
        </w:rPr>
        <w:t xml:space="preserve">policy and the decision in </w:t>
      </w:r>
      <w:r w:rsidRPr="007F0619">
        <w:rPr>
          <w:rFonts w:ascii="Book Antiqua" w:hAnsi="Book Antiqua"/>
          <w:u w:val="single"/>
        </w:rPr>
        <w:t>SF and others</w:t>
      </w:r>
      <w:r>
        <w:rPr>
          <w:rFonts w:ascii="Book Antiqua" w:hAnsi="Book Antiqua"/>
        </w:rPr>
        <w:t xml:space="preserve"> when assessing whether it would be reasonable for the child to leave the UK.  However, the guidance referred to in [7] of that decision deals with the situation where a British child is forced to leave the UK as a result of a decision relating to a parent or primary carer, so giving effect to the ECJ judgment in </w:t>
      </w:r>
      <w:r w:rsidRPr="002751E5">
        <w:rPr>
          <w:rFonts w:ascii="Book Antiqua" w:hAnsi="Book Antiqua"/>
          <w:u w:val="single"/>
        </w:rPr>
        <w:t>Zambrano</w:t>
      </w:r>
      <w:r w:rsidRPr="00431994">
        <w:rPr>
          <w:rFonts w:ascii="Book Antiqua" w:hAnsi="Book Antiqua"/>
        </w:rPr>
        <w:t xml:space="preserve">.  </w:t>
      </w:r>
      <w:r>
        <w:rPr>
          <w:rFonts w:ascii="Book Antiqua" w:hAnsi="Book Antiqua"/>
        </w:rPr>
        <w:t>That situation does not arise in the present case as there is no obligation on the appellant’s partner or child to leave.</w:t>
      </w:r>
      <w:r w:rsidRPr="00431994">
        <w:rPr>
          <w:rFonts w:ascii="Book Antiqua" w:hAnsi="Book Antiqua"/>
        </w:rPr>
        <w:t xml:space="preserve"> </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21.</w:t>
      </w:r>
      <w:r>
        <w:rPr>
          <w:rFonts w:ascii="Book Antiqua" w:hAnsi="Book Antiqua"/>
        </w:rPr>
        <w:tab/>
        <w:t>I</w:t>
      </w:r>
      <w:r w:rsidRPr="00431994">
        <w:rPr>
          <w:rFonts w:ascii="Book Antiqua" w:hAnsi="Book Antiqua"/>
        </w:rPr>
        <w:t>n summary</w:t>
      </w:r>
      <w:r>
        <w:rPr>
          <w:rFonts w:ascii="Book Antiqua" w:hAnsi="Book Antiqua"/>
        </w:rPr>
        <w:t>,</w:t>
      </w:r>
      <w:r w:rsidRPr="00431994">
        <w:rPr>
          <w:rFonts w:ascii="Book Antiqua" w:hAnsi="Book Antiqua"/>
        </w:rPr>
        <w:t xml:space="preserve"> I am satisfied that the judge reached findings and conclusions properly open to him.  He has explained why the appellant could not meet the requirements of the 10</w:t>
      </w:r>
      <w:r>
        <w:rPr>
          <w:rFonts w:ascii="Book Antiqua" w:hAnsi="Book Antiqua"/>
        </w:rPr>
        <w:t>-</w:t>
      </w:r>
      <w:r w:rsidRPr="00431994">
        <w:rPr>
          <w:rFonts w:ascii="Book Antiqua" w:hAnsi="Book Antiqua"/>
        </w:rPr>
        <w:t xml:space="preserve">year partner route </w:t>
      </w:r>
      <w:r>
        <w:rPr>
          <w:rFonts w:ascii="Book Antiqua" w:hAnsi="Book Antiqua"/>
        </w:rPr>
        <w:t>and</w:t>
      </w:r>
      <w:r w:rsidRPr="00431994">
        <w:rPr>
          <w:rFonts w:ascii="Book Antiqua" w:hAnsi="Book Antiqua"/>
        </w:rPr>
        <w:t xml:space="preserve"> why </w:t>
      </w:r>
      <w:r>
        <w:rPr>
          <w:rFonts w:ascii="Book Antiqua" w:hAnsi="Book Antiqua"/>
        </w:rPr>
        <w:t>the appeal could not succeed outside the Rules.  The grounds do not satisfy me that he erred in law.</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7F0619">
        <w:rPr>
          <w:rFonts w:ascii="Book Antiqua" w:hAnsi="Book Antiqua"/>
          <w:u w:val="single"/>
        </w:rPr>
        <w:t>Decision</w:t>
      </w:r>
    </w:p>
    <w:p w:rsidR="000E714C"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E714C" w:rsidRPr="00431994" w:rsidRDefault="000E714C" w:rsidP="00E45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7F0619">
        <w:rPr>
          <w:rFonts w:ascii="Book Antiqua" w:hAnsi="Book Antiqua"/>
        </w:rPr>
        <w:t>22.</w:t>
      </w:r>
      <w:r w:rsidRPr="007F0619">
        <w:rPr>
          <w:rFonts w:ascii="Book Antiqua" w:hAnsi="Book Antiqua"/>
        </w:rPr>
        <w:tab/>
      </w:r>
      <w:r w:rsidRPr="00431994">
        <w:rPr>
          <w:rFonts w:ascii="Book Antiqua" w:hAnsi="Book Antiqua"/>
        </w:rPr>
        <w:t>The First-tier Tribunal did not in law and its decision stands.</w:t>
      </w:r>
    </w:p>
    <w:p w:rsidR="000E714C" w:rsidRDefault="000E714C" w:rsidP="00DB6CFE">
      <w:pPr>
        <w:ind w:left="540" w:hanging="540"/>
        <w:jc w:val="both"/>
        <w:rPr>
          <w:rFonts w:ascii="Book Antiqua" w:hAnsi="Book Antiqua"/>
        </w:rPr>
      </w:pPr>
    </w:p>
    <w:p w:rsidR="000E714C" w:rsidRDefault="000E714C" w:rsidP="00DB6CFE">
      <w:pPr>
        <w:ind w:left="540" w:hanging="540"/>
        <w:jc w:val="both"/>
        <w:rPr>
          <w:rFonts w:ascii="Book Antiqua" w:hAnsi="Book Antiqua"/>
        </w:rPr>
      </w:pPr>
      <w:r>
        <w:rPr>
          <w:rFonts w:ascii="Book Antiqua" w:hAnsi="Book Antiqua"/>
        </w:rPr>
        <w:t xml:space="preserve">Signed:            </w:t>
      </w:r>
      <w:r w:rsidRPr="008C707C">
        <w:rPr>
          <w:rFonts w:ascii="Bradley Hand" w:hAnsi="Bradley Hand"/>
          <w:sz w:val="28"/>
          <w:szCs w:val="28"/>
        </w:rPr>
        <w:t xml:space="preserve"> H J E Latter </w:t>
      </w:r>
      <w:r>
        <w:rPr>
          <w:rFonts w:ascii="Book Antiqua" w:hAnsi="Book Antiqua"/>
        </w:rPr>
        <w:t xml:space="preserve">                                                        Dated: 13 August 2018</w:t>
      </w:r>
    </w:p>
    <w:p w:rsidR="000E714C" w:rsidRDefault="000E714C" w:rsidP="00DB6CFE">
      <w:pPr>
        <w:ind w:left="540" w:hanging="540"/>
        <w:jc w:val="both"/>
        <w:rPr>
          <w:rFonts w:ascii="Book Antiqua" w:hAnsi="Book Antiqua"/>
        </w:rPr>
      </w:pPr>
    </w:p>
    <w:p w:rsidR="000E714C" w:rsidRPr="007A56C4" w:rsidRDefault="000E714C" w:rsidP="0036725E">
      <w:pPr>
        <w:ind w:left="540" w:hanging="540"/>
        <w:jc w:val="both"/>
        <w:outlineLvl w:val="0"/>
        <w:rPr>
          <w:rFonts w:ascii="Book Antiqua" w:hAnsi="Book Antiqua"/>
        </w:rPr>
      </w:pPr>
      <w:r>
        <w:rPr>
          <w:rFonts w:ascii="Book Antiqua" w:hAnsi="Book Antiqua"/>
        </w:rPr>
        <w:t>Deputy Upper Tribunal Judge Latter</w:t>
      </w:r>
    </w:p>
    <w:sectPr w:rsidR="000E714C" w:rsidRPr="007A56C4" w:rsidSect="004F7744">
      <w:headerReference w:type="default" r:id="rId7"/>
      <w:footerReference w:type="even" r:id="rId8"/>
      <w:footerReference w:type="default" r:id="rId9"/>
      <w:footerReference w:type="first" r:id="rId10"/>
      <w:pgSz w:w="11900" w:h="16840"/>
      <w:pgMar w:top="567" w:right="1138" w:bottom="1440"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14C" w:rsidRDefault="000E714C" w:rsidP="007C7FB8">
      <w:r>
        <w:separator/>
      </w:r>
    </w:p>
  </w:endnote>
  <w:endnote w:type="continuationSeparator" w:id="0">
    <w:p w:rsidR="000E714C" w:rsidRDefault="000E714C" w:rsidP="007C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w:altName w:val="Courier New"/>
    <w:panose1 w:val="00000000000000000000"/>
    <w:charset w:val="4D"/>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14C" w:rsidRDefault="000E714C"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E714C" w:rsidRDefault="000E71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14C" w:rsidRPr="00F84EDA" w:rsidRDefault="000E714C" w:rsidP="00A82EA0">
    <w:pPr>
      <w:pStyle w:val="Footer"/>
      <w:framePr w:wrap="none" w:vAnchor="text" w:hAnchor="margin" w:xAlign="center" w:y="1"/>
      <w:rPr>
        <w:rStyle w:val="PageNumber"/>
        <w:rFonts w:ascii="Book Antiqua" w:hAnsi="Book Antiqua"/>
      </w:rPr>
    </w:pPr>
    <w:r w:rsidRPr="00F84EDA">
      <w:rPr>
        <w:rStyle w:val="PageNumber"/>
        <w:rFonts w:ascii="Book Antiqua" w:hAnsi="Book Antiqua"/>
      </w:rPr>
      <w:fldChar w:fldCharType="begin"/>
    </w:r>
    <w:r w:rsidRPr="00F84EDA">
      <w:rPr>
        <w:rStyle w:val="PageNumber"/>
        <w:rFonts w:ascii="Book Antiqua" w:hAnsi="Book Antiqua"/>
      </w:rPr>
      <w:instrText xml:space="preserve">PAGE  </w:instrText>
    </w:r>
    <w:r w:rsidRPr="00F84EDA">
      <w:rPr>
        <w:rStyle w:val="PageNumber"/>
        <w:rFonts w:ascii="Book Antiqua" w:hAnsi="Book Antiqua"/>
      </w:rPr>
      <w:fldChar w:fldCharType="separate"/>
    </w:r>
    <w:r w:rsidR="004A3FB1">
      <w:rPr>
        <w:rStyle w:val="PageNumber"/>
        <w:rFonts w:ascii="Book Antiqua" w:hAnsi="Book Antiqua"/>
        <w:noProof/>
      </w:rPr>
      <w:t>5</w:t>
    </w:r>
    <w:r w:rsidRPr="00F84EDA">
      <w:rPr>
        <w:rStyle w:val="PageNumber"/>
        <w:rFonts w:ascii="Book Antiqua" w:hAnsi="Book Antiqua"/>
      </w:rPr>
      <w:fldChar w:fldCharType="end"/>
    </w:r>
  </w:p>
  <w:p w:rsidR="000E714C" w:rsidRDefault="000E71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14C" w:rsidRPr="00397FAB" w:rsidRDefault="000E714C" w:rsidP="00397FAB">
    <w:pPr>
      <w:pStyle w:val="Footer"/>
      <w:jc w:val="center"/>
      <w:rPr>
        <w:rFonts w:ascii="Book Antiqua" w:hAnsi="Book Antiqua"/>
        <w:b/>
      </w:rPr>
    </w:pPr>
    <w:r w:rsidRPr="00397FAB">
      <w:rPr>
        <w:rFonts w:ascii="Book Antiqua" w:hAnsi="Book Antiqua"/>
        <w:b/>
      </w:rPr>
      <w:t>© CROWN COPYRIGHT 201</w:t>
    </w:r>
    <w:r>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14C" w:rsidRDefault="000E714C" w:rsidP="007C7FB8">
      <w:r>
        <w:separator/>
      </w:r>
    </w:p>
  </w:footnote>
  <w:footnote w:type="continuationSeparator" w:id="0">
    <w:p w:rsidR="000E714C" w:rsidRDefault="000E714C" w:rsidP="007C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14C" w:rsidRDefault="00F84EDA" w:rsidP="008B5F59">
    <w:pPr>
      <w:pStyle w:val="Header"/>
      <w:jc w:val="right"/>
      <w:rPr>
        <w:rFonts w:ascii="Book Antiqua" w:hAnsi="Book Antiqua"/>
        <w:sz w:val="16"/>
        <w:szCs w:val="16"/>
      </w:rPr>
    </w:pPr>
    <w:r>
      <w:rPr>
        <w:rFonts w:ascii="Book Antiqua" w:hAnsi="Book Antiqua"/>
        <w:sz w:val="16"/>
        <w:szCs w:val="16"/>
      </w:rPr>
      <w:t>Appeal Number</w:t>
    </w:r>
    <w:r w:rsidR="000E714C">
      <w:rPr>
        <w:rFonts w:ascii="Book Antiqua" w:hAnsi="Book Antiqua"/>
        <w:sz w:val="16"/>
        <w:szCs w:val="16"/>
      </w:rPr>
      <w:t>: HU/13564/2016</w:t>
    </w:r>
  </w:p>
  <w:p w:rsidR="00F84EDA" w:rsidRPr="008B5F59" w:rsidRDefault="00F84EDA" w:rsidP="008B5F59">
    <w:pPr>
      <w:pStyle w:val="Header"/>
      <w:jc w:val="right"/>
      <w:rPr>
        <w:rFonts w:ascii="Book Antiqua" w:hAnsi="Book Antiqua"/>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8"/>
    <w:rsid w:val="00012173"/>
    <w:rsid w:val="00025159"/>
    <w:rsid w:val="00042F9F"/>
    <w:rsid w:val="00072203"/>
    <w:rsid w:val="00090010"/>
    <w:rsid w:val="000947D9"/>
    <w:rsid w:val="000C1CCE"/>
    <w:rsid w:val="000D1090"/>
    <w:rsid w:val="000D12E8"/>
    <w:rsid w:val="000E714C"/>
    <w:rsid w:val="00114835"/>
    <w:rsid w:val="00135853"/>
    <w:rsid w:val="00144FD4"/>
    <w:rsid w:val="001502A2"/>
    <w:rsid w:val="0015310B"/>
    <w:rsid w:val="001B13ED"/>
    <w:rsid w:val="001B593A"/>
    <w:rsid w:val="001F7642"/>
    <w:rsid w:val="00203FEA"/>
    <w:rsid w:val="002067FC"/>
    <w:rsid w:val="00206C2B"/>
    <w:rsid w:val="00224546"/>
    <w:rsid w:val="002279EF"/>
    <w:rsid w:val="002620CF"/>
    <w:rsid w:val="00271319"/>
    <w:rsid w:val="002751E5"/>
    <w:rsid w:val="00283193"/>
    <w:rsid w:val="002843DB"/>
    <w:rsid w:val="002B1BA8"/>
    <w:rsid w:val="00321DA0"/>
    <w:rsid w:val="00323A7B"/>
    <w:rsid w:val="00336A6D"/>
    <w:rsid w:val="00340A0F"/>
    <w:rsid w:val="0036725E"/>
    <w:rsid w:val="00372955"/>
    <w:rsid w:val="003743B6"/>
    <w:rsid w:val="00375404"/>
    <w:rsid w:val="00375BFD"/>
    <w:rsid w:val="00383E38"/>
    <w:rsid w:val="003914AE"/>
    <w:rsid w:val="00397FAB"/>
    <w:rsid w:val="003B6FAC"/>
    <w:rsid w:val="00406DB0"/>
    <w:rsid w:val="00431994"/>
    <w:rsid w:val="004514B7"/>
    <w:rsid w:val="004537AA"/>
    <w:rsid w:val="004A3FB1"/>
    <w:rsid w:val="004A4B36"/>
    <w:rsid w:val="004C42C9"/>
    <w:rsid w:val="004D0138"/>
    <w:rsid w:val="004F7744"/>
    <w:rsid w:val="00582DAA"/>
    <w:rsid w:val="0059097A"/>
    <w:rsid w:val="005A1727"/>
    <w:rsid w:val="005F4C66"/>
    <w:rsid w:val="0060349E"/>
    <w:rsid w:val="00624D14"/>
    <w:rsid w:val="0065476D"/>
    <w:rsid w:val="006A5060"/>
    <w:rsid w:val="007041D0"/>
    <w:rsid w:val="00714955"/>
    <w:rsid w:val="0073123D"/>
    <w:rsid w:val="007360C7"/>
    <w:rsid w:val="00741869"/>
    <w:rsid w:val="00747F74"/>
    <w:rsid w:val="00781761"/>
    <w:rsid w:val="00795748"/>
    <w:rsid w:val="007A56C4"/>
    <w:rsid w:val="007C2EA9"/>
    <w:rsid w:val="007C7FB8"/>
    <w:rsid w:val="007D3489"/>
    <w:rsid w:val="007F0619"/>
    <w:rsid w:val="008307DA"/>
    <w:rsid w:val="00831B44"/>
    <w:rsid w:val="008466FF"/>
    <w:rsid w:val="00862EAE"/>
    <w:rsid w:val="00871544"/>
    <w:rsid w:val="00890724"/>
    <w:rsid w:val="008A7385"/>
    <w:rsid w:val="008B5F59"/>
    <w:rsid w:val="008C2E3C"/>
    <w:rsid w:val="008C707C"/>
    <w:rsid w:val="008E0898"/>
    <w:rsid w:val="00945C8F"/>
    <w:rsid w:val="00947CBC"/>
    <w:rsid w:val="00966AD3"/>
    <w:rsid w:val="00974BE1"/>
    <w:rsid w:val="00995185"/>
    <w:rsid w:val="009B7433"/>
    <w:rsid w:val="009D01D3"/>
    <w:rsid w:val="009D35BB"/>
    <w:rsid w:val="00A07CDD"/>
    <w:rsid w:val="00A16E60"/>
    <w:rsid w:val="00A712F5"/>
    <w:rsid w:val="00A82EA0"/>
    <w:rsid w:val="00A83CA2"/>
    <w:rsid w:val="00AB2208"/>
    <w:rsid w:val="00AC404E"/>
    <w:rsid w:val="00AD7D29"/>
    <w:rsid w:val="00B018BA"/>
    <w:rsid w:val="00B24797"/>
    <w:rsid w:val="00B33F2C"/>
    <w:rsid w:val="00B37BAA"/>
    <w:rsid w:val="00B50A5F"/>
    <w:rsid w:val="00B51236"/>
    <w:rsid w:val="00B546EA"/>
    <w:rsid w:val="00B70AB7"/>
    <w:rsid w:val="00B9227A"/>
    <w:rsid w:val="00B962CC"/>
    <w:rsid w:val="00BA1B40"/>
    <w:rsid w:val="00BB4941"/>
    <w:rsid w:val="00BC6CD0"/>
    <w:rsid w:val="00BF52BF"/>
    <w:rsid w:val="00BF5903"/>
    <w:rsid w:val="00C551C0"/>
    <w:rsid w:val="00C65059"/>
    <w:rsid w:val="00C77D98"/>
    <w:rsid w:val="00C87310"/>
    <w:rsid w:val="00CA6971"/>
    <w:rsid w:val="00CC6E2F"/>
    <w:rsid w:val="00CC6F4F"/>
    <w:rsid w:val="00CD7B18"/>
    <w:rsid w:val="00CE0E98"/>
    <w:rsid w:val="00CF3DD2"/>
    <w:rsid w:val="00CF3F2A"/>
    <w:rsid w:val="00D14044"/>
    <w:rsid w:val="00D60195"/>
    <w:rsid w:val="00D7270B"/>
    <w:rsid w:val="00D82D55"/>
    <w:rsid w:val="00DA1BF0"/>
    <w:rsid w:val="00DB6CFE"/>
    <w:rsid w:val="00DE688B"/>
    <w:rsid w:val="00DF35B6"/>
    <w:rsid w:val="00E12D04"/>
    <w:rsid w:val="00E34AB0"/>
    <w:rsid w:val="00E4038F"/>
    <w:rsid w:val="00E450F3"/>
    <w:rsid w:val="00E506D1"/>
    <w:rsid w:val="00E57BCD"/>
    <w:rsid w:val="00E81828"/>
    <w:rsid w:val="00EC2627"/>
    <w:rsid w:val="00EF58EB"/>
    <w:rsid w:val="00F011A6"/>
    <w:rsid w:val="00F10CD5"/>
    <w:rsid w:val="00F112F4"/>
    <w:rsid w:val="00F47EC7"/>
    <w:rsid w:val="00F5270D"/>
    <w:rsid w:val="00F76BF6"/>
    <w:rsid w:val="00F846EC"/>
    <w:rsid w:val="00F84EDA"/>
    <w:rsid w:val="00F8618A"/>
    <w:rsid w:val="00FC4A0D"/>
    <w:rsid w:val="00FF0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25D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6E6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C7FB8"/>
    <w:pPr>
      <w:tabs>
        <w:tab w:val="center" w:pos="4513"/>
        <w:tab w:val="right" w:pos="9026"/>
      </w:tabs>
    </w:pPr>
    <w:rPr>
      <w:rFonts w:ascii="Calibri" w:eastAsia="Calibri" w:hAnsi="Calibri"/>
      <w:lang w:eastAsia="en-US"/>
    </w:rPr>
  </w:style>
  <w:style w:type="character" w:customStyle="1" w:styleId="HeaderChar">
    <w:name w:val="Header Char"/>
    <w:basedOn w:val="DefaultParagraphFont"/>
    <w:link w:val="Header"/>
    <w:uiPriority w:val="99"/>
    <w:locked/>
    <w:rsid w:val="007C7FB8"/>
    <w:rPr>
      <w:rFonts w:cs="Times New Roman"/>
    </w:rPr>
  </w:style>
  <w:style w:type="paragraph" w:styleId="Footer">
    <w:name w:val="footer"/>
    <w:basedOn w:val="Normal"/>
    <w:link w:val="FooterChar"/>
    <w:uiPriority w:val="99"/>
    <w:rsid w:val="007C7FB8"/>
    <w:pPr>
      <w:tabs>
        <w:tab w:val="center" w:pos="4513"/>
        <w:tab w:val="right" w:pos="9026"/>
      </w:tabs>
    </w:pPr>
    <w:rPr>
      <w:rFonts w:ascii="Calibri" w:eastAsia="Calibri" w:hAnsi="Calibri"/>
      <w:lang w:eastAsia="en-US"/>
    </w:rPr>
  </w:style>
  <w:style w:type="character" w:customStyle="1" w:styleId="FooterChar">
    <w:name w:val="Footer Char"/>
    <w:basedOn w:val="DefaultParagraphFont"/>
    <w:link w:val="Footer"/>
    <w:uiPriority w:val="99"/>
    <w:locked/>
    <w:rsid w:val="007C7FB8"/>
    <w:rPr>
      <w:rFonts w:cs="Times New Roman"/>
    </w:rPr>
  </w:style>
  <w:style w:type="character" w:styleId="PageNumber">
    <w:name w:val="page number"/>
    <w:basedOn w:val="DefaultParagraphFont"/>
    <w:uiPriority w:val="99"/>
    <w:semiHidden/>
    <w:rsid w:val="00F112F4"/>
    <w:rPr>
      <w:rFonts w:cs="Times New Roman"/>
    </w:rPr>
  </w:style>
  <w:style w:type="paragraph" w:styleId="DocumentMap">
    <w:name w:val="Document Map"/>
    <w:basedOn w:val="Normal"/>
    <w:link w:val="DocumentMapChar"/>
    <w:uiPriority w:val="99"/>
    <w:semiHidden/>
    <w:rsid w:val="00203FEA"/>
  </w:style>
  <w:style w:type="character" w:customStyle="1" w:styleId="DocumentMapChar">
    <w:name w:val="Document Map Char"/>
    <w:basedOn w:val="DefaultParagraphFont"/>
    <w:link w:val="DocumentMap"/>
    <w:uiPriority w:val="99"/>
    <w:semiHidden/>
    <w:locked/>
    <w:rsid w:val="00203FEA"/>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2229</Words>
  <Characters>10715</Characters>
  <Application>Microsoft Office Word</Application>
  <DocSecurity>0</DocSecurity>
  <Lines>89</Lines>
  <Paragraphs>25</Paragraphs>
  <ScaleCrop>false</ScaleCrop>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2018-09-07T15:15:00Z</dcterms:created>
  <dcterms:modified xsi:type="dcterms:W3CDTF">2018-09-07T15:15:00Z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