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F1EF" w14:textId="11D7CCED" w:rsidR="00C321B5" w:rsidRPr="00E959C1" w:rsidRDefault="008742FA" w:rsidP="00C321B5">
      <w:pPr>
        <w:jc w:val="center"/>
        <w:rPr>
          <w:rFonts w:ascii="Book Antiqua" w:hAnsi="Book Antiqua" w:cs="Arial"/>
          <w:sz w:val="16"/>
          <w:szCs w:val="16"/>
        </w:rPr>
      </w:pPr>
      <w:r w:rsidRPr="00E959C1">
        <w:rPr>
          <w:noProof/>
        </w:rPr>
        <w:drawing>
          <wp:inline distT="0" distB="0" distL="0" distR="0" wp14:anchorId="54ADB557" wp14:editId="2192A52F">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773D487F" w14:textId="77777777" w:rsidR="00D94AFC" w:rsidRPr="00E959C1" w:rsidRDefault="00D94AFC">
      <w:pPr>
        <w:rPr>
          <w:rFonts w:ascii="Book Antiqua" w:hAnsi="Book Antiqua" w:cs="Arial"/>
        </w:rPr>
      </w:pPr>
    </w:p>
    <w:p w14:paraId="05132541" w14:textId="77777777" w:rsidR="00C321B5" w:rsidRPr="00E959C1" w:rsidRDefault="001A1E2C" w:rsidP="00B626FA">
      <w:pPr>
        <w:tabs>
          <w:tab w:val="right" w:pos="9639"/>
        </w:tabs>
        <w:rPr>
          <w:rFonts w:ascii="Book Antiqua" w:hAnsi="Book Antiqua" w:cs="Arial"/>
          <w:b/>
        </w:rPr>
      </w:pPr>
      <w:r w:rsidRPr="00E959C1">
        <w:rPr>
          <w:rFonts w:ascii="Book Antiqua" w:hAnsi="Book Antiqua" w:cs="Arial"/>
          <w:b/>
        </w:rPr>
        <w:t xml:space="preserve">Upper </w:t>
      </w:r>
      <w:r w:rsidR="00C321B5" w:rsidRPr="00E959C1">
        <w:rPr>
          <w:rFonts w:ascii="Book Antiqua" w:hAnsi="Book Antiqua" w:cs="Arial"/>
          <w:b/>
        </w:rPr>
        <w:t xml:space="preserve">Tribunal </w:t>
      </w:r>
    </w:p>
    <w:p w14:paraId="4A88DE7E" w14:textId="21839534" w:rsidR="007B0824" w:rsidRPr="00E959C1" w:rsidRDefault="00C321B5" w:rsidP="00B626FA">
      <w:pPr>
        <w:tabs>
          <w:tab w:val="right" w:pos="9639"/>
        </w:tabs>
        <w:rPr>
          <w:rFonts w:ascii="Book Antiqua" w:hAnsi="Book Antiqua" w:cs="Arial"/>
        </w:rPr>
      </w:pPr>
      <w:r w:rsidRPr="00E959C1">
        <w:rPr>
          <w:rFonts w:ascii="Book Antiqua" w:hAnsi="Book Antiqua" w:cs="Arial"/>
          <w:b/>
        </w:rPr>
        <w:t>(Immigration and Asylum Chamber)</w:t>
      </w:r>
      <w:r w:rsidR="00B626FA" w:rsidRPr="00E959C1">
        <w:rPr>
          <w:rFonts w:ascii="Book Antiqua" w:hAnsi="Book Antiqua" w:cs="Arial"/>
          <w:b/>
        </w:rPr>
        <w:tab/>
      </w:r>
      <w:r w:rsidR="00B3524D" w:rsidRPr="00E959C1">
        <w:rPr>
          <w:rFonts w:ascii="Book Antiqua" w:hAnsi="Book Antiqua" w:cs="Arial"/>
        </w:rPr>
        <w:t>Appeal Number</w:t>
      </w:r>
      <w:r w:rsidR="00D53769" w:rsidRPr="00E959C1">
        <w:rPr>
          <w:rFonts w:ascii="Book Antiqua" w:hAnsi="Book Antiqua" w:cs="Arial"/>
        </w:rPr>
        <w:t>:</w:t>
      </w:r>
      <w:r w:rsidR="00B3524D" w:rsidRPr="00E959C1">
        <w:rPr>
          <w:rFonts w:ascii="Book Antiqua" w:hAnsi="Book Antiqua" w:cs="Arial"/>
        </w:rPr>
        <w:t xml:space="preserve"> </w:t>
      </w:r>
      <w:bookmarkStart w:id="0" w:name="_GoBack"/>
      <w:r w:rsidR="008742FA" w:rsidRPr="00E959C1">
        <w:rPr>
          <w:rFonts w:ascii="Book Antiqua" w:hAnsi="Book Antiqua" w:cs="Arial"/>
          <w:caps/>
        </w:rPr>
        <w:t>HU/13616/2015</w:t>
      </w:r>
      <w:r w:rsidR="00E72A3C" w:rsidRPr="00E959C1">
        <w:rPr>
          <w:rFonts w:ascii="Book Antiqua" w:hAnsi="Book Antiqua" w:cs="Arial"/>
          <w:caps/>
        </w:rPr>
        <w:t xml:space="preserve">  </w:t>
      </w:r>
      <w:bookmarkEnd w:id="0"/>
    </w:p>
    <w:p w14:paraId="7FCC643B" w14:textId="77777777" w:rsidR="00C345E1" w:rsidRPr="00E959C1" w:rsidRDefault="00C345E1" w:rsidP="00C345E1">
      <w:pPr>
        <w:jc w:val="center"/>
        <w:rPr>
          <w:rFonts w:ascii="Book Antiqua" w:hAnsi="Book Antiqua" w:cs="Arial"/>
        </w:rPr>
      </w:pPr>
    </w:p>
    <w:p w14:paraId="5F2E312E" w14:textId="77777777" w:rsidR="00C345E1" w:rsidRPr="00E959C1" w:rsidRDefault="00C345E1" w:rsidP="00C345E1">
      <w:pPr>
        <w:jc w:val="center"/>
        <w:rPr>
          <w:rFonts w:ascii="Book Antiqua" w:hAnsi="Book Antiqua" w:cs="Arial"/>
        </w:rPr>
      </w:pPr>
    </w:p>
    <w:p w14:paraId="0A219465" w14:textId="77777777" w:rsidR="00C345E1" w:rsidRPr="00E959C1" w:rsidRDefault="00C345E1" w:rsidP="00C345E1">
      <w:pPr>
        <w:jc w:val="center"/>
        <w:rPr>
          <w:rFonts w:ascii="Book Antiqua" w:hAnsi="Book Antiqua" w:cs="Arial"/>
          <w:b/>
          <w:u w:val="single"/>
        </w:rPr>
      </w:pPr>
      <w:r w:rsidRPr="00E959C1">
        <w:rPr>
          <w:rFonts w:ascii="Book Antiqua" w:hAnsi="Book Antiqua" w:cs="Arial"/>
          <w:b/>
          <w:u w:val="single"/>
        </w:rPr>
        <w:t>THE IMMIGRATION ACTS</w:t>
      </w:r>
    </w:p>
    <w:p w14:paraId="4546A2A2" w14:textId="77777777" w:rsidR="00C345E1" w:rsidRPr="00E959C1" w:rsidRDefault="00C345E1" w:rsidP="00C345E1">
      <w:pPr>
        <w:jc w:val="center"/>
        <w:rPr>
          <w:rFonts w:ascii="Book Antiqua" w:hAnsi="Book Antiqua" w:cs="Arial"/>
          <w:b/>
          <w:u w:val="single"/>
        </w:rPr>
      </w:pPr>
    </w:p>
    <w:p w14:paraId="41DA06AE" w14:textId="77777777" w:rsidR="00C345E1" w:rsidRPr="00E959C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E959C1" w14:paraId="66DE897F" w14:textId="77777777" w:rsidTr="00F13D39">
        <w:tc>
          <w:tcPr>
            <w:tcW w:w="6048" w:type="dxa"/>
          </w:tcPr>
          <w:p w14:paraId="643F1547" w14:textId="0FFC00F2" w:rsidR="00D22636" w:rsidRPr="00E959C1" w:rsidRDefault="00D22636" w:rsidP="004A1848">
            <w:pPr>
              <w:jc w:val="both"/>
              <w:rPr>
                <w:rFonts w:ascii="Book Antiqua" w:hAnsi="Book Antiqua" w:cs="Arial"/>
                <w:b/>
              </w:rPr>
            </w:pPr>
            <w:r w:rsidRPr="00E959C1">
              <w:rPr>
                <w:rFonts w:ascii="Book Antiqua" w:hAnsi="Book Antiqua" w:cs="Arial"/>
                <w:b/>
              </w:rPr>
              <w:t xml:space="preserve">Heard at </w:t>
            </w:r>
            <w:r w:rsidR="004F6B74" w:rsidRPr="00E959C1">
              <w:rPr>
                <w:rFonts w:ascii="Book Antiqua" w:hAnsi="Book Antiqua" w:cs="Arial"/>
                <w:b/>
              </w:rPr>
              <w:t xml:space="preserve">Field House </w:t>
            </w:r>
            <w:r w:rsidR="005079A9" w:rsidRPr="00E959C1">
              <w:rPr>
                <w:rFonts w:ascii="Book Antiqua" w:hAnsi="Book Antiqua" w:cs="Arial"/>
                <w:b/>
              </w:rPr>
              <w:t xml:space="preserve"> </w:t>
            </w:r>
          </w:p>
        </w:tc>
        <w:tc>
          <w:tcPr>
            <w:tcW w:w="3960" w:type="dxa"/>
          </w:tcPr>
          <w:p w14:paraId="63203D5A" w14:textId="77777777" w:rsidR="00D22636" w:rsidRPr="00E959C1" w:rsidRDefault="00F13D39" w:rsidP="004A1848">
            <w:pPr>
              <w:jc w:val="both"/>
              <w:rPr>
                <w:rFonts w:ascii="Book Antiqua" w:hAnsi="Book Antiqua" w:cs="Arial"/>
                <w:b/>
              </w:rPr>
            </w:pPr>
            <w:r w:rsidRPr="00E959C1">
              <w:rPr>
                <w:rFonts w:ascii="Book Antiqua" w:hAnsi="Book Antiqua" w:cs="Arial"/>
                <w:b/>
              </w:rPr>
              <w:t>Decision &amp; Reasons</w:t>
            </w:r>
            <w:r w:rsidR="00283659" w:rsidRPr="00E959C1">
              <w:rPr>
                <w:rFonts w:ascii="Book Antiqua" w:hAnsi="Book Antiqua" w:cs="Arial"/>
                <w:b/>
              </w:rPr>
              <w:t xml:space="preserve"> Promulgated</w:t>
            </w:r>
          </w:p>
        </w:tc>
      </w:tr>
      <w:tr w:rsidR="00D22636" w:rsidRPr="00E959C1" w14:paraId="6CB96C3E" w14:textId="77777777" w:rsidTr="00F13D39">
        <w:tc>
          <w:tcPr>
            <w:tcW w:w="6048" w:type="dxa"/>
          </w:tcPr>
          <w:p w14:paraId="024DCB3F" w14:textId="7DADC348" w:rsidR="00D22636" w:rsidRPr="00E959C1" w:rsidRDefault="00D22636" w:rsidP="004A1848">
            <w:pPr>
              <w:jc w:val="both"/>
              <w:rPr>
                <w:rFonts w:ascii="Book Antiqua" w:hAnsi="Book Antiqua" w:cs="Arial"/>
                <w:b/>
              </w:rPr>
            </w:pPr>
            <w:r w:rsidRPr="00E959C1">
              <w:rPr>
                <w:rFonts w:ascii="Book Antiqua" w:hAnsi="Book Antiqua" w:cs="Arial"/>
                <w:b/>
              </w:rPr>
              <w:t xml:space="preserve">On </w:t>
            </w:r>
            <w:r w:rsidR="004F6B74" w:rsidRPr="00E959C1">
              <w:rPr>
                <w:rFonts w:ascii="Book Antiqua" w:hAnsi="Book Antiqua" w:cs="Arial"/>
                <w:b/>
              </w:rPr>
              <w:t>19</w:t>
            </w:r>
            <w:r w:rsidR="004F6B74" w:rsidRPr="00E959C1">
              <w:rPr>
                <w:rFonts w:ascii="Book Antiqua" w:hAnsi="Book Antiqua" w:cs="Arial"/>
                <w:b/>
                <w:vertAlign w:val="superscript"/>
              </w:rPr>
              <w:t>th</w:t>
            </w:r>
            <w:r w:rsidR="004F6B74" w:rsidRPr="00E959C1">
              <w:rPr>
                <w:rFonts w:ascii="Book Antiqua" w:hAnsi="Book Antiqua" w:cs="Arial"/>
                <w:b/>
              </w:rPr>
              <w:t xml:space="preserve"> June 2018  </w:t>
            </w:r>
          </w:p>
        </w:tc>
        <w:tc>
          <w:tcPr>
            <w:tcW w:w="3960" w:type="dxa"/>
          </w:tcPr>
          <w:p w14:paraId="7D7AD7E5" w14:textId="7E21BCC3" w:rsidR="00D22636" w:rsidRPr="00E959C1" w:rsidRDefault="004E4D90" w:rsidP="004A1848">
            <w:pPr>
              <w:jc w:val="both"/>
              <w:rPr>
                <w:rFonts w:ascii="Book Antiqua" w:hAnsi="Book Antiqua" w:cs="Arial"/>
                <w:b/>
              </w:rPr>
            </w:pPr>
            <w:r>
              <w:rPr>
                <w:rFonts w:ascii="Book Antiqua" w:hAnsi="Book Antiqua" w:cs="Arial"/>
                <w:b/>
              </w:rPr>
              <w:t>On 3rd July 2018</w:t>
            </w:r>
          </w:p>
        </w:tc>
      </w:tr>
      <w:tr w:rsidR="00D22636" w:rsidRPr="00E959C1" w14:paraId="1D957D79" w14:textId="77777777" w:rsidTr="00F13D39">
        <w:tc>
          <w:tcPr>
            <w:tcW w:w="6048" w:type="dxa"/>
          </w:tcPr>
          <w:p w14:paraId="207A87A1" w14:textId="77777777" w:rsidR="00D22636" w:rsidRPr="00E959C1" w:rsidRDefault="00D22636" w:rsidP="004A1848">
            <w:pPr>
              <w:jc w:val="both"/>
              <w:rPr>
                <w:rFonts w:ascii="Book Antiqua" w:hAnsi="Book Antiqua" w:cs="Arial"/>
                <w:b/>
              </w:rPr>
            </w:pPr>
          </w:p>
        </w:tc>
        <w:tc>
          <w:tcPr>
            <w:tcW w:w="3960" w:type="dxa"/>
          </w:tcPr>
          <w:p w14:paraId="17B1DDC5" w14:textId="1D7B9505" w:rsidR="00D22636" w:rsidRPr="00E959C1" w:rsidRDefault="00D22636" w:rsidP="004A1848">
            <w:pPr>
              <w:jc w:val="both"/>
              <w:rPr>
                <w:rFonts w:ascii="Book Antiqua" w:hAnsi="Book Antiqua" w:cs="Arial"/>
                <w:b/>
              </w:rPr>
            </w:pPr>
          </w:p>
        </w:tc>
      </w:tr>
    </w:tbl>
    <w:p w14:paraId="67A78B2E" w14:textId="77777777" w:rsidR="00A15234" w:rsidRPr="00E959C1" w:rsidRDefault="00A15234" w:rsidP="00A15234">
      <w:pPr>
        <w:jc w:val="center"/>
        <w:rPr>
          <w:rFonts w:ascii="Book Antiqua" w:hAnsi="Book Antiqua" w:cs="Arial"/>
        </w:rPr>
      </w:pPr>
    </w:p>
    <w:p w14:paraId="21934173" w14:textId="77777777" w:rsidR="00A15234" w:rsidRPr="00E959C1" w:rsidRDefault="00207617" w:rsidP="00A15234">
      <w:pPr>
        <w:jc w:val="center"/>
        <w:rPr>
          <w:rFonts w:ascii="Book Antiqua" w:hAnsi="Book Antiqua" w:cs="Arial"/>
          <w:b/>
        </w:rPr>
      </w:pPr>
      <w:r w:rsidRPr="00E959C1">
        <w:rPr>
          <w:rFonts w:ascii="Book Antiqua" w:hAnsi="Book Antiqua" w:cs="Arial"/>
          <w:b/>
        </w:rPr>
        <w:t>Befo</w:t>
      </w:r>
      <w:r w:rsidR="00A15234" w:rsidRPr="00E959C1">
        <w:rPr>
          <w:rFonts w:ascii="Book Antiqua" w:hAnsi="Book Antiqua" w:cs="Arial"/>
          <w:b/>
        </w:rPr>
        <w:t>re</w:t>
      </w:r>
    </w:p>
    <w:p w14:paraId="2942952C" w14:textId="77777777" w:rsidR="00A15234" w:rsidRPr="00E959C1" w:rsidRDefault="00A15234" w:rsidP="00A15234">
      <w:pPr>
        <w:jc w:val="center"/>
        <w:rPr>
          <w:rFonts w:ascii="Book Antiqua" w:hAnsi="Book Antiqua" w:cs="Arial"/>
          <w:b/>
        </w:rPr>
      </w:pPr>
    </w:p>
    <w:p w14:paraId="50190900" w14:textId="496BC48C" w:rsidR="001A1E2C" w:rsidRPr="00E959C1" w:rsidRDefault="00255071" w:rsidP="00A15234">
      <w:pPr>
        <w:jc w:val="center"/>
        <w:rPr>
          <w:rFonts w:ascii="Book Antiqua" w:hAnsi="Book Antiqua" w:cs="Arial"/>
          <w:b/>
        </w:rPr>
      </w:pPr>
      <w:r w:rsidRPr="00E959C1">
        <w:rPr>
          <w:rFonts w:ascii="Book Antiqua" w:hAnsi="Book Antiqua" w:cs="Arial"/>
          <w:b/>
        </w:rPr>
        <w:t>DEPUTY UPPER TRIBUNAL</w:t>
      </w:r>
      <w:r w:rsidR="00707DB1" w:rsidRPr="00E959C1">
        <w:rPr>
          <w:rFonts w:ascii="Book Antiqua" w:hAnsi="Book Antiqua" w:cs="Arial"/>
          <w:b/>
        </w:rPr>
        <w:t xml:space="preserve"> </w:t>
      </w:r>
      <w:r w:rsidR="00E1040E" w:rsidRPr="00E959C1">
        <w:rPr>
          <w:rFonts w:ascii="Book Antiqua" w:hAnsi="Book Antiqua" w:cs="Arial"/>
          <w:b/>
        </w:rPr>
        <w:t>JUDGE M A HALL</w:t>
      </w:r>
      <w:r w:rsidR="00F57AA9" w:rsidRPr="00E959C1">
        <w:rPr>
          <w:rFonts w:ascii="Book Antiqua" w:hAnsi="Book Antiqua" w:cs="Arial"/>
          <w:b/>
        </w:rPr>
        <w:t xml:space="preserve">  </w:t>
      </w:r>
    </w:p>
    <w:p w14:paraId="6B7B13AC" w14:textId="69D1A559" w:rsidR="00B16F58" w:rsidRDefault="00B16F58" w:rsidP="00A15234">
      <w:pPr>
        <w:jc w:val="center"/>
        <w:rPr>
          <w:rFonts w:ascii="Book Antiqua" w:hAnsi="Book Antiqua" w:cs="Arial"/>
          <w:b/>
        </w:rPr>
      </w:pPr>
    </w:p>
    <w:p w14:paraId="2AC13494" w14:textId="77777777" w:rsidR="003101F9" w:rsidRPr="00E959C1" w:rsidRDefault="003101F9" w:rsidP="00A15234">
      <w:pPr>
        <w:jc w:val="center"/>
        <w:rPr>
          <w:rFonts w:ascii="Book Antiqua" w:hAnsi="Book Antiqua" w:cs="Arial"/>
          <w:b/>
        </w:rPr>
      </w:pPr>
    </w:p>
    <w:p w14:paraId="6BAEA30B" w14:textId="77777777" w:rsidR="00A845DC" w:rsidRPr="00E959C1" w:rsidRDefault="00A845DC" w:rsidP="00A15234">
      <w:pPr>
        <w:jc w:val="center"/>
        <w:rPr>
          <w:rFonts w:ascii="Book Antiqua" w:hAnsi="Book Antiqua" w:cs="Arial"/>
          <w:b/>
        </w:rPr>
      </w:pPr>
      <w:r w:rsidRPr="00E959C1">
        <w:rPr>
          <w:rFonts w:ascii="Book Antiqua" w:hAnsi="Book Antiqua" w:cs="Arial"/>
          <w:b/>
        </w:rPr>
        <w:t>Between</w:t>
      </w:r>
    </w:p>
    <w:p w14:paraId="25B1DD0D" w14:textId="77777777" w:rsidR="00A845DC" w:rsidRPr="00E959C1" w:rsidRDefault="00A845DC" w:rsidP="00A15234">
      <w:pPr>
        <w:jc w:val="center"/>
        <w:rPr>
          <w:rFonts w:ascii="Book Antiqua" w:hAnsi="Book Antiqua" w:cs="Arial"/>
          <w:b/>
        </w:rPr>
      </w:pPr>
    </w:p>
    <w:p w14:paraId="3379FF89" w14:textId="1EB445A3" w:rsidR="00742A8D" w:rsidRPr="00E959C1" w:rsidRDefault="00F57AA9" w:rsidP="00742A8D">
      <w:pPr>
        <w:jc w:val="center"/>
        <w:rPr>
          <w:rFonts w:ascii="Book Antiqua" w:hAnsi="Book Antiqua" w:cs="Arial"/>
          <w:b/>
          <w:caps/>
        </w:rPr>
      </w:pPr>
      <w:r w:rsidRPr="00E959C1">
        <w:rPr>
          <w:rFonts w:ascii="Book Antiqua" w:hAnsi="Book Antiqua" w:cs="Arial"/>
          <w:b/>
          <w:caps/>
        </w:rPr>
        <w:t xml:space="preserve">CTN  </w:t>
      </w:r>
    </w:p>
    <w:p w14:paraId="6A4CED01" w14:textId="2C27839E" w:rsidR="00F13D39" w:rsidRPr="00E959C1" w:rsidRDefault="00F13D39" w:rsidP="00F13D39">
      <w:pPr>
        <w:jc w:val="center"/>
        <w:rPr>
          <w:rFonts w:ascii="Book Antiqua" w:hAnsi="Book Antiqua" w:cs="Arial"/>
          <w:b/>
          <w:caps/>
        </w:rPr>
      </w:pPr>
      <w:r w:rsidRPr="00E959C1">
        <w:rPr>
          <w:rFonts w:ascii="Book Antiqua" w:hAnsi="Book Antiqua" w:cs="Arial"/>
          <w:b/>
          <w:caps/>
        </w:rPr>
        <w:t xml:space="preserve">(ANONYMITY DIRECTION </w:t>
      </w:r>
      <w:bookmarkStart w:id="1" w:name="Text21"/>
      <w:r w:rsidRPr="00E959C1">
        <w:rPr>
          <w:rFonts w:ascii="Book Antiqua" w:hAnsi="Book Antiqua" w:cs="Arial"/>
          <w:b/>
          <w:caps/>
          <w:noProof/>
        </w:rPr>
        <w:t>MADE</w:t>
      </w:r>
      <w:bookmarkEnd w:id="1"/>
      <w:r w:rsidRPr="00E959C1">
        <w:rPr>
          <w:rFonts w:ascii="Book Antiqua" w:hAnsi="Book Antiqua" w:cs="Arial"/>
          <w:b/>
          <w:caps/>
        </w:rPr>
        <w:t>)</w:t>
      </w:r>
      <w:r w:rsidR="00CC5792" w:rsidRPr="00E959C1">
        <w:rPr>
          <w:rFonts w:ascii="Book Antiqua" w:hAnsi="Book Antiqua" w:cs="Arial"/>
          <w:b/>
          <w:caps/>
        </w:rPr>
        <w:t xml:space="preserve">  </w:t>
      </w:r>
    </w:p>
    <w:p w14:paraId="242D2F15" w14:textId="77777777" w:rsidR="00704B61" w:rsidRPr="00E959C1" w:rsidRDefault="00704B61" w:rsidP="00704B61">
      <w:pPr>
        <w:jc w:val="right"/>
        <w:rPr>
          <w:rFonts w:ascii="Book Antiqua" w:hAnsi="Book Antiqua" w:cs="Arial"/>
          <w:u w:val="single"/>
        </w:rPr>
      </w:pPr>
      <w:r w:rsidRPr="00E959C1">
        <w:rPr>
          <w:rFonts w:ascii="Book Antiqua" w:hAnsi="Book Antiqua" w:cs="Arial"/>
          <w:u w:val="single"/>
        </w:rPr>
        <w:t>Appellant</w:t>
      </w:r>
    </w:p>
    <w:p w14:paraId="22F582C7" w14:textId="77777777" w:rsidR="00704B61" w:rsidRPr="00E959C1" w:rsidRDefault="00DD5071" w:rsidP="00704B61">
      <w:pPr>
        <w:jc w:val="center"/>
        <w:rPr>
          <w:rFonts w:ascii="Book Antiqua" w:hAnsi="Book Antiqua" w:cs="Arial"/>
          <w:b/>
        </w:rPr>
      </w:pPr>
      <w:r w:rsidRPr="00E959C1">
        <w:rPr>
          <w:rFonts w:ascii="Book Antiqua" w:hAnsi="Book Antiqua" w:cs="Arial"/>
          <w:b/>
        </w:rPr>
        <w:t>and</w:t>
      </w:r>
    </w:p>
    <w:p w14:paraId="3FA6D4E6" w14:textId="77777777" w:rsidR="00DD5071" w:rsidRPr="00E959C1" w:rsidRDefault="00DD5071" w:rsidP="00704B61">
      <w:pPr>
        <w:jc w:val="center"/>
        <w:rPr>
          <w:rFonts w:ascii="Book Antiqua" w:hAnsi="Book Antiqua" w:cs="Arial"/>
          <w:b/>
        </w:rPr>
      </w:pPr>
    </w:p>
    <w:p w14:paraId="7E4255C4" w14:textId="28D5BD6B" w:rsidR="00DD5071" w:rsidRPr="00E959C1" w:rsidRDefault="00DD5071" w:rsidP="00704B61">
      <w:pPr>
        <w:jc w:val="center"/>
        <w:rPr>
          <w:rFonts w:ascii="Book Antiqua" w:hAnsi="Book Antiqua" w:cs="Arial"/>
          <w:b/>
          <w:caps/>
        </w:rPr>
      </w:pPr>
      <w:bookmarkStart w:id="2" w:name="Text7"/>
      <w:r w:rsidRPr="00E959C1">
        <w:rPr>
          <w:rFonts w:ascii="Book Antiqua" w:hAnsi="Book Antiqua" w:cs="Arial"/>
          <w:b/>
          <w:caps/>
          <w:noProof/>
        </w:rPr>
        <w:t>THE SECRETARY OF STATE FOR THE HOME DEPARTMENT</w:t>
      </w:r>
      <w:bookmarkEnd w:id="2"/>
      <w:r w:rsidR="00CC5792" w:rsidRPr="00E959C1">
        <w:rPr>
          <w:rFonts w:ascii="Book Antiqua" w:hAnsi="Book Antiqua" w:cs="Arial"/>
          <w:b/>
          <w:caps/>
          <w:noProof/>
        </w:rPr>
        <w:t xml:space="preserve">  </w:t>
      </w:r>
    </w:p>
    <w:p w14:paraId="47B03BB4" w14:textId="77777777" w:rsidR="00DD5071" w:rsidRPr="00E959C1" w:rsidRDefault="00DD5071" w:rsidP="00DD5071">
      <w:pPr>
        <w:jc w:val="right"/>
        <w:rPr>
          <w:rFonts w:ascii="Book Antiqua" w:hAnsi="Book Antiqua" w:cs="Arial"/>
          <w:u w:val="single"/>
        </w:rPr>
      </w:pPr>
      <w:r w:rsidRPr="00E959C1">
        <w:rPr>
          <w:rFonts w:ascii="Book Antiqua" w:hAnsi="Book Antiqua" w:cs="Arial"/>
          <w:u w:val="single"/>
        </w:rPr>
        <w:t>Respondent</w:t>
      </w:r>
    </w:p>
    <w:p w14:paraId="4EEF3F75" w14:textId="77777777" w:rsidR="00DD5071" w:rsidRPr="00E959C1" w:rsidRDefault="00DD5071" w:rsidP="00DD5071">
      <w:pPr>
        <w:rPr>
          <w:rFonts w:ascii="Book Antiqua" w:hAnsi="Book Antiqua" w:cs="Arial"/>
          <w:u w:val="single"/>
        </w:rPr>
      </w:pPr>
    </w:p>
    <w:p w14:paraId="4B6247E4" w14:textId="77777777" w:rsidR="00DD5071" w:rsidRPr="00E959C1" w:rsidRDefault="00DD5071" w:rsidP="00DD5071">
      <w:pPr>
        <w:rPr>
          <w:rFonts w:ascii="Book Antiqua" w:hAnsi="Book Antiqua" w:cs="Arial"/>
          <w:u w:val="single"/>
        </w:rPr>
      </w:pPr>
    </w:p>
    <w:p w14:paraId="146CCE3F" w14:textId="77777777" w:rsidR="00DD5071" w:rsidRPr="00E959C1" w:rsidRDefault="00DE7DB7" w:rsidP="00DD5071">
      <w:pPr>
        <w:rPr>
          <w:rFonts w:ascii="Book Antiqua" w:hAnsi="Book Antiqua" w:cs="Arial"/>
        </w:rPr>
      </w:pPr>
      <w:r w:rsidRPr="00E959C1">
        <w:rPr>
          <w:rFonts w:ascii="Book Antiqua" w:hAnsi="Book Antiqua" w:cs="Arial"/>
          <w:b/>
          <w:u w:val="single"/>
        </w:rPr>
        <w:t>Representation</w:t>
      </w:r>
      <w:r w:rsidRPr="00E959C1">
        <w:rPr>
          <w:rFonts w:ascii="Book Antiqua" w:hAnsi="Book Antiqua" w:cs="Arial"/>
          <w:b/>
        </w:rPr>
        <w:t>:</w:t>
      </w:r>
    </w:p>
    <w:p w14:paraId="4CEFFD36" w14:textId="4A05BE4A" w:rsidR="00DE7DB7" w:rsidRPr="00E959C1" w:rsidRDefault="00DE7DB7" w:rsidP="00DE7DB7">
      <w:pPr>
        <w:tabs>
          <w:tab w:val="left" w:pos="2520"/>
        </w:tabs>
        <w:rPr>
          <w:rFonts w:ascii="Book Antiqua" w:hAnsi="Book Antiqua" w:cs="Arial"/>
        </w:rPr>
      </w:pPr>
      <w:r w:rsidRPr="00E959C1">
        <w:rPr>
          <w:rFonts w:ascii="Book Antiqua" w:hAnsi="Book Antiqua" w:cs="Arial"/>
        </w:rPr>
        <w:t>For the Appellant:</w:t>
      </w:r>
      <w:r w:rsidRPr="00E959C1">
        <w:rPr>
          <w:rFonts w:ascii="Book Antiqua" w:hAnsi="Book Antiqua" w:cs="Arial"/>
        </w:rPr>
        <w:tab/>
      </w:r>
      <w:r w:rsidR="00A3534F" w:rsidRPr="00E959C1">
        <w:rPr>
          <w:rFonts w:ascii="Book Antiqua" w:hAnsi="Book Antiqua" w:cs="Arial"/>
        </w:rPr>
        <w:t>Mr M Sowerb</w:t>
      </w:r>
      <w:r w:rsidR="00F45D40" w:rsidRPr="00E959C1">
        <w:rPr>
          <w:rFonts w:ascii="Book Antiqua" w:hAnsi="Book Antiqua" w:cs="Arial"/>
        </w:rPr>
        <w:t>y</w:t>
      </w:r>
      <w:r w:rsidR="005016F4" w:rsidRPr="00E959C1">
        <w:rPr>
          <w:rFonts w:ascii="Book Antiqua" w:hAnsi="Book Antiqua" w:cs="Arial"/>
        </w:rPr>
        <w:t xml:space="preserve"> </w:t>
      </w:r>
      <w:r w:rsidR="00F45D40" w:rsidRPr="00E959C1">
        <w:rPr>
          <w:rFonts w:ascii="Book Antiqua" w:hAnsi="Book Antiqua" w:cstheme="minorHAnsi"/>
        </w:rPr>
        <w:t xml:space="preserve">of Counsel, instructed by the Chancery Partnership </w:t>
      </w:r>
      <w:r w:rsidR="005016F4" w:rsidRPr="00E959C1">
        <w:rPr>
          <w:rFonts w:ascii="Book Antiqua" w:hAnsi="Book Antiqua" w:cstheme="minorHAnsi"/>
        </w:rPr>
        <w:t xml:space="preserve"> </w:t>
      </w:r>
    </w:p>
    <w:p w14:paraId="2DD1EE17" w14:textId="35E78FC8" w:rsidR="00DE7DB7" w:rsidRPr="00E959C1" w:rsidRDefault="00DE7DB7" w:rsidP="00DE7DB7">
      <w:pPr>
        <w:tabs>
          <w:tab w:val="left" w:pos="2520"/>
        </w:tabs>
        <w:rPr>
          <w:rFonts w:ascii="Book Antiqua" w:hAnsi="Book Antiqua" w:cs="Arial"/>
        </w:rPr>
      </w:pPr>
      <w:r w:rsidRPr="00E959C1">
        <w:rPr>
          <w:rFonts w:ascii="Book Antiqua" w:hAnsi="Book Antiqua" w:cs="Arial"/>
        </w:rPr>
        <w:t>For the Respondent:</w:t>
      </w:r>
      <w:r w:rsidRPr="00E959C1">
        <w:rPr>
          <w:rFonts w:ascii="Book Antiqua" w:hAnsi="Book Antiqua" w:cs="Arial"/>
        </w:rPr>
        <w:tab/>
      </w:r>
      <w:r w:rsidR="00F45D40" w:rsidRPr="00E959C1">
        <w:rPr>
          <w:rFonts w:ascii="Book Antiqua" w:hAnsi="Book Antiqua" w:cs="Arial"/>
        </w:rPr>
        <w:t xml:space="preserve">Mr S </w:t>
      </w:r>
      <w:proofErr w:type="spellStart"/>
      <w:r w:rsidR="00F45D40" w:rsidRPr="00E959C1">
        <w:rPr>
          <w:rFonts w:ascii="Book Antiqua" w:hAnsi="Book Antiqua" w:cs="Arial"/>
        </w:rPr>
        <w:t>Kotas</w:t>
      </w:r>
      <w:proofErr w:type="spellEnd"/>
      <w:r w:rsidR="00F45D40" w:rsidRPr="00E959C1">
        <w:rPr>
          <w:rFonts w:ascii="Book Antiqua" w:hAnsi="Book Antiqua" w:cs="Arial"/>
        </w:rPr>
        <w:t>, Senior Home</w:t>
      </w:r>
      <w:r w:rsidR="00192469" w:rsidRPr="00E959C1">
        <w:rPr>
          <w:rFonts w:ascii="Book Antiqua" w:hAnsi="Book Antiqua" w:cs="Arial"/>
        </w:rPr>
        <w:t xml:space="preserve"> </w:t>
      </w:r>
      <w:r w:rsidR="00F45D40" w:rsidRPr="00E959C1">
        <w:rPr>
          <w:rFonts w:ascii="Book Antiqua" w:hAnsi="Book Antiqua" w:cs="Arial"/>
        </w:rPr>
        <w:t xml:space="preserve">Office Presenting Officer  </w:t>
      </w:r>
    </w:p>
    <w:p w14:paraId="69A7AA4A" w14:textId="77777777" w:rsidR="00DE7DB7" w:rsidRPr="00E959C1" w:rsidRDefault="00DE7DB7" w:rsidP="00402B9E">
      <w:pPr>
        <w:tabs>
          <w:tab w:val="left" w:pos="2520"/>
        </w:tabs>
        <w:jc w:val="center"/>
        <w:rPr>
          <w:rFonts w:ascii="Book Antiqua" w:hAnsi="Book Antiqua" w:cs="Arial"/>
        </w:rPr>
      </w:pPr>
    </w:p>
    <w:p w14:paraId="603CD317" w14:textId="77777777" w:rsidR="00DE7DB7" w:rsidRPr="00E959C1" w:rsidRDefault="00DE7DB7" w:rsidP="00402B9E">
      <w:pPr>
        <w:tabs>
          <w:tab w:val="left" w:pos="2520"/>
        </w:tabs>
        <w:jc w:val="center"/>
        <w:rPr>
          <w:rFonts w:ascii="Book Antiqua" w:hAnsi="Book Antiqua" w:cs="Arial"/>
        </w:rPr>
      </w:pPr>
    </w:p>
    <w:p w14:paraId="187AFD03" w14:textId="3DEF1E26" w:rsidR="00DE7DB7" w:rsidRPr="00E959C1" w:rsidRDefault="00F13D39" w:rsidP="00402B9E">
      <w:pPr>
        <w:tabs>
          <w:tab w:val="left" w:pos="2520"/>
        </w:tabs>
        <w:jc w:val="center"/>
        <w:rPr>
          <w:rFonts w:ascii="Book Antiqua" w:hAnsi="Book Antiqua" w:cs="Arial"/>
        </w:rPr>
      </w:pPr>
      <w:r w:rsidRPr="00E959C1">
        <w:rPr>
          <w:rFonts w:ascii="Book Antiqua" w:hAnsi="Book Antiqua" w:cs="Arial"/>
          <w:b/>
          <w:u w:val="single"/>
        </w:rPr>
        <w:t xml:space="preserve">DECISION </w:t>
      </w:r>
      <w:r w:rsidR="00402B9E" w:rsidRPr="00E959C1">
        <w:rPr>
          <w:rFonts w:ascii="Book Antiqua" w:hAnsi="Book Antiqua" w:cs="Arial"/>
          <w:b/>
          <w:u w:val="single"/>
        </w:rPr>
        <w:t>AND REASONS</w:t>
      </w:r>
      <w:r w:rsidR="00F43286" w:rsidRPr="00E959C1">
        <w:rPr>
          <w:rFonts w:ascii="Book Antiqua" w:hAnsi="Book Antiqua" w:cs="Arial"/>
          <w:b/>
          <w:u w:val="single"/>
        </w:rPr>
        <w:t xml:space="preserve">  </w:t>
      </w:r>
    </w:p>
    <w:p w14:paraId="3CFD945F" w14:textId="27D3BD49" w:rsidR="00CC5792" w:rsidRPr="00E959C1" w:rsidRDefault="00F43286" w:rsidP="00F43286">
      <w:pPr>
        <w:spacing w:before="240"/>
        <w:jc w:val="both"/>
        <w:rPr>
          <w:rFonts w:ascii="Book Antiqua" w:hAnsi="Book Antiqua" w:cs="Arial"/>
          <w:b/>
        </w:rPr>
      </w:pPr>
      <w:r w:rsidRPr="00E959C1">
        <w:rPr>
          <w:rFonts w:ascii="Book Antiqua" w:hAnsi="Book Antiqua" w:cs="Arial"/>
          <w:b/>
        </w:rPr>
        <w:t xml:space="preserve">Introduction and Background  </w:t>
      </w:r>
    </w:p>
    <w:p w14:paraId="73D031B1" w14:textId="33D0810C" w:rsidR="00CC5792" w:rsidRPr="00E959C1" w:rsidRDefault="000B74F4" w:rsidP="005E5DFF">
      <w:pPr>
        <w:numPr>
          <w:ilvl w:val="0"/>
          <w:numId w:val="3"/>
        </w:numPr>
        <w:spacing w:before="240"/>
        <w:jc w:val="both"/>
        <w:rPr>
          <w:rFonts w:ascii="Book Antiqua" w:hAnsi="Book Antiqua" w:cs="Arial"/>
        </w:rPr>
      </w:pPr>
      <w:r w:rsidRPr="00E959C1">
        <w:rPr>
          <w:rFonts w:ascii="Book Antiqua" w:hAnsi="Book Antiqua" w:cs="Arial"/>
        </w:rPr>
        <w:t>The Appellant appealed against a decision of Judge Dav</w:t>
      </w:r>
      <w:r w:rsidR="00E93EF4" w:rsidRPr="00E959C1">
        <w:rPr>
          <w:rFonts w:ascii="Book Antiqua" w:hAnsi="Book Antiqua" w:cs="Arial"/>
        </w:rPr>
        <w:t>e</w:t>
      </w:r>
      <w:r w:rsidRPr="00E959C1">
        <w:rPr>
          <w:rFonts w:ascii="Book Antiqua" w:hAnsi="Book Antiqua" w:cs="Arial"/>
        </w:rPr>
        <w:t xml:space="preserve">y (the judge) of the First-tier Tribunal (the </w:t>
      </w:r>
      <w:proofErr w:type="spellStart"/>
      <w:r w:rsidRPr="00E959C1">
        <w:rPr>
          <w:rFonts w:ascii="Book Antiqua" w:hAnsi="Book Antiqua" w:cs="Arial"/>
        </w:rPr>
        <w:t>FtT</w:t>
      </w:r>
      <w:proofErr w:type="spellEnd"/>
      <w:r w:rsidRPr="00E959C1">
        <w:rPr>
          <w:rFonts w:ascii="Book Antiqua" w:hAnsi="Book Antiqua" w:cs="Arial"/>
        </w:rPr>
        <w:t>) promulgated on 27</w:t>
      </w:r>
      <w:r w:rsidRPr="00E959C1">
        <w:rPr>
          <w:rFonts w:ascii="Book Antiqua" w:hAnsi="Book Antiqua" w:cs="Arial"/>
          <w:vertAlign w:val="superscript"/>
        </w:rPr>
        <w:t>th</w:t>
      </w:r>
      <w:r w:rsidRPr="00E959C1">
        <w:rPr>
          <w:rFonts w:ascii="Book Antiqua" w:hAnsi="Book Antiqua" w:cs="Arial"/>
        </w:rPr>
        <w:t xml:space="preserve"> November 2017.  </w:t>
      </w:r>
    </w:p>
    <w:p w14:paraId="30A9C2D0" w14:textId="01EF1584" w:rsidR="000B74F4" w:rsidRPr="00E959C1" w:rsidRDefault="000B74F4" w:rsidP="005E5DFF">
      <w:pPr>
        <w:numPr>
          <w:ilvl w:val="0"/>
          <w:numId w:val="3"/>
        </w:numPr>
        <w:spacing w:before="240"/>
        <w:jc w:val="both"/>
        <w:rPr>
          <w:rFonts w:ascii="Book Antiqua" w:hAnsi="Book Antiqua" w:cs="Arial"/>
        </w:rPr>
      </w:pPr>
      <w:r w:rsidRPr="00E959C1">
        <w:rPr>
          <w:rFonts w:ascii="Book Antiqua" w:hAnsi="Book Antiqua" w:cs="Arial"/>
        </w:rPr>
        <w:t xml:space="preserve">The Appellant is a Malaysian </w:t>
      </w:r>
      <w:r w:rsidR="00EE45FA" w:rsidRPr="00E959C1">
        <w:rPr>
          <w:rFonts w:ascii="Book Antiqua" w:hAnsi="Book Antiqua" w:cs="Arial"/>
        </w:rPr>
        <w:t>national born 1</w:t>
      </w:r>
      <w:r w:rsidR="00EE45FA" w:rsidRPr="00E959C1">
        <w:rPr>
          <w:rFonts w:ascii="Book Antiqua" w:hAnsi="Book Antiqua" w:cs="Arial"/>
          <w:vertAlign w:val="superscript"/>
        </w:rPr>
        <w:t>st</w:t>
      </w:r>
      <w:r w:rsidR="00EE45FA" w:rsidRPr="00E959C1">
        <w:rPr>
          <w:rFonts w:ascii="Book Antiqua" w:hAnsi="Book Antiqua" w:cs="Arial"/>
        </w:rPr>
        <w:t xml:space="preserve"> June 1977 who on 26</w:t>
      </w:r>
      <w:r w:rsidR="00EE45FA" w:rsidRPr="00E959C1">
        <w:rPr>
          <w:rFonts w:ascii="Book Antiqua" w:hAnsi="Book Antiqua" w:cs="Arial"/>
          <w:vertAlign w:val="superscript"/>
        </w:rPr>
        <w:t>th</w:t>
      </w:r>
      <w:r w:rsidR="00EE45FA" w:rsidRPr="00E959C1">
        <w:rPr>
          <w:rFonts w:ascii="Book Antiqua" w:hAnsi="Book Antiqua" w:cs="Arial"/>
        </w:rPr>
        <w:t xml:space="preserve"> August 2015 applied for leave to remain in the UK, relying upon his family life with his wife and two children.  The application was refused on 26</w:t>
      </w:r>
      <w:r w:rsidR="00EE45FA" w:rsidRPr="00E959C1">
        <w:rPr>
          <w:rFonts w:ascii="Book Antiqua" w:hAnsi="Book Antiqua" w:cs="Arial"/>
          <w:vertAlign w:val="superscript"/>
        </w:rPr>
        <w:t>th</w:t>
      </w:r>
      <w:r w:rsidR="00EE45FA" w:rsidRPr="00E959C1">
        <w:rPr>
          <w:rFonts w:ascii="Book Antiqua" w:hAnsi="Book Antiqua" w:cs="Arial"/>
        </w:rPr>
        <w:t xml:space="preserve"> November 2015.  </w:t>
      </w:r>
    </w:p>
    <w:p w14:paraId="4C192AAA" w14:textId="6B6093E0" w:rsidR="00EE45FA" w:rsidRPr="00E959C1" w:rsidRDefault="00EE45FA" w:rsidP="005E5DFF">
      <w:pPr>
        <w:numPr>
          <w:ilvl w:val="0"/>
          <w:numId w:val="3"/>
        </w:numPr>
        <w:spacing w:before="240"/>
        <w:jc w:val="both"/>
        <w:rPr>
          <w:rFonts w:ascii="Book Antiqua" w:hAnsi="Book Antiqua" w:cs="Arial"/>
        </w:rPr>
      </w:pPr>
      <w:r w:rsidRPr="00E959C1">
        <w:rPr>
          <w:rFonts w:ascii="Book Antiqua" w:hAnsi="Book Antiqua" w:cs="Arial"/>
        </w:rPr>
        <w:lastRenderedPageBreak/>
        <w:t xml:space="preserve">The reasons given for refusing the application were that the Appellant failed the suitability requirements in Appendix FM because he had used a proxy to obtain a TOEIC certificate from Educational Testing Service.  </w:t>
      </w:r>
      <w:r w:rsidR="004B64A9" w:rsidRPr="00E959C1">
        <w:rPr>
          <w:rFonts w:ascii="Book Antiqua" w:hAnsi="Book Antiqua" w:cs="Arial"/>
        </w:rPr>
        <w:t>The Respondent invoked S</w:t>
      </w:r>
      <w:r w:rsidR="00417398" w:rsidRPr="00E959C1">
        <w:rPr>
          <w:rFonts w:ascii="Book Antiqua" w:hAnsi="Book Antiqua" w:cs="Arial"/>
        </w:rPr>
        <w:t>-LTR</w:t>
      </w:r>
      <w:r w:rsidR="003A287E" w:rsidRPr="00E959C1">
        <w:rPr>
          <w:rFonts w:ascii="Book Antiqua" w:hAnsi="Book Antiqua" w:cs="Arial"/>
        </w:rPr>
        <w:t>.1.6 which states that an application will be refused if the presence of the applicant in the UK is not conducive to the public good</w:t>
      </w:r>
      <w:r w:rsidR="009211A9" w:rsidRPr="00E959C1">
        <w:rPr>
          <w:rFonts w:ascii="Book Antiqua" w:hAnsi="Book Antiqua" w:cs="Arial"/>
        </w:rPr>
        <w:t xml:space="preserve"> because their conduct (including convictions which do not fall within paragraphs S-LTR.1.3 to 1.5), character, associations or other reasons, make it undesirable to allow them to remain in the UK.  </w:t>
      </w:r>
    </w:p>
    <w:p w14:paraId="4BCACFB6" w14:textId="63FFD572" w:rsidR="009211A9" w:rsidRPr="00E959C1" w:rsidRDefault="009211A9" w:rsidP="005E5DFF">
      <w:pPr>
        <w:numPr>
          <w:ilvl w:val="0"/>
          <w:numId w:val="3"/>
        </w:numPr>
        <w:spacing w:before="240"/>
        <w:jc w:val="both"/>
        <w:rPr>
          <w:rFonts w:ascii="Book Antiqua" w:hAnsi="Book Antiqua" w:cs="Arial"/>
        </w:rPr>
      </w:pPr>
      <w:r w:rsidRPr="00E959C1">
        <w:rPr>
          <w:rFonts w:ascii="Book Antiqua" w:hAnsi="Book Antiqua" w:cs="Arial"/>
        </w:rPr>
        <w:t>Because the Appellant had used a proxy test taker, his scores from the tests taken on 21</w:t>
      </w:r>
      <w:r w:rsidRPr="00E959C1">
        <w:rPr>
          <w:rFonts w:ascii="Book Antiqua" w:hAnsi="Book Antiqua" w:cs="Arial"/>
          <w:vertAlign w:val="superscript"/>
        </w:rPr>
        <w:t>st</w:t>
      </w:r>
      <w:r w:rsidRPr="00E959C1">
        <w:rPr>
          <w:rFonts w:ascii="Book Antiqua" w:hAnsi="Book Antiqua" w:cs="Arial"/>
        </w:rPr>
        <w:t xml:space="preserve"> August 2012 at Elizabeth College had been cancelled by ETS.  This certificate had been used by the Appellant in his application for leave to remain </w:t>
      </w:r>
      <w:r w:rsidR="00B04378">
        <w:rPr>
          <w:rFonts w:ascii="Book Antiqua" w:hAnsi="Book Antiqua" w:cs="Arial"/>
        </w:rPr>
        <w:t>dated</w:t>
      </w:r>
      <w:r w:rsidRPr="00E959C1">
        <w:rPr>
          <w:rFonts w:ascii="Book Antiqua" w:hAnsi="Book Antiqua" w:cs="Arial"/>
        </w:rPr>
        <w:t xml:space="preserve"> 3</w:t>
      </w:r>
      <w:r w:rsidRPr="00E959C1">
        <w:rPr>
          <w:rFonts w:ascii="Book Antiqua" w:hAnsi="Book Antiqua" w:cs="Arial"/>
          <w:vertAlign w:val="superscript"/>
        </w:rPr>
        <w:t>rd</w:t>
      </w:r>
      <w:r w:rsidRPr="00E959C1">
        <w:rPr>
          <w:rFonts w:ascii="Book Antiqua" w:hAnsi="Book Antiqua" w:cs="Arial"/>
        </w:rPr>
        <w:t xml:space="preserve"> December 2012 and the Respondent was therefore satisfied </w:t>
      </w:r>
      <w:r w:rsidR="009220FF" w:rsidRPr="00E959C1">
        <w:rPr>
          <w:rFonts w:ascii="Book Antiqua" w:hAnsi="Book Antiqua" w:cs="Arial"/>
        </w:rPr>
        <w:t xml:space="preserve">that deception had been used in that application.  </w:t>
      </w:r>
    </w:p>
    <w:p w14:paraId="258665B0" w14:textId="5504340B" w:rsidR="009220FF" w:rsidRPr="00E959C1" w:rsidRDefault="009220FF" w:rsidP="009220FF">
      <w:pPr>
        <w:numPr>
          <w:ilvl w:val="0"/>
          <w:numId w:val="3"/>
        </w:numPr>
        <w:spacing w:before="240"/>
        <w:jc w:val="both"/>
        <w:rPr>
          <w:rFonts w:ascii="Book Antiqua" w:hAnsi="Book Antiqua" w:cs="Arial"/>
        </w:rPr>
      </w:pPr>
      <w:r w:rsidRPr="00E959C1">
        <w:rPr>
          <w:rFonts w:ascii="Book Antiqua" w:hAnsi="Book Antiqua" w:cs="Arial"/>
        </w:rPr>
        <w:t xml:space="preserve">Because deception had been used the Respondent decided that the Appellant could not benefit from any of the provisions contained within Appendix FM.  It was not accepted, in relation to private life, that the Appellant could rely upon paragraph 276ADE of the Immigration Rules, because he did not satisfy the suitability requirements, specifically S-LTR.1.6.  </w:t>
      </w:r>
    </w:p>
    <w:p w14:paraId="1D4D6A0E" w14:textId="77B80279" w:rsidR="009220FF" w:rsidRPr="00E959C1" w:rsidRDefault="009220FF" w:rsidP="009220FF">
      <w:pPr>
        <w:numPr>
          <w:ilvl w:val="0"/>
          <w:numId w:val="3"/>
        </w:numPr>
        <w:spacing w:before="240"/>
        <w:jc w:val="both"/>
        <w:rPr>
          <w:rFonts w:ascii="Book Antiqua" w:hAnsi="Book Antiqua" w:cs="Arial"/>
        </w:rPr>
      </w:pPr>
      <w:r w:rsidRPr="00E959C1">
        <w:rPr>
          <w:rFonts w:ascii="Book Antiqua" w:hAnsi="Book Antiqua" w:cs="Arial"/>
        </w:rPr>
        <w:t>The Respondent did not consider that the application raised any exceptional circumstances which would warrant granting leave to remain outside the Immigration Rules</w:t>
      </w:r>
      <w:r w:rsidR="0026548D" w:rsidRPr="00E959C1">
        <w:rPr>
          <w:rFonts w:ascii="Book Antiqua" w:hAnsi="Book Antiqua" w:cs="Arial"/>
        </w:rPr>
        <w:t>,</w:t>
      </w:r>
      <w:r w:rsidRPr="00E959C1">
        <w:rPr>
          <w:rFonts w:ascii="Book Antiqua" w:hAnsi="Book Antiqua" w:cs="Arial"/>
        </w:rPr>
        <w:t xml:space="preserve"> although it was accepted that the Appellant has a parental relationship</w:t>
      </w:r>
      <w:r w:rsidR="001A1E0A" w:rsidRPr="00E959C1">
        <w:rPr>
          <w:rFonts w:ascii="Book Antiqua" w:hAnsi="Book Antiqua" w:cs="Arial"/>
        </w:rPr>
        <w:t xml:space="preserve"> with his children, who are British citizens born 10</w:t>
      </w:r>
      <w:r w:rsidR="001A1E0A" w:rsidRPr="00E959C1">
        <w:rPr>
          <w:rFonts w:ascii="Book Antiqua" w:hAnsi="Book Antiqua" w:cs="Arial"/>
          <w:vertAlign w:val="superscript"/>
        </w:rPr>
        <w:t>th</w:t>
      </w:r>
      <w:r w:rsidR="001A1E0A" w:rsidRPr="00E959C1">
        <w:rPr>
          <w:rFonts w:ascii="Book Antiqua" w:hAnsi="Book Antiqua" w:cs="Arial"/>
        </w:rPr>
        <w:t xml:space="preserve"> December 2011 and 18</w:t>
      </w:r>
      <w:r w:rsidR="001A1E0A" w:rsidRPr="00E959C1">
        <w:rPr>
          <w:rFonts w:ascii="Book Antiqua" w:hAnsi="Book Antiqua" w:cs="Arial"/>
          <w:vertAlign w:val="superscript"/>
        </w:rPr>
        <w:t>th</w:t>
      </w:r>
      <w:r w:rsidR="001A1E0A" w:rsidRPr="00E959C1">
        <w:rPr>
          <w:rFonts w:ascii="Book Antiqua" w:hAnsi="Book Antiqua" w:cs="Arial"/>
        </w:rPr>
        <w:t xml:space="preserve"> November 2014.  </w:t>
      </w:r>
    </w:p>
    <w:p w14:paraId="173205F4" w14:textId="1BAAB29D" w:rsidR="001A1E0A" w:rsidRPr="00E959C1" w:rsidRDefault="001A1E0A" w:rsidP="009220FF">
      <w:pPr>
        <w:numPr>
          <w:ilvl w:val="0"/>
          <w:numId w:val="3"/>
        </w:numPr>
        <w:spacing w:before="240"/>
        <w:jc w:val="both"/>
        <w:rPr>
          <w:rFonts w:ascii="Book Antiqua" w:hAnsi="Book Antiqua" w:cs="Arial"/>
        </w:rPr>
      </w:pPr>
      <w:r w:rsidRPr="00E959C1">
        <w:rPr>
          <w:rFonts w:ascii="Book Antiqua" w:hAnsi="Book Antiqua" w:cs="Arial"/>
        </w:rPr>
        <w:t xml:space="preserve">The appeal was heard by the </w:t>
      </w:r>
      <w:proofErr w:type="spellStart"/>
      <w:r w:rsidRPr="00E959C1">
        <w:rPr>
          <w:rFonts w:ascii="Book Antiqua" w:hAnsi="Book Antiqua" w:cs="Arial"/>
        </w:rPr>
        <w:t>FtT</w:t>
      </w:r>
      <w:proofErr w:type="spellEnd"/>
      <w:r w:rsidRPr="00E959C1">
        <w:rPr>
          <w:rFonts w:ascii="Book Antiqua" w:hAnsi="Book Antiqua" w:cs="Arial"/>
        </w:rPr>
        <w:t xml:space="preserve"> on 20</w:t>
      </w:r>
      <w:r w:rsidRPr="00E959C1">
        <w:rPr>
          <w:rFonts w:ascii="Book Antiqua" w:hAnsi="Book Antiqua" w:cs="Arial"/>
          <w:vertAlign w:val="superscript"/>
        </w:rPr>
        <w:t>th</w:t>
      </w:r>
      <w:r w:rsidRPr="00E959C1">
        <w:rPr>
          <w:rFonts w:ascii="Book Antiqua" w:hAnsi="Book Antiqua" w:cs="Arial"/>
        </w:rPr>
        <w:t xml:space="preserve"> July 2017.  The judge found that the Appellant had used a proxy test taker </w:t>
      </w:r>
      <w:r w:rsidR="00511320" w:rsidRPr="00E959C1">
        <w:rPr>
          <w:rFonts w:ascii="Book Antiqua" w:hAnsi="Book Antiqua" w:cs="Arial"/>
        </w:rPr>
        <w:t xml:space="preserve">to obtain an English language certificate, and had acted dishonestly in so doing.  </w:t>
      </w:r>
    </w:p>
    <w:p w14:paraId="7E92EBB3" w14:textId="171CD5BA" w:rsidR="00511320" w:rsidRPr="00E959C1" w:rsidRDefault="00511320" w:rsidP="009220FF">
      <w:pPr>
        <w:numPr>
          <w:ilvl w:val="0"/>
          <w:numId w:val="3"/>
        </w:numPr>
        <w:spacing w:before="240"/>
        <w:jc w:val="both"/>
        <w:rPr>
          <w:rFonts w:ascii="Book Antiqua" w:hAnsi="Book Antiqua" w:cs="Arial"/>
        </w:rPr>
      </w:pPr>
      <w:r w:rsidRPr="00E959C1">
        <w:rPr>
          <w:rFonts w:ascii="Book Antiqua" w:hAnsi="Book Antiqua" w:cs="Arial"/>
        </w:rPr>
        <w:t>The judge found that very little information had been provided about the Appellant’s family life and noted the lack of evidence from the Appellant’s wife and that it had not been proved that the best interests</w:t>
      </w:r>
      <w:r w:rsidR="00203E6B" w:rsidRPr="00E959C1">
        <w:rPr>
          <w:rFonts w:ascii="Book Antiqua" w:hAnsi="Book Antiqua" w:cs="Arial"/>
        </w:rPr>
        <w:t xml:space="preserve"> of the children would be for the Appellant to remain in the UK, as evidence had not been </w:t>
      </w:r>
      <w:r w:rsidR="005448D3" w:rsidRPr="00E959C1">
        <w:rPr>
          <w:rFonts w:ascii="Book Antiqua" w:hAnsi="Book Antiqua" w:cs="Arial"/>
        </w:rPr>
        <w:t>adduced addressing Article 8 in relation to private and/or family life</w:t>
      </w:r>
      <w:r w:rsidR="00BE28F6" w:rsidRPr="00E959C1">
        <w:rPr>
          <w:rFonts w:ascii="Book Antiqua" w:hAnsi="Book Antiqua" w:cs="Arial"/>
        </w:rPr>
        <w:t xml:space="preserve"> or exceptional circumstances.  The judge found that the Appellant</w:t>
      </w:r>
      <w:r w:rsidR="00E83649" w:rsidRPr="00E959C1">
        <w:rPr>
          <w:rFonts w:ascii="Book Antiqua" w:hAnsi="Book Antiqua" w:cs="Arial"/>
        </w:rPr>
        <w:t xml:space="preserve">’s removal </w:t>
      </w:r>
      <w:r w:rsidR="002C0C02" w:rsidRPr="00E959C1">
        <w:rPr>
          <w:rFonts w:ascii="Book Antiqua" w:hAnsi="Book Antiqua" w:cs="Arial"/>
        </w:rPr>
        <w:t xml:space="preserve">would not be disproportionate, and while the children could not be removed, as British citizens, the family could relocate as a whole to Malaysia, as the children are at an age when leaving the UK remains reasonable.  The appeal was dismissed.  </w:t>
      </w:r>
    </w:p>
    <w:p w14:paraId="48400C66" w14:textId="46715C32" w:rsidR="002C0C02" w:rsidRPr="00E959C1" w:rsidRDefault="002C0C02" w:rsidP="009220FF">
      <w:pPr>
        <w:numPr>
          <w:ilvl w:val="0"/>
          <w:numId w:val="3"/>
        </w:numPr>
        <w:spacing w:before="240"/>
        <w:jc w:val="both"/>
        <w:rPr>
          <w:rFonts w:ascii="Book Antiqua" w:hAnsi="Book Antiqua" w:cs="Arial"/>
        </w:rPr>
      </w:pPr>
      <w:r w:rsidRPr="00E959C1">
        <w:rPr>
          <w:rFonts w:ascii="Book Antiqua" w:hAnsi="Book Antiqua" w:cs="Arial"/>
        </w:rPr>
        <w:t xml:space="preserve">Following dismissal of the appeal the Appellant applied for and was granted permission to appeal to the Upper Tribunal.  </w:t>
      </w:r>
    </w:p>
    <w:p w14:paraId="38F96104" w14:textId="77777777" w:rsidR="003101F9" w:rsidRDefault="003101F9" w:rsidP="002C0C02">
      <w:pPr>
        <w:spacing w:before="240"/>
        <w:jc w:val="both"/>
        <w:rPr>
          <w:rFonts w:ascii="Book Antiqua" w:hAnsi="Book Antiqua" w:cs="Arial"/>
          <w:b/>
        </w:rPr>
      </w:pPr>
    </w:p>
    <w:p w14:paraId="05EACEA6" w14:textId="7E666338" w:rsidR="002C0C02" w:rsidRPr="00E959C1" w:rsidRDefault="002C0C02" w:rsidP="002C0C02">
      <w:pPr>
        <w:spacing w:before="240"/>
        <w:jc w:val="both"/>
        <w:rPr>
          <w:rFonts w:ascii="Book Antiqua" w:hAnsi="Book Antiqua" w:cs="Arial"/>
          <w:b/>
        </w:rPr>
      </w:pPr>
      <w:r w:rsidRPr="00E959C1">
        <w:rPr>
          <w:rFonts w:ascii="Book Antiqua" w:hAnsi="Book Antiqua" w:cs="Arial"/>
          <w:b/>
        </w:rPr>
        <w:t xml:space="preserve">Error of Law  </w:t>
      </w:r>
    </w:p>
    <w:p w14:paraId="378D6666" w14:textId="652AC3D6" w:rsidR="002C0C02" w:rsidRPr="00E959C1" w:rsidRDefault="002C0C02" w:rsidP="009220FF">
      <w:pPr>
        <w:numPr>
          <w:ilvl w:val="0"/>
          <w:numId w:val="3"/>
        </w:numPr>
        <w:spacing w:before="240"/>
        <w:jc w:val="both"/>
        <w:rPr>
          <w:rFonts w:ascii="Book Antiqua" w:hAnsi="Book Antiqua" w:cs="Arial"/>
        </w:rPr>
      </w:pPr>
      <w:r w:rsidRPr="00E959C1">
        <w:rPr>
          <w:rFonts w:ascii="Book Antiqua" w:hAnsi="Book Antiqua" w:cs="Arial"/>
        </w:rPr>
        <w:t>On 26</w:t>
      </w:r>
      <w:r w:rsidRPr="00E959C1">
        <w:rPr>
          <w:rFonts w:ascii="Book Antiqua" w:hAnsi="Book Antiqua" w:cs="Arial"/>
          <w:vertAlign w:val="superscript"/>
        </w:rPr>
        <w:t>th</w:t>
      </w:r>
      <w:r w:rsidRPr="00E959C1">
        <w:rPr>
          <w:rFonts w:ascii="Book Antiqua" w:hAnsi="Book Antiqua" w:cs="Arial"/>
        </w:rPr>
        <w:t xml:space="preserve"> April 2018 I heard submissions from both parties in relation to error of law.  On behalf of the Appellant it was submitted that the judge had erred in finding that the Appellant had used deception in relation to </w:t>
      </w:r>
      <w:r w:rsidR="00757DD5" w:rsidRPr="00E959C1">
        <w:rPr>
          <w:rFonts w:ascii="Book Antiqua" w:hAnsi="Book Antiqua" w:cs="Arial"/>
        </w:rPr>
        <w:t xml:space="preserve">his English language tests, and had </w:t>
      </w:r>
      <w:r w:rsidR="00757DD5" w:rsidRPr="00E959C1">
        <w:rPr>
          <w:rFonts w:ascii="Book Antiqua" w:hAnsi="Book Antiqua" w:cs="Arial"/>
        </w:rPr>
        <w:lastRenderedPageBreak/>
        <w:t xml:space="preserve">erred in his consideration of the best interests of the children, whether it would be reasonable to expect British children to leave the UK, and in relation to Article 8 generally. </w:t>
      </w:r>
      <w:r w:rsidR="003E2E71">
        <w:rPr>
          <w:rFonts w:ascii="Book Antiqua" w:hAnsi="Book Antiqua" w:cs="Arial"/>
        </w:rPr>
        <w:t>The Respondent contended the judge had not materially erred.</w:t>
      </w:r>
      <w:r w:rsidR="00757DD5" w:rsidRPr="00E959C1">
        <w:rPr>
          <w:rFonts w:ascii="Book Antiqua" w:hAnsi="Book Antiqua" w:cs="Arial"/>
        </w:rPr>
        <w:t xml:space="preserve"> </w:t>
      </w:r>
    </w:p>
    <w:p w14:paraId="4376BFED" w14:textId="27585D53" w:rsidR="00757DD5" w:rsidRPr="00E959C1" w:rsidRDefault="00757DD5" w:rsidP="009220FF">
      <w:pPr>
        <w:numPr>
          <w:ilvl w:val="0"/>
          <w:numId w:val="3"/>
        </w:numPr>
        <w:spacing w:before="240"/>
        <w:jc w:val="both"/>
        <w:rPr>
          <w:rFonts w:ascii="Book Antiqua" w:hAnsi="Book Antiqua" w:cs="Arial"/>
        </w:rPr>
      </w:pPr>
      <w:r w:rsidRPr="00E959C1">
        <w:rPr>
          <w:rFonts w:ascii="Book Antiqua" w:hAnsi="Book Antiqua" w:cs="Arial"/>
        </w:rPr>
        <w:t xml:space="preserve">I found a material error of law disclosed in the </w:t>
      </w:r>
      <w:proofErr w:type="spellStart"/>
      <w:r w:rsidRPr="00E959C1">
        <w:rPr>
          <w:rFonts w:ascii="Book Antiqua" w:hAnsi="Book Antiqua" w:cs="Arial"/>
        </w:rPr>
        <w:t>FtT</w:t>
      </w:r>
      <w:proofErr w:type="spellEnd"/>
      <w:r w:rsidRPr="00E959C1">
        <w:rPr>
          <w:rFonts w:ascii="Book Antiqua" w:hAnsi="Book Antiqua" w:cs="Arial"/>
        </w:rPr>
        <w:t xml:space="preserve"> decision, </w:t>
      </w:r>
      <w:r w:rsidR="00EF02A1">
        <w:rPr>
          <w:rFonts w:ascii="Book Antiqua" w:hAnsi="Book Antiqua" w:cs="Arial"/>
        </w:rPr>
        <w:t>which I</w:t>
      </w:r>
      <w:r w:rsidRPr="00E959C1">
        <w:rPr>
          <w:rFonts w:ascii="Book Antiqua" w:hAnsi="Book Antiqua" w:cs="Arial"/>
        </w:rPr>
        <w:t xml:space="preserve"> set aside </w:t>
      </w:r>
      <w:r w:rsidR="00EF02A1">
        <w:rPr>
          <w:rFonts w:ascii="Book Antiqua" w:hAnsi="Book Antiqua" w:cs="Arial"/>
        </w:rPr>
        <w:t>but</w:t>
      </w:r>
      <w:r w:rsidRPr="00E959C1">
        <w:rPr>
          <w:rFonts w:ascii="Book Antiqua" w:hAnsi="Book Antiqua" w:cs="Arial"/>
        </w:rPr>
        <w:t xml:space="preserve"> preserv</w:t>
      </w:r>
      <w:r w:rsidR="00EF02A1">
        <w:rPr>
          <w:rFonts w:ascii="Book Antiqua" w:hAnsi="Book Antiqua" w:cs="Arial"/>
        </w:rPr>
        <w:t>ed</w:t>
      </w:r>
      <w:r w:rsidR="00771866" w:rsidRPr="00E959C1">
        <w:rPr>
          <w:rFonts w:ascii="Book Antiqua" w:hAnsi="Book Antiqua" w:cs="Arial"/>
        </w:rPr>
        <w:t xml:space="preserve"> </w:t>
      </w:r>
      <w:r w:rsidRPr="00E959C1">
        <w:rPr>
          <w:rFonts w:ascii="Book Antiqua" w:hAnsi="Book Antiqua" w:cs="Arial"/>
        </w:rPr>
        <w:t>the findings in relation to deception, as I found no error of law in relation to the judge’s consideration of that issue.  Full details of the application for permission, the grant of permission, the submissions made by both parties, and my conclusions are contained in my decision promulgated on 15</w:t>
      </w:r>
      <w:r w:rsidRPr="00E959C1">
        <w:rPr>
          <w:rFonts w:ascii="Book Antiqua" w:hAnsi="Book Antiqua" w:cs="Arial"/>
          <w:vertAlign w:val="superscript"/>
        </w:rPr>
        <w:t>th</w:t>
      </w:r>
      <w:r w:rsidRPr="00E959C1">
        <w:rPr>
          <w:rFonts w:ascii="Book Antiqua" w:hAnsi="Book Antiqua" w:cs="Arial"/>
        </w:rPr>
        <w:t xml:space="preserve"> May 2018.  I set out below paragraphs 24-36 of that decision, which contain my conclusions and reasons for finding an error of law and setting aside the </w:t>
      </w:r>
      <w:proofErr w:type="spellStart"/>
      <w:r w:rsidRPr="00E959C1">
        <w:rPr>
          <w:rFonts w:ascii="Book Antiqua" w:hAnsi="Book Antiqua" w:cs="Arial"/>
        </w:rPr>
        <w:t>FtT</w:t>
      </w:r>
      <w:proofErr w:type="spellEnd"/>
      <w:r w:rsidRPr="00E959C1">
        <w:rPr>
          <w:rFonts w:ascii="Book Antiqua" w:hAnsi="Book Antiqua" w:cs="Arial"/>
        </w:rPr>
        <w:t xml:space="preserve"> decision;  </w:t>
      </w:r>
    </w:p>
    <w:p w14:paraId="29D09795" w14:textId="7AAAC2F4" w:rsidR="00757DD5" w:rsidRPr="00E959C1" w:rsidRDefault="00757DD5" w:rsidP="00757DD5">
      <w:pPr>
        <w:spacing w:before="240"/>
        <w:ind w:left="1701" w:hanging="567"/>
        <w:jc w:val="both"/>
        <w:rPr>
          <w:rFonts w:ascii="Book Antiqua" w:hAnsi="Book Antiqua" w:cstheme="minorHAnsi"/>
          <w:sz w:val="22"/>
        </w:rPr>
      </w:pPr>
      <w:r w:rsidRPr="00E959C1">
        <w:rPr>
          <w:rFonts w:ascii="Book Antiqua" w:hAnsi="Book Antiqua" w:cs="Arial"/>
          <w:sz w:val="22"/>
        </w:rPr>
        <w:t xml:space="preserve">24. </w:t>
      </w:r>
      <w:r w:rsidRPr="00E959C1">
        <w:rPr>
          <w:rFonts w:ascii="Book Antiqua" w:hAnsi="Book Antiqua" w:cs="Arial"/>
          <w:sz w:val="22"/>
        </w:rPr>
        <w:tab/>
        <w:t>I</w:t>
      </w:r>
      <w:r w:rsidR="006069B6" w:rsidRPr="00E959C1">
        <w:rPr>
          <w:rFonts w:ascii="Book Antiqua" w:hAnsi="Book Antiqua" w:cs="Arial"/>
          <w:sz w:val="22"/>
        </w:rPr>
        <w:t xml:space="preserve"> find </w:t>
      </w:r>
      <w:r w:rsidRPr="00E959C1">
        <w:rPr>
          <w:rFonts w:ascii="Book Antiqua" w:hAnsi="Book Antiqua" w:cstheme="minorHAnsi"/>
          <w:sz w:val="22"/>
        </w:rPr>
        <w:t xml:space="preserve">no merit in the first ground which relates to the English language test.  The judge correctly pointed out at paragraph 5 that there is an evidential burden on the Respondent to show that deception was used, and if that evidential burden is discharged, there is then an evidential burden on the Appellant to provide an innocent explanation.  </w:t>
      </w:r>
    </w:p>
    <w:p w14:paraId="65D70B57" w14:textId="0FE77FC9" w:rsidR="00757DD5" w:rsidRPr="00E959C1" w:rsidRDefault="00757DD5" w:rsidP="00757DD5">
      <w:pPr>
        <w:spacing w:before="240"/>
        <w:ind w:left="1701" w:hanging="567"/>
        <w:jc w:val="both"/>
        <w:rPr>
          <w:rFonts w:ascii="Book Antiqua" w:hAnsi="Book Antiqua" w:cs="Arial"/>
          <w:sz w:val="22"/>
        </w:rPr>
      </w:pPr>
      <w:r w:rsidRPr="00E959C1">
        <w:rPr>
          <w:rFonts w:ascii="Book Antiqua" w:hAnsi="Book Antiqua" w:cs="Arial"/>
          <w:sz w:val="22"/>
        </w:rPr>
        <w:t xml:space="preserve">25. </w:t>
      </w:r>
      <w:r w:rsidRPr="00E959C1">
        <w:rPr>
          <w:rFonts w:ascii="Book Antiqua" w:hAnsi="Book Antiqua" w:cs="Arial"/>
          <w:sz w:val="22"/>
        </w:rPr>
        <w:tab/>
      </w:r>
      <w:r w:rsidR="007A295D" w:rsidRPr="00E959C1">
        <w:rPr>
          <w:rFonts w:ascii="Book Antiqua" w:hAnsi="Book Antiqua" w:cs="Arial"/>
          <w:sz w:val="22"/>
        </w:rPr>
        <w:t xml:space="preserve">The evidence submitted by the Respondent was sufficient to discharge the evidential burden of proof.  There was the generic evidence of Mr Millington and Ms Collings, together with evidence from ETS indicating that the Appellant’s test results had been found invalid.  The judge did not err at paragraph 11 in finding the Respondent’s evidential burden discharged, and this finding has not in fact been challenged.  The challenge relates to whether the judge considered the Appellant’s evidence which the Appellant contends amounts to an innocent explanation.  </w:t>
      </w:r>
    </w:p>
    <w:p w14:paraId="573D5811" w14:textId="0B8E4114" w:rsidR="007A295D" w:rsidRPr="00E959C1" w:rsidRDefault="007A295D" w:rsidP="00757DD5">
      <w:pPr>
        <w:spacing w:before="240"/>
        <w:ind w:left="1701" w:hanging="567"/>
        <w:jc w:val="both"/>
        <w:rPr>
          <w:rFonts w:ascii="Book Antiqua" w:hAnsi="Book Antiqua" w:cs="Arial"/>
          <w:sz w:val="22"/>
        </w:rPr>
      </w:pPr>
      <w:r w:rsidRPr="00E959C1">
        <w:rPr>
          <w:rFonts w:ascii="Book Antiqua" w:hAnsi="Book Antiqua" w:cs="Arial"/>
          <w:sz w:val="22"/>
        </w:rPr>
        <w:t xml:space="preserve">26. </w:t>
      </w:r>
      <w:r w:rsidRPr="00E959C1">
        <w:rPr>
          <w:rFonts w:ascii="Book Antiqua" w:hAnsi="Book Antiqua" w:cs="Arial"/>
          <w:sz w:val="22"/>
        </w:rPr>
        <w:tab/>
        <w:t xml:space="preserve">In my view the judge did consider the Appellant’s evidence and it cannot fairly be said that he ignored evidence.  The judge gave adequate and sustainable reasons for finding that the Appellant had not provided an innocent explanation.  By way of example the judge at paragraph 8 found that the Appellant was unable to explain how the test had proceeded.  The Appellant frankly acknowledged this in interview.  The Appellant had claimed that he had attended lessons and paid for them, but there was no evidence of payments other than the Appellant’s assertion.  </w:t>
      </w:r>
      <w:r w:rsidR="008F4E77" w:rsidRPr="00E959C1">
        <w:rPr>
          <w:rFonts w:ascii="Book Antiqua" w:hAnsi="Book Antiqua" w:cs="Arial"/>
          <w:sz w:val="22"/>
        </w:rPr>
        <w:t>There was no evidence from the Appellant’s partner of her recollection of the Appellant studying or taking the test.  There was no documentary evidence to confirm that the Appellant had attended lessons prior to the test</w:t>
      </w:r>
      <w:r w:rsidR="00111E75" w:rsidRPr="00E959C1">
        <w:rPr>
          <w:rFonts w:ascii="Book Antiqua" w:hAnsi="Book Antiqua" w:cs="Arial"/>
          <w:sz w:val="22"/>
        </w:rPr>
        <w:t xml:space="preserve">.  In </w:t>
      </w:r>
      <w:proofErr w:type="gramStart"/>
      <w:r w:rsidR="00111E75" w:rsidRPr="00E959C1">
        <w:rPr>
          <w:rFonts w:ascii="Book Antiqua" w:hAnsi="Book Antiqua" w:cs="Arial"/>
          <w:sz w:val="22"/>
        </w:rPr>
        <w:t>addition</w:t>
      </w:r>
      <w:proofErr w:type="gramEnd"/>
      <w:r w:rsidR="00111E75" w:rsidRPr="00E959C1">
        <w:rPr>
          <w:rFonts w:ascii="Book Antiqua" w:hAnsi="Book Antiqua" w:cs="Arial"/>
          <w:sz w:val="22"/>
        </w:rPr>
        <w:t xml:space="preserve"> the Appellant’s evidence was that he had taken tests on two consecutive days, which was contradicted by the test certificates, which showed that not to be the case.  </w:t>
      </w:r>
    </w:p>
    <w:p w14:paraId="6B63428D" w14:textId="68CECBB6" w:rsidR="00111E75" w:rsidRPr="00E959C1" w:rsidRDefault="00111E75" w:rsidP="00757DD5">
      <w:pPr>
        <w:spacing w:before="240"/>
        <w:ind w:left="1701" w:hanging="567"/>
        <w:jc w:val="both"/>
        <w:rPr>
          <w:rFonts w:ascii="Book Antiqua" w:hAnsi="Book Antiqua" w:cs="Arial"/>
          <w:sz w:val="22"/>
        </w:rPr>
      </w:pPr>
      <w:r w:rsidRPr="00E959C1">
        <w:rPr>
          <w:rFonts w:ascii="Book Antiqua" w:hAnsi="Book Antiqua" w:cs="Arial"/>
          <w:sz w:val="22"/>
        </w:rPr>
        <w:t xml:space="preserve">27. </w:t>
      </w:r>
      <w:r w:rsidRPr="00E959C1">
        <w:rPr>
          <w:rFonts w:ascii="Book Antiqua" w:hAnsi="Book Antiqua" w:cs="Arial"/>
          <w:sz w:val="22"/>
        </w:rPr>
        <w:tab/>
        <w:t xml:space="preserve">The judge did not err in law at paragraph 11 in finding ‘I have therefore considered what the Appellant has said of this matter and he has not sought to explain away the matter as opposed </w:t>
      </w:r>
      <w:r w:rsidR="00845CA5" w:rsidRPr="00E959C1">
        <w:rPr>
          <w:rFonts w:ascii="Book Antiqua" w:hAnsi="Book Antiqua" w:cs="Arial"/>
          <w:sz w:val="22"/>
        </w:rPr>
        <w:t>to simply assert and reassert that he took the speaking test.</w:t>
      </w:r>
      <w:r w:rsidR="00C161D5" w:rsidRPr="00E959C1">
        <w:rPr>
          <w:rFonts w:ascii="Book Antiqua" w:hAnsi="Book Antiqua" w:cs="Arial"/>
          <w:sz w:val="22"/>
        </w:rPr>
        <w:t>’</w:t>
      </w:r>
      <w:r w:rsidR="00106188" w:rsidRPr="00E959C1">
        <w:rPr>
          <w:rFonts w:ascii="Book Antiqua" w:hAnsi="Book Antiqua" w:cs="Arial"/>
          <w:sz w:val="22"/>
        </w:rPr>
        <w:t xml:space="preserve">  I am satisfied that the judge considered all the evidence placed before him, and he was entitled to reach the conclusion that the Appellant had used a proxy test taker, and sustainable and adequate reasons were given for this conclusion.  The judge did not err in law on this point.  </w:t>
      </w:r>
    </w:p>
    <w:p w14:paraId="31721EAE" w14:textId="63BCB825" w:rsidR="00106188" w:rsidRPr="00E959C1" w:rsidRDefault="00106188" w:rsidP="00757DD5">
      <w:pPr>
        <w:spacing w:before="240"/>
        <w:ind w:left="1701" w:hanging="567"/>
        <w:jc w:val="both"/>
        <w:rPr>
          <w:rFonts w:ascii="Book Antiqua" w:hAnsi="Book Antiqua" w:cs="Arial"/>
          <w:sz w:val="22"/>
        </w:rPr>
      </w:pPr>
      <w:r w:rsidRPr="00E959C1">
        <w:rPr>
          <w:rFonts w:ascii="Book Antiqua" w:hAnsi="Book Antiqua" w:cs="Arial"/>
          <w:sz w:val="22"/>
        </w:rPr>
        <w:t xml:space="preserve">28. </w:t>
      </w:r>
      <w:r w:rsidRPr="00E959C1">
        <w:rPr>
          <w:rFonts w:ascii="Book Antiqua" w:hAnsi="Book Antiqua" w:cs="Arial"/>
          <w:sz w:val="22"/>
        </w:rPr>
        <w:tab/>
        <w:t xml:space="preserve">I find that the challenges in the second, third, and fourth </w:t>
      </w:r>
      <w:r w:rsidR="009245F1">
        <w:rPr>
          <w:rFonts w:ascii="Book Antiqua" w:hAnsi="Book Antiqua" w:cs="Arial"/>
          <w:sz w:val="22"/>
        </w:rPr>
        <w:t>g</w:t>
      </w:r>
      <w:r w:rsidRPr="00E959C1">
        <w:rPr>
          <w:rFonts w:ascii="Book Antiqua" w:hAnsi="Book Antiqua" w:cs="Arial"/>
          <w:sz w:val="22"/>
        </w:rPr>
        <w:t xml:space="preserve">rounds of </w:t>
      </w:r>
      <w:r w:rsidR="009245F1">
        <w:rPr>
          <w:rFonts w:ascii="Book Antiqua" w:hAnsi="Book Antiqua" w:cs="Arial"/>
          <w:sz w:val="22"/>
        </w:rPr>
        <w:t>a</w:t>
      </w:r>
      <w:r w:rsidRPr="00E959C1">
        <w:rPr>
          <w:rFonts w:ascii="Book Antiqua" w:hAnsi="Book Antiqua" w:cs="Arial"/>
          <w:sz w:val="22"/>
        </w:rPr>
        <w:t xml:space="preserve">ppeal are linked.  The Respondent accepted in the refusal decision that the Appellant has a </w:t>
      </w:r>
      <w:r w:rsidRPr="00E959C1">
        <w:rPr>
          <w:rFonts w:ascii="Book Antiqua" w:hAnsi="Book Antiqua" w:cs="Arial"/>
          <w:sz w:val="22"/>
        </w:rPr>
        <w:lastRenderedPageBreak/>
        <w:t xml:space="preserve">parental relationship with his children who are British citizens.  The Respondent’s position in that decision was that it would be reasonable to expect the children to remain with their other parent in the UK.  </w:t>
      </w:r>
    </w:p>
    <w:p w14:paraId="33A354BA" w14:textId="007049CE" w:rsidR="00106188" w:rsidRPr="00E959C1" w:rsidRDefault="00106188" w:rsidP="00757DD5">
      <w:pPr>
        <w:spacing w:before="240"/>
        <w:ind w:left="1701" w:hanging="567"/>
        <w:jc w:val="both"/>
        <w:rPr>
          <w:rFonts w:ascii="Book Antiqua" w:hAnsi="Book Antiqua" w:cs="Arial"/>
          <w:sz w:val="22"/>
        </w:rPr>
      </w:pPr>
      <w:r w:rsidRPr="00E959C1">
        <w:rPr>
          <w:rFonts w:ascii="Book Antiqua" w:hAnsi="Book Antiqua" w:cs="Arial"/>
          <w:sz w:val="22"/>
        </w:rPr>
        <w:t xml:space="preserve">29. </w:t>
      </w:r>
      <w:r w:rsidRPr="00E959C1">
        <w:rPr>
          <w:rFonts w:ascii="Book Antiqua" w:hAnsi="Book Antiqua" w:cs="Arial"/>
          <w:sz w:val="22"/>
        </w:rPr>
        <w:tab/>
        <w:t xml:space="preserve">When considering proportionality and Article 8, the best interests of children should be considered as a primary consideration, but not the only consideration, and the best interests of children can be outweighed by countervailing factors.  </w:t>
      </w:r>
    </w:p>
    <w:p w14:paraId="6ECC033A" w14:textId="32398626" w:rsidR="00106188" w:rsidRPr="00E959C1" w:rsidRDefault="00106188" w:rsidP="00757DD5">
      <w:pPr>
        <w:spacing w:before="240"/>
        <w:ind w:left="1701" w:hanging="567"/>
        <w:jc w:val="both"/>
        <w:rPr>
          <w:rFonts w:ascii="Book Antiqua" w:hAnsi="Book Antiqua" w:cs="Arial"/>
          <w:sz w:val="22"/>
        </w:rPr>
      </w:pPr>
      <w:r w:rsidRPr="00E959C1">
        <w:rPr>
          <w:rFonts w:ascii="Book Antiqua" w:hAnsi="Book Antiqua" w:cs="Arial"/>
          <w:sz w:val="22"/>
        </w:rPr>
        <w:t xml:space="preserve">30. </w:t>
      </w:r>
      <w:r w:rsidRPr="00E959C1">
        <w:rPr>
          <w:rFonts w:ascii="Book Antiqua" w:hAnsi="Book Antiqua" w:cs="Arial"/>
          <w:sz w:val="22"/>
        </w:rPr>
        <w:tab/>
        <w:t xml:space="preserve">In my view, the judge was incorrect at paragraph 19 to find that evidence had not been adduced addressing Article 8, and private/family life or exceptional circumstances.  The Appellant produced a witness statement as part of his evidence, and as submitted by Mr </w:t>
      </w:r>
      <w:r w:rsidR="000D10BB" w:rsidRPr="00E959C1">
        <w:rPr>
          <w:rFonts w:ascii="Book Antiqua" w:hAnsi="Book Antiqua" w:cs="Arial"/>
          <w:sz w:val="22"/>
        </w:rPr>
        <w:t xml:space="preserve">Sowerby, part of that statement relates specifically to the Appellant’s family life with his wife and children.  The relevant paragraphs are 6-8 and 27-31.  There was also produced a school report in relation to the Appellant’s daughter, and numerous photographs of the family together </w:t>
      </w:r>
      <w:r w:rsidR="005437B8" w:rsidRPr="00E959C1">
        <w:rPr>
          <w:rFonts w:ascii="Book Antiqua" w:hAnsi="Book Antiqua" w:cs="Arial"/>
          <w:sz w:val="22"/>
        </w:rPr>
        <w:t xml:space="preserve">contained at pages 61-78 of the Appellant’s bundle.  The witness statement was relied upon by the Appellant and in my view the judge erred in making a finding that evidence had not been adduced in relation to family life.  </w:t>
      </w:r>
    </w:p>
    <w:p w14:paraId="241703F6" w14:textId="111569E4" w:rsidR="005437B8" w:rsidRPr="00E959C1" w:rsidRDefault="005437B8" w:rsidP="00757DD5">
      <w:pPr>
        <w:spacing w:before="240"/>
        <w:ind w:left="1701" w:hanging="567"/>
        <w:jc w:val="both"/>
        <w:rPr>
          <w:rFonts w:ascii="Book Antiqua" w:hAnsi="Book Antiqua" w:cs="Arial"/>
          <w:sz w:val="22"/>
        </w:rPr>
      </w:pPr>
      <w:r w:rsidRPr="00E959C1">
        <w:rPr>
          <w:rFonts w:ascii="Book Antiqua" w:hAnsi="Book Antiqua" w:cs="Arial"/>
          <w:sz w:val="22"/>
        </w:rPr>
        <w:t xml:space="preserve">31. </w:t>
      </w:r>
      <w:r w:rsidRPr="00E959C1">
        <w:rPr>
          <w:rFonts w:ascii="Book Antiqua" w:hAnsi="Book Antiqua" w:cs="Arial"/>
          <w:sz w:val="22"/>
        </w:rPr>
        <w:tab/>
        <w:t xml:space="preserve">I therefore conclude that the </w:t>
      </w:r>
      <w:proofErr w:type="spellStart"/>
      <w:r w:rsidRPr="00E959C1">
        <w:rPr>
          <w:rFonts w:ascii="Book Antiqua" w:hAnsi="Book Antiqua" w:cs="Arial"/>
          <w:sz w:val="22"/>
        </w:rPr>
        <w:t>FtT</w:t>
      </w:r>
      <w:proofErr w:type="spellEnd"/>
      <w:r w:rsidRPr="00E959C1">
        <w:rPr>
          <w:rFonts w:ascii="Book Antiqua" w:hAnsi="Book Antiqua" w:cs="Arial"/>
          <w:sz w:val="22"/>
        </w:rPr>
        <w:t xml:space="preserve"> decision discloses an error of law, as material evidence has not been considered, and therefore adequate reasons have not been </w:t>
      </w:r>
      <w:r w:rsidR="00D878B8" w:rsidRPr="00E959C1">
        <w:rPr>
          <w:rFonts w:ascii="Book Antiqua" w:hAnsi="Book Antiqua" w:cs="Arial"/>
          <w:sz w:val="22"/>
        </w:rPr>
        <w:t>given for concluding that it would not be in the best interests</w:t>
      </w:r>
      <w:r w:rsidR="00B41FE9" w:rsidRPr="00E959C1">
        <w:rPr>
          <w:rFonts w:ascii="Book Antiqua" w:hAnsi="Book Antiqua" w:cs="Arial"/>
          <w:sz w:val="22"/>
        </w:rPr>
        <w:t xml:space="preserve"> of the children for the Appellant to remain in the UK, and to live with his family.  The evidence indicates that it is the Appellant who is the financial provider for the family.  </w:t>
      </w:r>
    </w:p>
    <w:p w14:paraId="7D8C1AAE" w14:textId="561FD3B9" w:rsidR="00B41FE9" w:rsidRPr="00E959C1" w:rsidRDefault="00B41FE9" w:rsidP="00757DD5">
      <w:pPr>
        <w:spacing w:before="240"/>
        <w:ind w:left="1701" w:hanging="567"/>
        <w:jc w:val="both"/>
        <w:rPr>
          <w:rFonts w:ascii="Book Antiqua" w:hAnsi="Book Antiqua" w:cs="Arial"/>
          <w:sz w:val="22"/>
        </w:rPr>
      </w:pPr>
      <w:r w:rsidRPr="00E959C1">
        <w:rPr>
          <w:rFonts w:ascii="Book Antiqua" w:hAnsi="Book Antiqua" w:cs="Arial"/>
          <w:sz w:val="22"/>
        </w:rPr>
        <w:t xml:space="preserve">32. </w:t>
      </w:r>
      <w:r w:rsidRPr="00E959C1">
        <w:rPr>
          <w:rFonts w:ascii="Book Antiqua" w:hAnsi="Book Antiqua" w:cs="Arial"/>
          <w:sz w:val="22"/>
        </w:rPr>
        <w:tab/>
        <w:t xml:space="preserve">The question of whether it is reasonable for British children to leave the UK is a separate issue from considering the best interests.  There may be cases where it is in the best interests of children to remain in the UK but it may still be reasonable for them to leave the country.  I find that the judge erred in considering the issue of reasonableness.  Little weight appears to be given to the fact that the children are British.  </w:t>
      </w:r>
      <w:r w:rsidR="00F5086C" w:rsidRPr="00E959C1">
        <w:rPr>
          <w:rFonts w:ascii="Book Antiqua" w:hAnsi="Book Antiqua" w:cs="Arial"/>
          <w:sz w:val="22"/>
          <w:u w:val="single"/>
        </w:rPr>
        <w:t>ZH</w:t>
      </w:r>
      <w:r w:rsidR="00F5086C" w:rsidRPr="00E959C1">
        <w:rPr>
          <w:rFonts w:ascii="Book Antiqua" w:hAnsi="Book Antiqua" w:cs="Arial"/>
          <w:sz w:val="22"/>
        </w:rPr>
        <w:t xml:space="preserve"> (Tanzania) [2011] UKSC </w:t>
      </w:r>
      <w:r w:rsidR="00C55D1D" w:rsidRPr="00E959C1">
        <w:rPr>
          <w:rFonts w:ascii="Book Antiqua" w:hAnsi="Book Antiqua" w:cs="Arial"/>
          <w:sz w:val="22"/>
        </w:rPr>
        <w:t>4 makes it clear (at paragraph 30) that although nationality is not a ‘trump card’ it is of particular importance in assessing the best interests of any child.  At paragraph 32 of that decision guidance is given that the intrinsic importance of citizenship should not be played down.  British children have rights which they will not be able to exercise if they move to another country.  They will lose the advantages of growing up and bein</w:t>
      </w:r>
      <w:r w:rsidR="007F3B0C" w:rsidRPr="00E959C1">
        <w:rPr>
          <w:rFonts w:ascii="Book Antiqua" w:hAnsi="Book Antiqua" w:cs="Arial"/>
          <w:sz w:val="22"/>
        </w:rPr>
        <w:t xml:space="preserve">g educated in their own country, their own culture and their own language.  </w:t>
      </w:r>
      <w:r w:rsidR="00311840" w:rsidRPr="00E959C1">
        <w:rPr>
          <w:rFonts w:ascii="Book Antiqua" w:hAnsi="Book Antiqua" w:cs="Arial"/>
          <w:sz w:val="22"/>
        </w:rPr>
        <w:t xml:space="preserve">The Respondent has issued guidance dealing specifically with the reasonableness of requiring British children to leave the UK, and there is no reference to this guidance in the </w:t>
      </w:r>
      <w:proofErr w:type="spellStart"/>
      <w:r w:rsidR="00311840" w:rsidRPr="00E959C1">
        <w:rPr>
          <w:rFonts w:ascii="Book Antiqua" w:hAnsi="Book Antiqua" w:cs="Arial"/>
          <w:sz w:val="22"/>
        </w:rPr>
        <w:t>FtT</w:t>
      </w:r>
      <w:proofErr w:type="spellEnd"/>
      <w:r w:rsidR="00311840" w:rsidRPr="00E959C1">
        <w:rPr>
          <w:rFonts w:ascii="Book Antiqua" w:hAnsi="Book Antiqua" w:cs="Arial"/>
          <w:sz w:val="22"/>
        </w:rPr>
        <w:t xml:space="preserve"> decision nor is there any reference to </w:t>
      </w:r>
      <w:r w:rsidR="00311840" w:rsidRPr="00E959C1">
        <w:rPr>
          <w:rFonts w:ascii="Book Antiqua" w:hAnsi="Book Antiqua" w:cs="Arial"/>
          <w:sz w:val="22"/>
          <w:u w:val="single"/>
        </w:rPr>
        <w:t>SF</w:t>
      </w:r>
      <w:r w:rsidR="005F2D32" w:rsidRPr="00E959C1">
        <w:rPr>
          <w:rFonts w:ascii="Book Antiqua" w:hAnsi="Book Antiqua" w:cs="Arial"/>
          <w:sz w:val="22"/>
        </w:rPr>
        <w:t xml:space="preserve"> (Albania) which confirms that the Tribunal ought to take the Secretary of State’s guidance into account if it points clearly to a particular outcome in the instant case.  I find that the failure to consider and analyse the Respondent’s guidance amounts to an error of law.  </w:t>
      </w:r>
    </w:p>
    <w:p w14:paraId="1E0A51F3" w14:textId="2B4FDF62" w:rsidR="005F2D32" w:rsidRPr="00E959C1" w:rsidRDefault="005F2D32" w:rsidP="00757DD5">
      <w:pPr>
        <w:spacing w:before="240"/>
        <w:ind w:left="1701" w:hanging="567"/>
        <w:jc w:val="both"/>
        <w:rPr>
          <w:rFonts w:ascii="Book Antiqua" w:hAnsi="Book Antiqua" w:cs="Arial"/>
          <w:sz w:val="22"/>
        </w:rPr>
      </w:pPr>
      <w:r w:rsidRPr="00E959C1">
        <w:rPr>
          <w:rFonts w:ascii="Book Antiqua" w:hAnsi="Book Antiqua" w:cs="Arial"/>
          <w:sz w:val="22"/>
        </w:rPr>
        <w:t xml:space="preserve">33. </w:t>
      </w:r>
      <w:r w:rsidRPr="00E959C1">
        <w:rPr>
          <w:rFonts w:ascii="Book Antiqua" w:hAnsi="Book Antiqua" w:cs="Arial"/>
          <w:sz w:val="22"/>
        </w:rPr>
        <w:tab/>
        <w:t xml:space="preserve">I therefore conclude that the judge erred in law in considering Article 8 and the best interests of the children, and whether it would be reasonable to expect the British children </w:t>
      </w:r>
      <w:r w:rsidR="00F45B33" w:rsidRPr="00E959C1">
        <w:rPr>
          <w:rFonts w:ascii="Book Antiqua" w:hAnsi="Book Antiqua" w:cs="Arial"/>
          <w:sz w:val="22"/>
        </w:rPr>
        <w:t xml:space="preserve">to leave the UK.  The decision is therefore set aside and must be re-made.  </w:t>
      </w:r>
    </w:p>
    <w:p w14:paraId="06E27143" w14:textId="6C36C2AE" w:rsidR="00F45B33" w:rsidRPr="00E959C1" w:rsidRDefault="00F45B33" w:rsidP="00757DD5">
      <w:pPr>
        <w:spacing w:before="240"/>
        <w:ind w:left="1701" w:hanging="567"/>
        <w:jc w:val="both"/>
        <w:rPr>
          <w:rFonts w:ascii="Book Antiqua" w:hAnsi="Book Antiqua" w:cs="Arial"/>
          <w:sz w:val="22"/>
        </w:rPr>
      </w:pPr>
      <w:r w:rsidRPr="00E959C1">
        <w:rPr>
          <w:rFonts w:ascii="Book Antiqua" w:hAnsi="Book Antiqua" w:cs="Arial"/>
          <w:sz w:val="22"/>
        </w:rPr>
        <w:t xml:space="preserve">34. </w:t>
      </w:r>
      <w:r w:rsidRPr="00E959C1">
        <w:rPr>
          <w:rFonts w:ascii="Book Antiqua" w:hAnsi="Book Antiqua" w:cs="Arial"/>
          <w:sz w:val="22"/>
        </w:rPr>
        <w:tab/>
        <w:t xml:space="preserve">I do not set aside findings made by the judge in relation to the English language test.  Those findings are therefore preserved, including the finding that dishonesty </w:t>
      </w:r>
      <w:r w:rsidRPr="00E959C1">
        <w:rPr>
          <w:rFonts w:ascii="Book Antiqua" w:hAnsi="Book Antiqua" w:cs="Arial"/>
          <w:sz w:val="22"/>
        </w:rPr>
        <w:lastRenderedPageBreak/>
        <w:t xml:space="preserve">was used in employing a proxy test taker.  Therefore the Appellant cannot satisfy the suitability requirements of Appendix FM or paragraph </w:t>
      </w:r>
      <w:r w:rsidR="000B0B7A" w:rsidRPr="00E959C1">
        <w:rPr>
          <w:rFonts w:ascii="Book Antiqua" w:hAnsi="Book Antiqua" w:cs="Arial"/>
          <w:sz w:val="22"/>
        </w:rPr>
        <w:t>276</w:t>
      </w:r>
      <w:proofErr w:type="gramStart"/>
      <w:r w:rsidR="000B0B7A" w:rsidRPr="00E959C1">
        <w:rPr>
          <w:rFonts w:ascii="Book Antiqua" w:hAnsi="Book Antiqua" w:cs="Arial"/>
          <w:sz w:val="22"/>
        </w:rPr>
        <w:t>ADE(</w:t>
      </w:r>
      <w:proofErr w:type="gramEnd"/>
      <w:r w:rsidR="000B0B7A" w:rsidRPr="00E959C1">
        <w:rPr>
          <w:rFonts w:ascii="Book Antiqua" w:hAnsi="Book Antiqua" w:cs="Arial"/>
          <w:sz w:val="22"/>
        </w:rPr>
        <w:t xml:space="preserve">1).  </w:t>
      </w:r>
    </w:p>
    <w:p w14:paraId="0BD77BF6" w14:textId="4B30D45D" w:rsidR="000B0B7A" w:rsidRPr="00E959C1" w:rsidRDefault="000B0B7A" w:rsidP="00757DD5">
      <w:pPr>
        <w:spacing w:before="240"/>
        <w:ind w:left="1701" w:hanging="567"/>
        <w:jc w:val="both"/>
        <w:rPr>
          <w:rFonts w:ascii="Book Antiqua" w:hAnsi="Book Antiqua" w:cs="Arial"/>
          <w:sz w:val="22"/>
        </w:rPr>
      </w:pPr>
      <w:r w:rsidRPr="00E959C1">
        <w:rPr>
          <w:rFonts w:ascii="Book Antiqua" w:hAnsi="Book Antiqua" w:cs="Arial"/>
          <w:sz w:val="22"/>
        </w:rPr>
        <w:t xml:space="preserve">35. </w:t>
      </w:r>
      <w:r w:rsidRPr="00E959C1">
        <w:rPr>
          <w:rFonts w:ascii="Book Antiqua" w:hAnsi="Book Antiqua" w:cs="Arial"/>
          <w:sz w:val="22"/>
        </w:rPr>
        <w:tab/>
        <w:t>I do not find it appropriate, having considered the Senior President’s Practice Statements at paragraph 7, to remit</w:t>
      </w:r>
      <w:r w:rsidR="002F7A83" w:rsidRPr="00E959C1">
        <w:rPr>
          <w:rFonts w:ascii="Book Antiqua" w:hAnsi="Book Antiqua" w:cs="Arial"/>
          <w:sz w:val="22"/>
        </w:rPr>
        <w:t xml:space="preserve"> this appeal to the </w:t>
      </w:r>
      <w:proofErr w:type="spellStart"/>
      <w:r w:rsidR="002F7A83" w:rsidRPr="00E959C1">
        <w:rPr>
          <w:rFonts w:ascii="Book Antiqua" w:hAnsi="Book Antiqua" w:cs="Arial"/>
          <w:sz w:val="22"/>
        </w:rPr>
        <w:t>FtT</w:t>
      </w:r>
      <w:proofErr w:type="spellEnd"/>
      <w:r w:rsidR="002F7A83" w:rsidRPr="00E959C1">
        <w:rPr>
          <w:rFonts w:ascii="Book Antiqua" w:hAnsi="Book Antiqua" w:cs="Arial"/>
          <w:sz w:val="22"/>
        </w:rPr>
        <w:t xml:space="preserve">.  </w:t>
      </w:r>
    </w:p>
    <w:p w14:paraId="3467427B" w14:textId="77F8B8FF" w:rsidR="002F7A83" w:rsidRPr="00E959C1" w:rsidRDefault="002F7A83" w:rsidP="00757DD5">
      <w:pPr>
        <w:spacing w:before="240"/>
        <w:ind w:left="1701" w:hanging="567"/>
        <w:jc w:val="both"/>
        <w:rPr>
          <w:rFonts w:ascii="Book Antiqua" w:hAnsi="Book Antiqua" w:cs="Arial"/>
          <w:sz w:val="22"/>
        </w:rPr>
      </w:pPr>
      <w:r w:rsidRPr="00E959C1">
        <w:rPr>
          <w:rFonts w:ascii="Book Antiqua" w:hAnsi="Book Antiqua" w:cs="Arial"/>
          <w:sz w:val="22"/>
        </w:rPr>
        <w:t xml:space="preserve">36. </w:t>
      </w:r>
      <w:r w:rsidRPr="00E959C1">
        <w:rPr>
          <w:rFonts w:ascii="Book Antiqua" w:hAnsi="Book Antiqua" w:cs="Arial"/>
          <w:sz w:val="22"/>
        </w:rPr>
        <w:tab/>
        <w:t xml:space="preserve">There will be a further hearing before the Upper Tribunal.  It is a matter for the Appellant as to whether any further evidence is called.  The Tribunal will arrange for a Cantonese interpreter.  If further oral evidence is not required the Appellant must notify the Tribunal immediately that the interpreter is not needed.  The next hearing will focus upon the best interests of the children, and whether it is reasonable to expect the British children to leave the UK.  </w:t>
      </w:r>
    </w:p>
    <w:p w14:paraId="3835F577" w14:textId="77777777" w:rsidR="003101F9" w:rsidRDefault="003101F9" w:rsidP="002F7A83">
      <w:pPr>
        <w:spacing w:before="240"/>
        <w:jc w:val="both"/>
        <w:rPr>
          <w:rFonts w:ascii="Book Antiqua" w:hAnsi="Book Antiqua" w:cs="Arial"/>
          <w:b/>
        </w:rPr>
      </w:pPr>
    </w:p>
    <w:p w14:paraId="657C2099" w14:textId="3CA244CB" w:rsidR="00CC5792" w:rsidRPr="00E959C1" w:rsidRDefault="002F7A83" w:rsidP="002F7A83">
      <w:pPr>
        <w:spacing w:before="240"/>
        <w:jc w:val="both"/>
        <w:rPr>
          <w:rFonts w:ascii="Book Antiqua" w:hAnsi="Book Antiqua" w:cs="Arial"/>
          <w:b/>
        </w:rPr>
      </w:pPr>
      <w:r w:rsidRPr="00E959C1">
        <w:rPr>
          <w:rFonts w:ascii="Book Antiqua" w:hAnsi="Book Antiqua" w:cs="Arial"/>
          <w:b/>
        </w:rPr>
        <w:t>Re-Making the Decision – Upper Tribunal Hearing 19</w:t>
      </w:r>
      <w:r w:rsidRPr="00E959C1">
        <w:rPr>
          <w:rFonts w:ascii="Book Antiqua" w:hAnsi="Book Antiqua" w:cs="Arial"/>
          <w:b/>
          <w:vertAlign w:val="superscript"/>
        </w:rPr>
        <w:t>th</w:t>
      </w:r>
      <w:r w:rsidRPr="00E959C1">
        <w:rPr>
          <w:rFonts w:ascii="Book Antiqua" w:hAnsi="Book Antiqua" w:cs="Arial"/>
          <w:b/>
        </w:rPr>
        <w:t xml:space="preserve"> June 2018  </w:t>
      </w:r>
    </w:p>
    <w:p w14:paraId="08E4528E" w14:textId="5E5A5B26" w:rsidR="002F7A83" w:rsidRPr="00E959C1" w:rsidRDefault="002F7A83" w:rsidP="002F7A83">
      <w:pPr>
        <w:spacing w:before="240"/>
        <w:jc w:val="both"/>
        <w:rPr>
          <w:rFonts w:ascii="Book Antiqua" w:hAnsi="Book Antiqua" w:cs="Arial"/>
          <w:b/>
        </w:rPr>
      </w:pPr>
      <w:r w:rsidRPr="00E959C1">
        <w:rPr>
          <w:rFonts w:ascii="Book Antiqua" w:hAnsi="Book Antiqua" w:cs="Arial"/>
          <w:b/>
        </w:rPr>
        <w:t xml:space="preserve">Preliminary Issues  </w:t>
      </w:r>
    </w:p>
    <w:p w14:paraId="70921AE6" w14:textId="6F6E1BB7" w:rsidR="002F7A83" w:rsidRPr="00E959C1" w:rsidRDefault="002F7A83" w:rsidP="005E5DFF">
      <w:pPr>
        <w:numPr>
          <w:ilvl w:val="0"/>
          <w:numId w:val="3"/>
        </w:numPr>
        <w:spacing w:before="240"/>
        <w:jc w:val="both"/>
        <w:rPr>
          <w:rFonts w:ascii="Book Antiqua" w:hAnsi="Book Antiqua" w:cs="Arial"/>
        </w:rPr>
      </w:pPr>
      <w:r w:rsidRPr="00E959C1">
        <w:rPr>
          <w:rFonts w:ascii="Book Antiqua" w:hAnsi="Book Antiqua" w:cs="Arial"/>
        </w:rPr>
        <w:t xml:space="preserve">At the commencement of the hearing Mr Sowerby indicated that the issue to be considered in this appeal had been considered by the Supreme Court in April 2018, although it was unknown when the decision would be published.  Mr Sowerby suggested that it may therefore be appropriate to adjourn this hearing, until publication of the Supreme Court decision.  </w:t>
      </w:r>
    </w:p>
    <w:p w14:paraId="26BDED48" w14:textId="1D8841D7" w:rsidR="002F7A83" w:rsidRPr="00E959C1" w:rsidRDefault="002F7A83" w:rsidP="005E5DFF">
      <w:pPr>
        <w:numPr>
          <w:ilvl w:val="0"/>
          <w:numId w:val="3"/>
        </w:numPr>
        <w:spacing w:before="240"/>
        <w:jc w:val="both"/>
        <w:rPr>
          <w:rFonts w:ascii="Book Antiqua" w:hAnsi="Book Antiqua" w:cs="Arial"/>
        </w:rPr>
      </w:pPr>
      <w:r w:rsidRPr="00E959C1">
        <w:rPr>
          <w:rFonts w:ascii="Book Antiqua" w:hAnsi="Book Antiqua" w:cs="Arial"/>
        </w:rPr>
        <w:t xml:space="preserve">Mr </w:t>
      </w:r>
      <w:proofErr w:type="spellStart"/>
      <w:r w:rsidRPr="00E959C1">
        <w:rPr>
          <w:rFonts w:ascii="Book Antiqua" w:hAnsi="Book Antiqua" w:cs="Arial"/>
        </w:rPr>
        <w:t>Kotas</w:t>
      </w:r>
      <w:proofErr w:type="spellEnd"/>
      <w:r w:rsidRPr="00E959C1">
        <w:rPr>
          <w:rFonts w:ascii="Book Antiqua" w:hAnsi="Book Antiqua" w:cs="Arial"/>
        </w:rPr>
        <w:t xml:space="preserve"> submitted that it would be appropriate to proceed with the hearing, as it was not known when the Supreme Court decision would be published.  </w:t>
      </w:r>
    </w:p>
    <w:p w14:paraId="0F5295C6" w14:textId="150B5950" w:rsidR="002F7A83" w:rsidRPr="00E959C1" w:rsidRDefault="002E57AE" w:rsidP="005E5DFF">
      <w:pPr>
        <w:numPr>
          <w:ilvl w:val="0"/>
          <w:numId w:val="3"/>
        </w:numPr>
        <w:spacing w:before="240"/>
        <w:jc w:val="both"/>
        <w:rPr>
          <w:rFonts w:ascii="Book Antiqua" w:hAnsi="Book Antiqua" w:cs="Arial"/>
        </w:rPr>
      </w:pPr>
      <w:r w:rsidRPr="00E959C1">
        <w:rPr>
          <w:rFonts w:ascii="Book Antiqua" w:hAnsi="Book Antiqua" w:cs="Arial"/>
        </w:rPr>
        <w:t>I</w:t>
      </w:r>
      <w:r w:rsidR="00F27233" w:rsidRPr="00E959C1">
        <w:rPr>
          <w:rFonts w:ascii="Book Antiqua" w:hAnsi="Book Antiqua" w:cs="Arial"/>
        </w:rPr>
        <w:t xml:space="preserve"> </w:t>
      </w:r>
      <w:r w:rsidR="002F7A83" w:rsidRPr="00E959C1">
        <w:rPr>
          <w:rFonts w:ascii="Book Antiqua" w:hAnsi="Book Antiqua" w:cstheme="minorHAnsi"/>
        </w:rPr>
        <w:t>decided that it would be fair and appropriate to proceed with the hearing and refuse</w:t>
      </w:r>
      <w:r w:rsidRPr="00E959C1">
        <w:rPr>
          <w:rFonts w:ascii="Book Antiqua" w:hAnsi="Book Antiqua" w:cstheme="minorHAnsi"/>
        </w:rPr>
        <w:t>d</w:t>
      </w:r>
      <w:r w:rsidR="00785C59" w:rsidRPr="00E959C1">
        <w:rPr>
          <w:rFonts w:ascii="Book Antiqua" w:hAnsi="Book Antiqua" w:cstheme="minorHAnsi"/>
        </w:rPr>
        <w:t xml:space="preserve"> </w:t>
      </w:r>
      <w:r w:rsidRPr="00E959C1">
        <w:rPr>
          <w:rFonts w:ascii="Book Antiqua" w:hAnsi="Book Antiqua" w:cstheme="minorHAnsi"/>
        </w:rPr>
        <w:t>the adjournment request.  There was no indication as to when the Supreme Court decision would be published, and my view was that the interests of justice would best be served by proceeding with this appeal and making a decision, particularly taking into account that the Respondent’s refusal decision was dated 26</w:t>
      </w:r>
      <w:r w:rsidRPr="00E959C1">
        <w:rPr>
          <w:rFonts w:ascii="Book Antiqua" w:hAnsi="Book Antiqua" w:cstheme="minorHAnsi"/>
          <w:vertAlign w:val="superscript"/>
        </w:rPr>
        <w:t>th</w:t>
      </w:r>
      <w:r w:rsidR="00D13335" w:rsidRPr="00E959C1">
        <w:rPr>
          <w:rFonts w:ascii="Book Antiqua" w:hAnsi="Book Antiqua" w:cstheme="minorHAnsi"/>
        </w:rPr>
        <w:t xml:space="preserve"> </w:t>
      </w:r>
      <w:r w:rsidRPr="00E959C1">
        <w:rPr>
          <w:rFonts w:ascii="Book Antiqua" w:hAnsi="Book Antiqua" w:cstheme="minorHAnsi"/>
        </w:rPr>
        <w:t xml:space="preserve">November 2015.  </w:t>
      </w:r>
    </w:p>
    <w:p w14:paraId="3C5B2BA4" w14:textId="69052BC3" w:rsidR="002E57AE" w:rsidRPr="00E959C1" w:rsidRDefault="002E57AE" w:rsidP="005E5DFF">
      <w:pPr>
        <w:numPr>
          <w:ilvl w:val="0"/>
          <w:numId w:val="3"/>
        </w:numPr>
        <w:spacing w:before="240"/>
        <w:jc w:val="both"/>
        <w:rPr>
          <w:rFonts w:ascii="Book Antiqua" w:hAnsi="Book Antiqua" w:cs="Arial"/>
        </w:rPr>
      </w:pPr>
      <w:r w:rsidRPr="00E959C1">
        <w:rPr>
          <w:rFonts w:ascii="Book Antiqua" w:hAnsi="Book Antiqua" w:cs="Arial"/>
        </w:rPr>
        <w:t xml:space="preserve">I ascertained that the Tribunal had all documentation to be relied upon.  This consisted of the documentation that was before the </w:t>
      </w:r>
      <w:proofErr w:type="spellStart"/>
      <w:r w:rsidRPr="00E959C1">
        <w:rPr>
          <w:rFonts w:ascii="Book Antiqua" w:hAnsi="Book Antiqua" w:cs="Arial"/>
        </w:rPr>
        <w:t>FtT</w:t>
      </w:r>
      <w:proofErr w:type="spellEnd"/>
      <w:r w:rsidRPr="00E959C1">
        <w:rPr>
          <w:rFonts w:ascii="Book Antiqua" w:hAnsi="Book Antiqua" w:cs="Arial"/>
        </w:rPr>
        <w:t xml:space="preserve">, which was the Respondent’s bundle with Annexes A-J, the Respondent’s supplementary bundle indexed 1-6, the appeal grounds to the </w:t>
      </w:r>
      <w:proofErr w:type="spellStart"/>
      <w:r w:rsidRPr="00E959C1">
        <w:rPr>
          <w:rFonts w:ascii="Book Antiqua" w:hAnsi="Book Antiqua" w:cs="Arial"/>
        </w:rPr>
        <w:t>FtT</w:t>
      </w:r>
      <w:proofErr w:type="spellEnd"/>
      <w:r w:rsidRPr="00E959C1">
        <w:rPr>
          <w:rFonts w:ascii="Book Antiqua" w:hAnsi="Book Antiqua" w:cs="Arial"/>
        </w:rPr>
        <w:t xml:space="preserve">, and the Appellant’s bundle comprising 78 pages.  </w:t>
      </w:r>
    </w:p>
    <w:p w14:paraId="181E17D2" w14:textId="30261A77" w:rsidR="002274E4" w:rsidRPr="00E959C1" w:rsidRDefault="002274E4" w:rsidP="005E5DFF">
      <w:pPr>
        <w:numPr>
          <w:ilvl w:val="0"/>
          <w:numId w:val="3"/>
        </w:numPr>
        <w:spacing w:before="240"/>
        <w:jc w:val="both"/>
        <w:rPr>
          <w:rFonts w:ascii="Book Antiqua" w:hAnsi="Book Antiqua" w:cs="Arial"/>
        </w:rPr>
      </w:pPr>
      <w:r w:rsidRPr="00E959C1">
        <w:rPr>
          <w:rFonts w:ascii="Book Antiqua" w:hAnsi="Book Antiqua" w:cs="Arial"/>
        </w:rPr>
        <w:t xml:space="preserve">In </w:t>
      </w:r>
      <w:proofErr w:type="gramStart"/>
      <w:r w:rsidRPr="00E959C1">
        <w:rPr>
          <w:rFonts w:ascii="Book Antiqua" w:hAnsi="Book Antiqua" w:cs="Arial"/>
        </w:rPr>
        <w:t>addition</w:t>
      </w:r>
      <w:proofErr w:type="gramEnd"/>
      <w:r w:rsidRPr="00E959C1">
        <w:rPr>
          <w:rFonts w:ascii="Book Antiqua" w:hAnsi="Book Antiqua" w:cs="Arial"/>
        </w:rPr>
        <w:t xml:space="preserve"> the Tribunal had received a supplementary bundle from the Appellant comprising </w:t>
      </w:r>
      <w:r w:rsidR="00446EDC">
        <w:rPr>
          <w:rFonts w:ascii="Book Antiqua" w:hAnsi="Book Antiqua" w:cs="Arial"/>
        </w:rPr>
        <w:t>14</w:t>
      </w:r>
      <w:r w:rsidRPr="00E959C1">
        <w:rPr>
          <w:rFonts w:ascii="Book Antiqua" w:hAnsi="Book Antiqua" w:cs="Arial"/>
        </w:rPr>
        <w:t xml:space="preserve"> pages, and an undated </w:t>
      </w:r>
      <w:r w:rsidR="00AF0EC8" w:rsidRPr="00E959C1">
        <w:rPr>
          <w:rFonts w:ascii="Book Antiqua" w:hAnsi="Book Antiqua" w:cs="Arial"/>
        </w:rPr>
        <w:t xml:space="preserve">skeleton argument containing 50 paragraphs.  </w:t>
      </w:r>
    </w:p>
    <w:p w14:paraId="4B04B6A0" w14:textId="25EAD32A" w:rsidR="00AF0EC8" w:rsidRPr="00E959C1" w:rsidRDefault="00AF0EC8" w:rsidP="005E5DFF">
      <w:pPr>
        <w:numPr>
          <w:ilvl w:val="0"/>
          <w:numId w:val="3"/>
        </w:numPr>
        <w:spacing w:before="240"/>
        <w:jc w:val="both"/>
        <w:rPr>
          <w:rFonts w:ascii="Book Antiqua" w:hAnsi="Book Antiqua" w:cs="Arial"/>
        </w:rPr>
      </w:pPr>
      <w:r w:rsidRPr="00E959C1">
        <w:rPr>
          <w:rFonts w:ascii="Book Antiqua" w:hAnsi="Book Antiqua" w:cs="Arial"/>
        </w:rPr>
        <w:t xml:space="preserve">Mr </w:t>
      </w:r>
      <w:proofErr w:type="spellStart"/>
      <w:r w:rsidRPr="00E959C1">
        <w:rPr>
          <w:rFonts w:ascii="Book Antiqua" w:hAnsi="Book Antiqua" w:cs="Arial"/>
        </w:rPr>
        <w:t>Kotas</w:t>
      </w:r>
      <w:proofErr w:type="spellEnd"/>
      <w:r w:rsidRPr="00E959C1">
        <w:rPr>
          <w:rFonts w:ascii="Book Antiqua" w:hAnsi="Book Antiqua" w:cs="Arial"/>
        </w:rPr>
        <w:t xml:space="preserve"> supplied pages 70-77 of the Respondent’s guidance on whether it would be reasonable to expect a child to leave the UK, dated 22</w:t>
      </w:r>
      <w:r w:rsidRPr="00E959C1">
        <w:rPr>
          <w:rFonts w:ascii="Book Antiqua" w:hAnsi="Book Antiqua" w:cs="Arial"/>
          <w:vertAlign w:val="superscript"/>
        </w:rPr>
        <w:t>nd</w:t>
      </w:r>
      <w:r w:rsidRPr="00E959C1">
        <w:rPr>
          <w:rFonts w:ascii="Book Antiqua" w:hAnsi="Book Antiqua" w:cs="Arial"/>
        </w:rPr>
        <w:t xml:space="preserve"> February 2018.  Mr </w:t>
      </w:r>
      <w:proofErr w:type="spellStart"/>
      <w:r w:rsidRPr="00E959C1">
        <w:rPr>
          <w:rFonts w:ascii="Book Antiqua" w:hAnsi="Book Antiqua" w:cs="Arial"/>
        </w:rPr>
        <w:t>Kotas</w:t>
      </w:r>
      <w:proofErr w:type="spellEnd"/>
      <w:r w:rsidRPr="00E959C1">
        <w:rPr>
          <w:rFonts w:ascii="Book Antiqua" w:hAnsi="Book Antiqua" w:cs="Arial"/>
        </w:rPr>
        <w:t xml:space="preserve"> indicated that the Respondent accepted that the Appellant’s wife has indefinite leave to remain in the UK, and both the Appellant’s children are British, and the Appellant has a genuine and subsisting parental relationship with his children.  </w:t>
      </w:r>
    </w:p>
    <w:p w14:paraId="516A243A" w14:textId="77777777" w:rsidR="003101F9" w:rsidRDefault="003101F9" w:rsidP="00AF0EC8">
      <w:pPr>
        <w:spacing w:before="240"/>
        <w:jc w:val="both"/>
        <w:rPr>
          <w:rFonts w:ascii="Book Antiqua" w:hAnsi="Book Antiqua" w:cs="Arial"/>
          <w:b/>
        </w:rPr>
      </w:pPr>
    </w:p>
    <w:p w14:paraId="3CB3B086" w14:textId="60E1CC5E" w:rsidR="00AF0EC8" w:rsidRPr="00E959C1" w:rsidRDefault="00AF0EC8" w:rsidP="00AF0EC8">
      <w:pPr>
        <w:spacing w:before="240"/>
        <w:jc w:val="both"/>
        <w:rPr>
          <w:rFonts w:ascii="Book Antiqua" w:hAnsi="Book Antiqua" w:cs="Arial"/>
          <w:b/>
        </w:rPr>
      </w:pPr>
      <w:r w:rsidRPr="00E959C1">
        <w:rPr>
          <w:rFonts w:ascii="Book Antiqua" w:hAnsi="Book Antiqua" w:cs="Arial"/>
          <w:b/>
        </w:rPr>
        <w:lastRenderedPageBreak/>
        <w:t xml:space="preserve">The Oral Evidence  </w:t>
      </w:r>
    </w:p>
    <w:p w14:paraId="54D90209" w14:textId="572891C0" w:rsidR="00AF0EC8" w:rsidRPr="00E959C1" w:rsidRDefault="00AF0EC8" w:rsidP="005E5DFF">
      <w:pPr>
        <w:numPr>
          <w:ilvl w:val="0"/>
          <w:numId w:val="3"/>
        </w:numPr>
        <w:spacing w:before="240"/>
        <w:jc w:val="both"/>
        <w:rPr>
          <w:rFonts w:ascii="Book Antiqua" w:hAnsi="Book Antiqua" w:cs="Arial"/>
        </w:rPr>
      </w:pPr>
      <w:r w:rsidRPr="00E959C1">
        <w:rPr>
          <w:rFonts w:ascii="Book Antiqua" w:hAnsi="Book Antiqua" w:cs="Arial"/>
        </w:rPr>
        <w:t>The Appellant gave oral evidence with the assistance of an interpreter in Cantonese.  There were no difficulties in communication.  The Appellant adopted as his evidence his witness statement dated 18</w:t>
      </w:r>
      <w:r w:rsidRPr="00E959C1">
        <w:rPr>
          <w:rFonts w:ascii="Book Antiqua" w:hAnsi="Book Antiqua" w:cs="Arial"/>
          <w:vertAlign w:val="superscript"/>
        </w:rPr>
        <w:t>th</w:t>
      </w:r>
      <w:r w:rsidRPr="00E959C1">
        <w:rPr>
          <w:rFonts w:ascii="Book Antiqua" w:hAnsi="Book Antiqua" w:cs="Arial"/>
        </w:rPr>
        <w:t xml:space="preserve"> July 2017.  </w:t>
      </w:r>
    </w:p>
    <w:p w14:paraId="4A6C6A2F" w14:textId="0FDA18BF" w:rsidR="00AF0EC8" w:rsidRPr="00E959C1" w:rsidRDefault="00AF0EC8" w:rsidP="005E5DFF">
      <w:pPr>
        <w:numPr>
          <w:ilvl w:val="0"/>
          <w:numId w:val="3"/>
        </w:numPr>
        <w:spacing w:before="240"/>
        <w:jc w:val="both"/>
        <w:rPr>
          <w:rFonts w:ascii="Book Antiqua" w:hAnsi="Book Antiqua" w:cs="Arial"/>
        </w:rPr>
      </w:pPr>
      <w:r w:rsidRPr="00E959C1">
        <w:rPr>
          <w:rFonts w:ascii="Book Antiqua" w:hAnsi="Book Antiqua" w:cs="Arial"/>
        </w:rPr>
        <w:t>The Appellant’s wife gave oral evidence with the assistance of the interpreter in Cantonese, and there were no difficulties in communication.  She adopted as her evidence her witness statement dated 19</w:t>
      </w:r>
      <w:r w:rsidRPr="00E959C1">
        <w:rPr>
          <w:rFonts w:ascii="Book Antiqua" w:hAnsi="Book Antiqua" w:cs="Arial"/>
          <w:vertAlign w:val="superscript"/>
        </w:rPr>
        <w:t>th</w:t>
      </w:r>
      <w:r w:rsidRPr="00E959C1">
        <w:rPr>
          <w:rFonts w:ascii="Book Antiqua" w:hAnsi="Book Antiqua" w:cs="Arial"/>
        </w:rPr>
        <w:t xml:space="preserve"> June 2018.  </w:t>
      </w:r>
    </w:p>
    <w:p w14:paraId="3CF41E7F" w14:textId="60879823" w:rsidR="001D22E4" w:rsidRPr="00E959C1" w:rsidRDefault="001D22E4" w:rsidP="005E5DFF">
      <w:pPr>
        <w:numPr>
          <w:ilvl w:val="0"/>
          <w:numId w:val="3"/>
        </w:numPr>
        <w:spacing w:before="240"/>
        <w:jc w:val="both"/>
        <w:rPr>
          <w:rFonts w:ascii="Book Antiqua" w:hAnsi="Book Antiqua" w:cs="Arial"/>
        </w:rPr>
      </w:pPr>
      <w:r w:rsidRPr="00E959C1">
        <w:rPr>
          <w:rFonts w:ascii="Book Antiqua" w:hAnsi="Book Antiqua" w:cs="Arial"/>
        </w:rPr>
        <w:t xml:space="preserve">The Appellant and his wife were questioned by the representatives and I have recorded all questions and answers in my Record of Proceedings, and it is not necessary to reiterate them here.  </w:t>
      </w:r>
      <w:r w:rsidR="00BE53E5" w:rsidRPr="00E959C1">
        <w:rPr>
          <w:rFonts w:ascii="Book Antiqua" w:hAnsi="Book Antiqua" w:cs="Arial"/>
        </w:rPr>
        <w:t>If relevant I will refer to the oral evidence when I</w:t>
      </w:r>
      <w:r w:rsidR="007E3B18" w:rsidRPr="00E959C1">
        <w:rPr>
          <w:rFonts w:ascii="Book Antiqua" w:hAnsi="Book Antiqua" w:cs="Arial"/>
        </w:rPr>
        <w:t xml:space="preserve"> </w:t>
      </w:r>
      <w:r w:rsidR="00BE53E5" w:rsidRPr="00E959C1">
        <w:rPr>
          <w:rFonts w:ascii="Book Antiqua" w:hAnsi="Book Antiqua" w:cs="Arial"/>
        </w:rPr>
        <w:t xml:space="preserve">set out my conclusions and reasons.  </w:t>
      </w:r>
    </w:p>
    <w:p w14:paraId="4E8585E1" w14:textId="77777777" w:rsidR="003101F9" w:rsidRDefault="003101F9" w:rsidP="00BE53E5">
      <w:pPr>
        <w:spacing w:before="240"/>
        <w:jc w:val="both"/>
        <w:rPr>
          <w:rFonts w:ascii="Book Antiqua" w:hAnsi="Book Antiqua" w:cs="Arial"/>
          <w:b/>
        </w:rPr>
      </w:pPr>
    </w:p>
    <w:p w14:paraId="67312AFF" w14:textId="12F7FBDA" w:rsidR="00BE53E5" w:rsidRPr="00E959C1" w:rsidRDefault="00BE53E5" w:rsidP="00BE53E5">
      <w:pPr>
        <w:spacing w:before="240"/>
        <w:jc w:val="both"/>
        <w:rPr>
          <w:rFonts w:ascii="Book Antiqua" w:hAnsi="Book Antiqua" w:cs="Arial"/>
          <w:b/>
        </w:rPr>
      </w:pPr>
      <w:r w:rsidRPr="00E959C1">
        <w:rPr>
          <w:rFonts w:ascii="Book Antiqua" w:hAnsi="Book Antiqua" w:cs="Arial"/>
          <w:b/>
        </w:rPr>
        <w:t xml:space="preserve">The Oral Submissions  </w:t>
      </w:r>
    </w:p>
    <w:p w14:paraId="6E06AD9B" w14:textId="53F1F33A" w:rsidR="00BE53E5" w:rsidRPr="00E959C1" w:rsidRDefault="00BE53E5" w:rsidP="005E5DFF">
      <w:pPr>
        <w:numPr>
          <w:ilvl w:val="0"/>
          <w:numId w:val="3"/>
        </w:numPr>
        <w:spacing w:before="240"/>
        <w:jc w:val="both"/>
        <w:rPr>
          <w:rFonts w:ascii="Book Antiqua" w:hAnsi="Book Antiqua" w:cs="Arial"/>
        </w:rPr>
      </w:pPr>
      <w:r w:rsidRPr="00E959C1">
        <w:rPr>
          <w:rFonts w:ascii="Book Antiqua" w:hAnsi="Book Antiqua" w:cs="Arial"/>
        </w:rPr>
        <w:t>I heard oral submissions from the representatives which are set out in my Record of Proceedings</w:t>
      </w:r>
      <w:r w:rsidR="00B12A81" w:rsidRPr="00E959C1">
        <w:rPr>
          <w:rFonts w:ascii="Book Antiqua" w:hAnsi="Book Antiqua" w:cs="Arial"/>
        </w:rPr>
        <w:t xml:space="preserve"> and briefly summarised below</w:t>
      </w:r>
      <w:r w:rsidR="00A8708D" w:rsidRPr="00E959C1">
        <w:rPr>
          <w:rFonts w:ascii="Book Antiqua" w:hAnsi="Book Antiqua" w:cs="Arial"/>
        </w:rPr>
        <w:t xml:space="preserve">.  </w:t>
      </w:r>
    </w:p>
    <w:p w14:paraId="040CCE9E" w14:textId="3E377558" w:rsidR="00A8708D" w:rsidRPr="00E959C1" w:rsidRDefault="00A8708D" w:rsidP="005E5DFF">
      <w:pPr>
        <w:numPr>
          <w:ilvl w:val="0"/>
          <w:numId w:val="3"/>
        </w:numPr>
        <w:spacing w:before="240"/>
        <w:jc w:val="both"/>
        <w:rPr>
          <w:rFonts w:ascii="Book Antiqua" w:hAnsi="Book Antiqua" w:cs="Arial"/>
        </w:rPr>
      </w:pPr>
      <w:r w:rsidRPr="00E959C1">
        <w:rPr>
          <w:rFonts w:ascii="Book Antiqua" w:hAnsi="Book Antiqua" w:cs="Arial"/>
        </w:rPr>
        <w:t xml:space="preserve">Mr </w:t>
      </w:r>
      <w:proofErr w:type="spellStart"/>
      <w:r w:rsidRPr="00E959C1">
        <w:rPr>
          <w:rFonts w:ascii="Book Antiqua" w:hAnsi="Book Antiqua" w:cs="Arial"/>
        </w:rPr>
        <w:t>Kotas</w:t>
      </w:r>
      <w:proofErr w:type="spellEnd"/>
      <w:r w:rsidRPr="00E959C1">
        <w:rPr>
          <w:rFonts w:ascii="Book Antiqua" w:hAnsi="Book Antiqua" w:cs="Arial"/>
        </w:rPr>
        <w:t xml:space="preserve"> submitted</w:t>
      </w:r>
      <w:r w:rsidR="00F2442D" w:rsidRPr="00E959C1">
        <w:rPr>
          <w:rFonts w:ascii="Book Antiqua" w:hAnsi="Book Antiqua" w:cs="Arial"/>
        </w:rPr>
        <w:t xml:space="preserve"> </w:t>
      </w:r>
      <w:r w:rsidRPr="00E959C1">
        <w:rPr>
          <w:rFonts w:ascii="Book Antiqua" w:hAnsi="Book Antiqua" w:cstheme="minorHAnsi"/>
        </w:rPr>
        <w:t xml:space="preserve">that the Tribunal had to consider a narrow issue, that being whether it was reasonable to expect the British children to leave the UK.  Mr </w:t>
      </w:r>
      <w:proofErr w:type="spellStart"/>
      <w:r w:rsidRPr="00E959C1">
        <w:rPr>
          <w:rFonts w:ascii="Book Antiqua" w:hAnsi="Book Antiqua" w:cstheme="minorHAnsi"/>
        </w:rPr>
        <w:t>Kotas</w:t>
      </w:r>
      <w:proofErr w:type="spellEnd"/>
      <w:r w:rsidRPr="00E959C1">
        <w:rPr>
          <w:rFonts w:ascii="Book Antiqua" w:hAnsi="Book Antiqua" w:cstheme="minorHAnsi"/>
        </w:rPr>
        <w:t xml:space="preserve"> confirmed that it was accepted that the best interests of the children would be to remain in the UK.  Mr </w:t>
      </w:r>
      <w:proofErr w:type="spellStart"/>
      <w:r w:rsidRPr="00E959C1">
        <w:rPr>
          <w:rFonts w:ascii="Book Antiqua" w:hAnsi="Book Antiqua" w:cstheme="minorHAnsi"/>
        </w:rPr>
        <w:t>Kotas</w:t>
      </w:r>
      <w:proofErr w:type="spellEnd"/>
      <w:r w:rsidRPr="00E959C1">
        <w:rPr>
          <w:rFonts w:ascii="Book Antiqua" w:hAnsi="Book Antiqua" w:cstheme="minorHAnsi"/>
        </w:rPr>
        <w:t xml:space="preserve"> referred to the Respondent’s guidance at page 73</w:t>
      </w:r>
      <w:r w:rsidR="00894C65" w:rsidRPr="00E959C1">
        <w:rPr>
          <w:rFonts w:ascii="Book Antiqua" w:hAnsi="Book Antiqua" w:cstheme="minorHAnsi"/>
        </w:rPr>
        <w:t>,</w:t>
      </w:r>
      <w:r w:rsidRPr="00E959C1">
        <w:rPr>
          <w:rFonts w:ascii="Book Antiqua" w:hAnsi="Book Antiqua" w:cstheme="minorHAnsi"/>
        </w:rPr>
        <w:t xml:space="preserve"> submitting</w:t>
      </w:r>
      <w:r w:rsidR="00894C65" w:rsidRPr="00E959C1">
        <w:rPr>
          <w:rFonts w:ascii="Book Antiqua" w:hAnsi="Book Antiqua" w:cstheme="minorHAnsi"/>
        </w:rPr>
        <w:t xml:space="preserve"> </w:t>
      </w:r>
      <w:r w:rsidRPr="00E959C1">
        <w:rPr>
          <w:rFonts w:ascii="Book Antiqua" w:hAnsi="Book Antiqua" w:cstheme="minorHAnsi"/>
        </w:rPr>
        <w:t xml:space="preserve">that the departure of the Appellant from the UK would not mean that the children would have to leave the UK.  On that basis the issue of reasonableness did not arise because the children would not be required to leave the UK.  </w:t>
      </w:r>
    </w:p>
    <w:p w14:paraId="0993A901" w14:textId="216CE2C1" w:rsidR="00A8708D" w:rsidRPr="00E959C1" w:rsidRDefault="00A8708D" w:rsidP="005E5DFF">
      <w:pPr>
        <w:numPr>
          <w:ilvl w:val="0"/>
          <w:numId w:val="3"/>
        </w:numPr>
        <w:spacing w:before="240"/>
        <w:jc w:val="both"/>
        <w:rPr>
          <w:rFonts w:ascii="Book Antiqua" w:hAnsi="Book Antiqua" w:cs="Arial"/>
        </w:rPr>
      </w:pPr>
      <w:r w:rsidRPr="00E959C1">
        <w:rPr>
          <w:rFonts w:ascii="Book Antiqua" w:hAnsi="Book Antiqua" w:cstheme="minorHAnsi"/>
        </w:rPr>
        <w:t xml:space="preserve">In the alternative if it was found that the children would have to leave the UK, Mr </w:t>
      </w:r>
      <w:proofErr w:type="spellStart"/>
      <w:r w:rsidRPr="00E959C1">
        <w:rPr>
          <w:rFonts w:ascii="Book Antiqua" w:hAnsi="Book Antiqua" w:cstheme="minorHAnsi"/>
        </w:rPr>
        <w:t>Kotas</w:t>
      </w:r>
      <w:proofErr w:type="spellEnd"/>
      <w:r w:rsidRPr="00E959C1">
        <w:rPr>
          <w:rFonts w:ascii="Book Antiqua" w:hAnsi="Book Antiqua" w:cstheme="minorHAnsi"/>
        </w:rPr>
        <w:t xml:space="preserve"> submitted that the decisions in </w:t>
      </w:r>
      <w:r w:rsidRPr="00E959C1">
        <w:rPr>
          <w:rFonts w:ascii="Book Antiqua" w:hAnsi="Book Antiqua" w:cstheme="minorHAnsi"/>
          <w:u w:val="single"/>
        </w:rPr>
        <w:t>MA</w:t>
      </w:r>
      <w:r w:rsidRPr="00E959C1">
        <w:rPr>
          <w:rFonts w:ascii="Book Antiqua" w:hAnsi="Book Antiqua" w:cstheme="minorHAnsi"/>
        </w:rPr>
        <w:t xml:space="preserve"> (Pakistan) [2016] EWCA </w:t>
      </w:r>
      <w:proofErr w:type="spellStart"/>
      <w:r w:rsidRPr="00E959C1">
        <w:rPr>
          <w:rFonts w:ascii="Book Antiqua" w:hAnsi="Book Antiqua" w:cstheme="minorHAnsi"/>
        </w:rPr>
        <w:t>Civ</w:t>
      </w:r>
      <w:proofErr w:type="spellEnd"/>
      <w:r w:rsidRPr="00E959C1">
        <w:rPr>
          <w:rFonts w:ascii="Book Antiqua" w:hAnsi="Book Antiqua" w:cstheme="minorHAnsi"/>
        </w:rPr>
        <w:t xml:space="preserve"> 705, and </w:t>
      </w:r>
      <w:r w:rsidRPr="00E959C1">
        <w:rPr>
          <w:rFonts w:ascii="Book Antiqua" w:hAnsi="Book Antiqua" w:cstheme="minorHAnsi"/>
          <w:u w:val="single"/>
        </w:rPr>
        <w:t>MT and ET</w:t>
      </w:r>
      <w:r w:rsidRPr="00E959C1">
        <w:rPr>
          <w:rFonts w:ascii="Book Antiqua" w:hAnsi="Book Antiqua" w:cstheme="minorHAnsi"/>
        </w:rPr>
        <w:t xml:space="preserve"> Nigeria [2018] UKUT 00088 (IAC)</w:t>
      </w:r>
      <w:r w:rsidR="002C05B8" w:rsidRPr="00E959C1">
        <w:rPr>
          <w:rFonts w:ascii="Book Antiqua" w:hAnsi="Book Antiqua" w:cstheme="minorHAnsi"/>
        </w:rPr>
        <w:t xml:space="preserve"> did not assist, as in those cases the children involved were qualifying children having lived in the UK in excess of seven years, and were not young British children, as is the case in this appeal.  </w:t>
      </w:r>
    </w:p>
    <w:p w14:paraId="6943CBCB" w14:textId="5D955024" w:rsidR="002225A1" w:rsidRPr="00E959C1" w:rsidRDefault="002225A1" w:rsidP="005E5DFF">
      <w:pPr>
        <w:numPr>
          <w:ilvl w:val="0"/>
          <w:numId w:val="3"/>
        </w:numPr>
        <w:spacing w:before="240"/>
        <w:jc w:val="both"/>
        <w:rPr>
          <w:rFonts w:ascii="Book Antiqua" w:hAnsi="Book Antiqua" w:cs="Arial"/>
        </w:rPr>
      </w:pPr>
      <w:r w:rsidRPr="00E959C1">
        <w:rPr>
          <w:rFonts w:ascii="Book Antiqua" w:hAnsi="Book Antiqua" w:cstheme="minorHAnsi"/>
        </w:rPr>
        <w:t xml:space="preserve">It was submitted that very significant weight must be given </w:t>
      </w:r>
      <w:r w:rsidR="009159CF" w:rsidRPr="00E959C1">
        <w:rPr>
          <w:rFonts w:ascii="Book Antiqua" w:hAnsi="Book Antiqua" w:cstheme="minorHAnsi"/>
        </w:rPr>
        <w:t>to the fact that the Appellant cheated in obtaining an English language certificate and committed fraud.  He therefore cannot satisfy the Immigration Rules.  The children are at a very young age, and</w:t>
      </w:r>
      <w:r w:rsidR="00CA66C5" w:rsidRPr="00E959C1">
        <w:rPr>
          <w:rFonts w:ascii="Book Antiqua" w:hAnsi="Book Antiqua" w:cstheme="minorHAnsi"/>
        </w:rPr>
        <w:t xml:space="preserve"> if they had to leave the UK and live in Malaysia, this would not be unreasonable.  </w:t>
      </w:r>
    </w:p>
    <w:p w14:paraId="44305643" w14:textId="46D27FD0" w:rsidR="00695A4F" w:rsidRPr="00E959C1" w:rsidRDefault="00695A4F" w:rsidP="005E5DFF">
      <w:pPr>
        <w:numPr>
          <w:ilvl w:val="0"/>
          <w:numId w:val="3"/>
        </w:numPr>
        <w:spacing w:before="240"/>
        <w:jc w:val="both"/>
        <w:rPr>
          <w:rFonts w:ascii="Book Antiqua" w:hAnsi="Book Antiqua" w:cs="Arial"/>
        </w:rPr>
      </w:pPr>
      <w:r w:rsidRPr="00E959C1">
        <w:rPr>
          <w:rFonts w:ascii="Book Antiqua" w:hAnsi="Book Antiqua" w:cstheme="minorHAnsi"/>
        </w:rPr>
        <w:t>Mr Sowerby relied upon his comprehensive skeleton argument.  He submitted that the Respondent’s guidance was incorrect in concluding that if</w:t>
      </w:r>
      <w:r w:rsidR="003236D3" w:rsidRPr="00E959C1">
        <w:rPr>
          <w:rFonts w:ascii="Book Antiqua" w:hAnsi="Book Antiqua" w:cstheme="minorHAnsi"/>
        </w:rPr>
        <w:t xml:space="preserve"> </w:t>
      </w:r>
      <w:r w:rsidRPr="00E959C1">
        <w:rPr>
          <w:rFonts w:ascii="Book Antiqua" w:hAnsi="Book Antiqua" w:cstheme="minorHAnsi"/>
        </w:rPr>
        <w:t xml:space="preserve">children </w:t>
      </w:r>
      <w:r w:rsidR="00795F84">
        <w:rPr>
          <w:rFonts w:ascii="Book Antiqua" w:hAnsi="Book Antiqua" w:cstheme="minorHAnsi"/>
          <w:noProof/>
        </w:rPr>
        <w:t>could</w:t>
      </w:r>
      <w:r w:rsidR="003236D3" w:rsidRPr="00E959C1">
        <w:rPr>
          <w:rFonts w:ascii="Book Antiqua" w:hAnsi="Book Antiqua" w:cstheme="minorHAnsi"/>
        </w:rPr>
        <w:t xml:space="preserve"> </w:t>
      </w:r>
      <w:r w:rsidR="00054440" w:rsidRPr="00E959C1">
        <w:rPr>
          <w:rFonts w:ascii="Book Antiqua" w:hAnsi="Book Antiqua" w:cstheme="minorHAnsi"/>
        </w:rPr>
        <w:t xml:space="preserve">remain in the UK, then the issue of reasonableness need not be considered.  Mr Sowerby’s point was that the wording in </w:t>
      </w:r>
      <w:r w:rsidR="00961B63" w:rsidRPr="00E959C1">
        <w:rPr>
          <w:rFonts w:ascii="Book Antiqua" w:hAnsi="Book Antiqua" w:cstheme="minorHAnsi"/>
        </w:rPr>
        <w:t>section</w:t>
      </w:r>
      <w:r w:rsidR="00054440" w:rsidRPr="00E959C1">
        <w:rPr>
          <w:rFonts w:ascii="Book Antiqua" w:hAnsi="Book Antiqua" w:cstheme="minorHAnsi"/>
        </w:rPr>
        <w:t xml:space="preserve"> 117</w:t>
      </w:r>
      <w:proofErr w:type="gramStart"/>
      <w:r w:rsidR="00054440" w:rsidRPr="00E959C1">
        <w:rPr>
          <w:rFonts w:ascii="Book Antiqua" w:hAnsi="Book Antiqua" w:cstheme="minorHAnsi"/>
        </w:rPr>
        <w:t>B(</w:t>
      </w:r>
      <w:proofErr w:type="gramEnd"/>
      <w:r w:rsidR="00054440" w:rsidRPr="00E959C1">
        <w:rPr>
          <w:rFonts w:ascii="Book Antiqua" w:hAnsi="Book Antiqua" w:cstheme="minorHAnsi"/>
        </w:rPr>
        <w:t>6)</w:t>
      </w:r>
      <w:r w:rsidR="00795F84">
        <w:rPr>
          <w:rFonts w:ascii="Book Antiqua" w:hAnsi="Book Antiqua" w:cstheme="minorHAnsi"/>
        </w:rPr>
        <w:t xml:space="preserve"> is</w:t>
      </w:r>
      <w:r w:rsidR="00054440" w:rsidRPr="00E959C1">
        <w:rPr>
          <w:rFonts w:ascii="Book Antiqua" w:hAnsi="Book Antiqua" w:cstheme="minorHAnsi"/>
        </w:rPr>
        <w:t xml:space="preserve"> “it </w:t>
      </w:r>
      <w:r w:rsidR="00054440" w:rsidRPr="00E959C1">
        <w:rPr>
          <w:rFonts w:ascii="Book Antiqua" w:hAnsi="Book Antiqua" w:cstheme="minorHAnsi"/>
          <w:u w:val="single"/>
        </w:rPr>
        <w:t>would</w:t>
      </w:r>
      <w:r w:rsidR="00054440" w:rsidRPr="00E959C1">
        <w:rPr>
          <w:rFonts w:ascii="Book Antiqua" w:hAnsi="Book Antiqua" w:cstheme="minorHAnsi"/>
        </w:rPr>
        <w:t xml:space="preserve"> not be reasonable </w:t>
      </w:r>
      <w:r w:rsidR="00981F7B" w:rsidRPr="00E959C1">
        <w:rPr>
          <w:rFonts w:ascii="Book Antiqua" w:hAnsi="Book Antiqua" w:cstheme="minorHAnsi"/>
        </w:rPr>
        <w:t xml:space="preserve">to expect the child to leave the United Kingdom.”  In any event Mr Sowerby submitted that the oral </w:t>
      </w:r>
      <w:r w:rsidR="00981F7B" w:rsidRPr="00E959C1">
        <w:rPr>
          <w:rFonts w:ascii="Book Antiqua" w:hAnsi="Book Antiqua" w:cstheme="minorHAnsi"/>
        </w:rPr>
        <w:lastRenderedPageBreak/>
        <w:t>evidence given was that if</w:t>
      </w:r>
      <w:r w:rsidR="00407E24" w:rsidRPr="00E959C1">
        <w:rPr>
          <w:rFonts w:ascii="Book Antiqua" w:hAnsi="Book Antiqua" w:cstheme="minorHAnsi"/>
        </w:rPr>
        <w:t xml:space="preserve"> </w:t>
      </w:r>
      <w:r w:rsidR="00981F7B" w:rsidRPr="00E959C1">
        <w:rPr>
          <w:rFonts w:ascii="Book Antiqua" w:hAnsi="Book Antiqua" w:cstheme="minorHAnsi"/>
        </w:rPr>
        <w:t xml:space="preserve">the Appellant had to leave the UK, then his wife and children would have to leave with him.  </w:t>
      </w:r>
    </w:p>
    <w:p w14:paraId="4CD40EFA" w14:textId="4880D278" w:rsidR="00981F7B" w:rsidRPr="00E959C1" w:rsidRDefault="00981F7B" w:rsidP="005E5DFF">
      <w:pPr>
        <w:numPr>
          <w:ilvl w:val="0"/>
          <w:numId w:val="3"/>
        </w:numPr>
        <w:spacing w:before="240"/>
        <w:jc w:val="both"/>
        <w:rPr>
          <w:rFonts w:ascii="Book Antiqua" w:hAnsi="Book Antiqua" w:cs="Arial"/>
        </w:rPr>
      </w:pPr>
      <w:r w:rsidRPr="00E959C1">
        <w:rPr>
          <w:rFonts w:ascii="Book Antiqua" w:hAnsi="Book Antiqua" w:cstheme="minorHAnsi"/>
        </w:rPr>
        <w:t>Mr Sowerby submitted that British citizen</w:t>
      </w:r>
      <w:r w:rsidR="00736DCA">
        <w:rPr>
          <w:rFonts w:ascii="Book Antiqua" w:hAnsi="Book Antiqua" w:cstheme="minorHAnsi"/>
        </w:rPr>
        <w:t xml:space="preserve"> children</w:t>
      </w:r>
      <w:r w:rsidRPr="00E959C1">
        <w:rPr>
          <w:rFonts w:ascii="Book Antiqua" w:hAnsi="Book Antiqua" w:cstheme="minorHAnsi"/>
        </w:rPr>
        <w:t xml:space="preserve"> must be in a stronger position than the children considered in </w:t>
      </w:r>
      <w:r w:rsidRPr="00E959C1">
        <w:rPr>
          <w:rFonts w:ascii="Book Antiqua" w:hAnsi="Book Antiqua" w:cstheme="minorHAnsi"/>
          <w:u w:val="single"/>
        </w:rPr>
        <w:t>MA</w:t>
      </w:r>
      <w:r w:rsidRPr="00E959C1">
        <w:rPr>
          <w:rFonts w:ascii="Book Antiqua" w:hAnsi="Book Antiqua" w:cstheme="minorHAnsi"/>
        </w:rPr>
        <w:t xml:space="preserve"> (Pakistan) and </w:t>
      </w:r>
      <w:r w:rsidRPr="00E959C1">
        <w:rPr>
          <w:rFonts w:ascii="Book Antiqua" w:hAnsi="Book Antiqua" w:cstheme="minorHAnsi"/>
          <w:u w:val="single"/>
        </w:rPr>
        <w:t>MT and ET</w:t>
      </w:r>
      <w:r w:rsidRPr="00E959C1">
        <w:rPr>
          <w:rFonts w:ascii="Book Antiqua" w:hAnsi="Book Antiqua" w:cstheme="minorHAnsi"/>
        </w:rPr>
        <w:t>, as</w:t>
      </w:r>
      <w:r w:rsidR="00F8455F" w:rsidRPr="00E959C1">
        <w:rPr>
          <w:rFonts w:ascii="Book Antiqua" w:hAnsi="Book Antiqua" w:cstheme="minorHAnsi"/>
        </w:rPr>
        <w:t xml:space="preserve"> </w:t>
      </w:r>
      <w:r w:rsidRPr="00E959C1">
        <w:rPr>
          <w:rFonts w:ascii="Book Antiqua" w:hAnsi="Book Antiqua" w:cstheme="minorHAnsi"/>
        </w:rPr>
        <w:t xml:space="preserve">the children in those cases were foreign nationals.  </w:t>
      </w:r>
    </w:p>
    <w:p w14:paraId="01B82F69" w14:textId="03387D13" w:rsidR="00981F7B" w:rsidRPr="00E959C1" w:rsidRDefault="00981F7B" w:rsidP="005E5DFF">
      <w:pPr>
        <w:numPr>
          <w:ilvl w:val="0"/>
          <w:numId w:val="3"/>
        </w:numPr>
        <w:spacing w:before="240"/>
        <w:jc w:val="both"/>
        <w:rPr>
          <w:rFonts w:ascii="Book Antiqua" w:hAnsi="Book Antiqua" w:cs="Arial"/>
        </w:rPr>
      </w:pPr>
      <w:r w:rsidRPr="00E959C1">
        <w:rPr>
          <w:rFonts w:ascii="Book Antiqua" w:hAnsi="Book Antiqua" w:cstheme="minorHAnsi"/>
        </w:rPr>
        <w:t>Mr Sowerby</w:t>
      </w:r>
      <w:r w:rsidR="00F8455F" w:rsidRPr="00E959C1">
        <w:rPr>
          <w:rFonts w:ascii="Book Antiqua" w:hAnsi="Book Antiqua" w:cstheme="minorHAnsi"/>
        </w:rPr>
        <w:t xml:space="preserve"> </w:t>
      </w:r>
      <w:r w:rsidRPr="00E959C1">
        <w:rPr>
          <w:rFonts w:ascii="Book Antiqua" w:hAnsi="Book Antiqua" w:cstheme="minorHAnsi"/>
        </w:rPr>
        <w:t>rel</w:t>
      </w:r>
      <w:r w:rsidR="002A2FDB">
        <w:rPr>
          <w:rFonts w:ascii="Book Antiqua" w:hAnsi="Book Antiqua" w:cstheme="minorHAnsi"/>
        </w:rPr>
        <w:t>ied</w:t>
      </w:r>
      <w:r w:rsidRPr="00E959C1">
        <w:rPr>
          <w:rFonts w:ascii="Book Antiqua" w:hAnsi="Book Antiqua" w:cstheme="minorHAnsi"/>
        </w:rPr>
        <w:t xml:space="preserve"> upon the Respondent’s guidance at paragraph 76 and submitted significant weight must be given to the British citizenship of the children, and submitted that the Appellant had not committed significant or persistent criminal offences, and it could not be said that he had a very poor immigration history.  </w:t>
      </w:r>
    </w:p>
    <w:p w14:paraId="7C3018A7" w14:textId="5BF6A83B" w:rsidR="00981F7B" w:rsidRPr="00E959C1" w:rsidRDefault="00981F7B" w:rsidP="005E5DFF">
      <w:pPr>
        <w:numPr>
          <w:ilvl w:val="0"/>
          <w:numId w:val="3"/>
        </w:numPr>
        <w:spacing w:before="240"/>
        <w:jc w:val="both"/>
        <w:rPr>
          <w:rFonts w:ascii="Book Antiqua" w:hAnsi="Book Antiqua" w:cs="Arial"/>
        </w:rPr>
      </w:pPr>
      <w:r w:rsidRPr="00E959C1">
        <w:rPr>
          <w:rFonts w:ascii="Book Antiqua" w:hAnsi="Book Antiqua" w:cstheme="minorHAnsi"/>
        </w:rPr>
        <w:t>It was conceded</w:t>
      </w:r>
      <w:r w:rsidR="00ED17DD">
        <w:rPr>
          <w:rFonts w:ascii="Book Antiqua" w:hAnsi="Book Antiqua" w:cstheme="minorHAnsi"/>
        </w:rPr>
        <w:t xml:space="preserve"> by the Respondent</w:t>
      </w:r>
      <w:r w:rsidRPr="00E959C1">
        <w:rPr>
          <w:rFonts w:ascii="Book Antiqua" w:hAnsi="Book Antiqua" w:cstheme="minorHAnsi"/>
        </w:rPr>
        <w:t xml:space="preserve"> that the best interests of the children would be to remain in the UK</w:t>
      </w:r>
      <w:r w:rsidR="001B0E99" w:rsidRPr="00E959C1">
        <w:rPr>
          <w:rFonts w:ascii="Book Antiqua" w:hAnsi="Book Antiqua" w:cstheme="minorHAnsi"/>
        </w:rPr>
        <w:t>,</w:t>
      </w:r>
      <w:r w:rsidR="00ED17DD">
        <w:rPr>
          <w:rFonts w:ascii="Book Antiqua" w:hAnsi="Book Antiqua" w:cstheme="minorHAnsi"/>
        </w:rPr>
        <w:t xml:space="preserve"> and</w:t>
      </w:r>
      <w:r w:rsidR="001B0E99" w:rsidRPr="00E959C1">
        <w:rPr>
          <w:rFonts w:ascii="Book Antiqua" w:hAnsi="Book Antiqua" w:cstheme="minorHAnsi"/>
        </w:rPr>
        <w:t xml:space="preserve"> it was submitted that </w:t>
      </w:r>
      <w:r w:rsidR="009D34E4" w:rsidRPr="00E959C1">
        <w:rPr>
          <w:rFonts w:ascii="Book Antiqua" w:hAnsi="Book Antiqua" w:cstheme="minorHAnsi"/>
        </w:rPr>
        <w:t xml:space="preserve">in </w:t>
      </w:r>
      <w:r w:rsidRPr="00E959C1">
        <w:rPr>
          <w:rFonts w:ascii="Book Antiqua" w:hAnsi="Book Antiqua" w:cstheme="minorHAnsi"/>
        </w:rPr>
        <w:t xml:space="preserve">the case of British children the correct approach would be to find that they should remain in the UK unless there were powerful reasons to the contrary, and in this </w:t>
      </w:r>
      <w:proofErr w:type="gramStart"/>
      <w:r w:rsidRPr="00E959C1">
        <w:rPr>
          <w:rFonts w:ascii="Book Antiqua" w:hAnsi="Book Antiqua" w:cstheme="minorHAnsi"/>
        </w:rPr>
        <w:t>case</w:t>
      </w:r>
      <w:proofErr w:type="gramEnd"/>
      <w:r w:rsidRPr="00E959C1">
        <w:rPr>
          <w:rFonts w:ascii="Book Antiqua" w:hAnsi="Book Antiqua" w:cstheme="minorHAnsi"/>
        </w:rPr>
        <w:t xml:space="preserve"> there were no such powerful reasons.  </w:t>
      </w:r>
      <w:proofErr w:type="gramStart"/>
      <w:r w:rsidRPr="00E959C1">
        <w:rPr>
          <w:rFonts w:ascii="Book Antiqua" w:hAnsi="Book Antiqua" w:cstheme="minorHAnsi"/>
        </w:rPr>
        <w:t>Therefore</w:t>
      </w:r>
      <w:proofErr w:type="gramEnd"/>
      <w:r w:rsidRPr="00E959C1">
        <w:rPr>
          <w:rFonts w:ascii="Book Antiqua" w:hAnsi="Book Antiqua" w:cstheme="minorHAnsi"/>
        </w:rPr>
        <w:t xml:space="preserve"> it would be unreasonable to expect the Appellant’s British children to leave the UK and the appeal should be allowed on that basis</w:t>
      </w:r>
      <w:r w:rsidR="00421799" w:rsidRPr="00E959C1">
        <w:rPr>
          <w:rFonts w:ascii="Book Antiqua" w:hAnsi="Book Antiqua" w:cstheme="minorHAnsi"/>
        </w:rPr>
        <w:t xml:space="preserve">.  </w:t>
      </w:r>
    </w:p>
    <w:p w14:paraId="52EF1C75" w14:textId="72A5687A" w:rsidR="00421799" w:rsidRPr="00E959C1" w:rsidRDefault="00421799" w:rsidP="005E5DFF">
      <w:pPr>
        <w:numPr>
          <w:ilvl w:val="0"/>
          <w:numId w:val="3"/>
        </w:numPr>
        <w:spacing w:before="240"/>
        <w:jc w:val="both"/>
        <w:rPr>
          <w:rFonts w:ascii="Book Antiqua" w:hAnsi="Book Antiqua" w:cs="Arial"/>
        </w:rPr>
      </w:pPr>
      <w:r w:rsidRPr="00E959C1">
        <w:rPr>
          <w:rFonts w:ascii="Book Antiqua" w:hAnsi="Book Antiqua" w:cstheme="minorHAnsi"/>
        </w:rPr>
        <w:t xml:space="preserve">At the conclusion of oral </w:t>
      </w:r>
      <w:proofErr w:type="gramStart"/>
      <w:r w:rsidRPr="00E959C1">
        <w:rPr>
          <w:rFonts w:ascii="Book Antiqua" w:hAnsi="Book Antiqua" w:cstheme="minorHAnsi"/>
        </w:rPr>
        <w:t>submissions</w:t>
      </w:r>
      <w:proofErr w:type="gramEnd"/>
      <w:r w:rsidRPr="00E959C1">
        <w:rPr>
          <w:rFonts w:ascii="Book Antiqua" w:hAnsi="Book Antiqua" w:cstheme="minorHAnsi"/>
        </w:rPr>
        <w:t xml:space="preserve"> I reserved my decision.  </w:t>
      </w:r>
    </w:p>
    <w:p w14:paraId="030D3823" w14:textId="77777777" w:rsidR="003101F9" w:rsidRDefault="003101F9" w:rsidP="00421799">
      <w:pPr>
        <w:spacing w:before="240"/>
        <w:jc w:val="both"/>
        <w:rPr>
          <w:rFonts w:ascii="Book Antiqua" w:hAnsi="Book Antiqua" w:cs="Arial"/>
          <w:b/>
        </w:rPr>
      </w:pPr>
    </w:p>
    <w:p w14:paraId="4EA613AB" w14:textId="7E04390A" w:rsidR="00421799" w:rsidRPr="00E959C1" w:rsidRDefault="00421799" w:rsidP="00421799">
      <w:pPr>
        <w:spacing w:before="240"/>
        <w:jc w:val="both"/>
        <w:rPr>
          <w:rFonts w:ascii="Book Antiqua" w:hAnsi="Book Antiqua" w:cs="Arial"/>
          <w:b/>
        </w:rPr>
      </w:pPr>
      <w:r w:rsidRPr="00E959C1">
        <w:rPr>
          <w:rFonts w:ascii="Book Antiqua" w:hAnsi="Book Antiqua" w:cs="Arial"/>
          <w:b/>
        </w:rPr>
        <w:t xml:space="preserve">My Conclusions and Reasons  </w:t>
      </w:r>
    </w:p>
    <w:p w14:paraId="4982FDA3" w14:textId="0316EFF2" w:rsidR="00421799" w:rsidRPr="00E959C1" w:rsidRDefault="00421799" w:rsidP="005E5DFF">
      <w:pPr>
        <w:numPr>
          <w:ilvl w:val="0"/>
          <w:numId w:val="3"/>
        </w:numPr>
        <w:spacing w:before="240"/>
        <w:jc w:val="both"/>
        <w:rPr>
          <w:rFonts w:ascii="Book Antiqua" w:hAnsi="Book Antiqua" w:cs="Arial"/>
        </w:rPr>
      </w:pPr>
      <w:r w:rsidRPr="00E959C1">
        <w:rPr>
          <w:rFonts w:ascii="Book Antiqua" w:hAnsi="Book Antiqua" w:cs="Arial"/>
        </w:rPr>
        <w:t xml:space="preserve">The finding made by the </w:t>
      </w:r>
      <w:proofErr w:type="spellStart"/>
      <w:r w:rsidRPr="00E959C1">
        <w:rPr>
          <w:rFonts w:ascii="Book Antiqua" w:hAnsi="Book Antiqua" w:cs="Arial"/>
        </w:rPr>
        <w:t>FtT</w:t>
      </w:r>
      <w:proofErr w:type="spellEnd"/>
      <w:r w:rsidR="00BF3FAD" w:rsidRPr="00E959C1">
        <w:rPr>
          <w:rFonts w:ascii="Book Antiqua" w:hAnsi="Book Antiqua" w:cs="Arial"/>
        </w:rPr>
        <w:t xml:space="preserve"> that the Appellant used deception in an ETS</w:t>
      </w:r>
      <w:r w:rsidR="0081511B" w:rsidRPr="00E959C1">
        <w:rPr>
          <w:rFonts w:ascii="Book Antiqua" w:hAnsi="Book Antiqua" w:cs="Arial"/>
        </w:rPr>
        <w:t xml:space="preserve"> test is preserved and therefore</w:t>
      </w:r>
      <w:r w:rsidR="002716B8">
        <w:rPr>
          <w:rFonts w:ascii="Book Antiqua" w:hAnsi="Book Antiqua" w:cs="Arial"/>
        </w:rPr>
        <w:t xml:space="preserve"> he</w:t>
      </w:r>
      <w:r w:rsidR="0081511B" w:rsidRPr="00E959C1">
        <w:rPr>
          <w:rFonts w:ascii="Book Antiqua" w:hAnsi="Book Antiqua" w:cs="Arial"/>
        </w:rPr>
        <w:t xml:space="preserve"> cannot satisfy the suitability requirements </w:t>
      </w:r>
      <w:r w:rsidR="002716B8">
        <w:rPr>
          <w:rFonts w:ascii="Book Antiqua" w:hAnsi="Book Antiqua" w:cstheme="minorHAnsi"/>
          <w:noProof/>
        </w:rPr>
        <w:t>and cannot rely on</w:t>
      </w:r>
      <w:r w:rsidR="00483DB2" w:rsidRPr="00E959C1">
        <w:rPr>
          <w:rFonts w:ascii="Book Antiqua" w:hAnsi="Book Antiqua" w:cstheme="minorHAnsi"/>
        </w:rPr>
        <w:t xml:space="preserve"> </w:t>
      </w:r>
      <w:r w:rsidR="0081511B" w:rsidRPr="00E959C1">
        <w:rPr>
          <w:rFonts w:ascii="Book Antiqua" w:hAnsi="Book Antiqua" w:cstheme="minorHAnsi"/>
        </w:rPr>
        <w:t>Appendix FM and paragraph 276</w:t>
      </w:r>
      <w:proofErr w:type="gramStart"/>
      <w:r w:rsidR="0081511B" w:rsidRPr="00E959C1">
        <w:rPr>
          <w:rFonts w:ascii="Book Antiqua" w:hAnsi="Book Antiqua" w:cstheme="minorHAnsi"/>
        </w:rPr>
        <w:t>ADE(</w:t>
      </w:r>
      <w:proofErr w:type="gramEnd"/>
      <w:r w:rsidR="0081511B" w:rsidRPr="00E959C1">
        <w:rPr>
          <w:rFonts w:ascii="Book Antiqua" w:hAnsi="Book Antiqua" w:cstheme="minorHAnsi"/>
        </w:rPr>
        <w:t xml:space="preserve">1).  </w:t>
      </w:r>
    </w:p>
    <w:p w14:paraId="3ABABB14" w14:textId="6DB3D06D" w:rsidR="0081511B" w:rsidRPr="00E959C1" w:rsidRDefault="0081511B" w:rsidP="005E5DFF">
      <w:pPr>
        <w:numPr>
          <w:ilvl w:val="0"/>
          <w:numId w:val="3"/>
        </w:numPr>
        <w:spacing w:before="240"/>
        <w:jc w:val="both"/>
        <w:rPr>
          <w:rFonts w:ascii="Book Antiqua" w:hAnsi="Book Antiqua" w:cs="Arial"/>
        </w:rPr>
      </w:pPr>
      <w:r w:rsidRPr="00E959C1">
        <w:rPr>
          <w:rFonts w:ascii="Book Antiqua" w:hAnsi="Book Antiqua" w:cstheme="minorHAnsi"/>
        </w:rPr>
        <w:t xml:space="preserve">The Supreme Court confirmed at paragraph 48 of </w:t>
      </w:r>
      <w:proofErr w:type="spellStart"/>
      <w:r w:rsidRPr="00E959C1">
        <w:rPr>
          <w:rFonts w:ascii="Book Antiqua" w:hAnsi="Book Antiqua" w:cstheme="minorHAnsi"/>
          <w:u w:val="single"/>
        </w:rPr>
        <w:t>Agyarko</w:t>
      </w:r>
      <w:proofErr w:type="spellEnd"/>
      <w:r w:rsidR="00A5670C" w:rsidRPr="00E959C1">
        <w:rPr>
          <w:rFonts w:ascii="Book Antiqua" w:hAnsi="Book Antiqua" w:cstheme="minorHAnsi"/>
        </w:rPr>
        <w:t xml:space="preserve"> [2017] UKSC 11 that if an Appellant cannot satisfy the Immigration Rules but refusal of the application would result in unjustifiably harsh consequences such that refusal would not be proportionate, then leave may be granted outside the </w:t>
      </w:r>
      <w:r w:rsidR="00C6320C" w:rsidRPr="00E959C1">
        <w:rPr>
          <w:rFonts w:ascii="Book Antiqua" w:hAnsi="Book Antiqua" w:cstheme="minorHAnsi"/>
        </w:rPr>
        <w:t>rule</w:t>
      </w:r>
      <w:r w:rsidR="00A5670C" w:rsidRPr="00E959C1">
        <w:rPr>
          <w:rFonts w:ascii="Book Antiqua" w:hAnsi="Book Antiqua" w:cstheme="minorHAnsi"/>
        </w:rPr>
        <w:t xml:space="preserve">s on the basis of exceptional circumstances.  </w:t>
      </w:r>
    </w:p>
    <w:p w14:paraId="032AEAAA" w14:textId="38B3C96A" w:rsidR="00A5670C" w:rsidRPr="00E959C1" w:rsidRDefault="00A5670C" w:rsidP="005E5DFF">
      <w:pPr>
        <w:numPr>
          <w:ilvl w:val="0"/>
          <w:numId w:val="3"/>
        </w:numPr>
        <w:spacing w:before="240"/>
        <w:jc w:val="both"/>
        <w:rPr>
          <w:rFonts w:ascii="Book Antiqua" w:hAnsi="Book Antiqua" w:cs="Arial"/>
        </w:rPr>
      </w:pPr>
      <w:r w:rsidRPr="00E959C1">
        <w:rPr>
          <w:rFonts w:ascii="Book Antiqua" w:hAnsi="Book Antiqua" w:cstheme="minorHAnsi"/>
        </w:rPr>
        <w:t>The Appellant relies upon Article 8 of the 1950 European Convention on Human Rights</w:t>
      </w:r>
      <w:r w:rsidR="0003686A" w:rsidRPr="00E959C1">
        <w:rPr>
          <w:rFonts w:ascii="Book Antiqua" w:hAnsi="Book Antiqua" w:cstheme="minorHAnsi"/>
        </w:rPr>
        <w:t xml:space="preserve"> (the 1950 Convention)</w:t>
      </w:r>
      <w:r w:rsidR="007F166C" w:rsidRPr="00E959C1">
        <w:rPr>
          <w:rFonts w:ascii="Book Antiqua" w:hAnsi="Book Antiqua" w:cstheme="minorHAnsi"/>
        </w:rPr>
        <w:t xml:space="preserve">.  I find that Article 8 is engaged on the basis that the Appellant has established family and private life in the UK.  In considering Article 8 I adopt the balance sheet approach recommended at paragraph 83 of </w:t>
      </w:r>
      <w:r w:rsidR="007F166C" w:rsidRPr="00E959C1">
        <w:rPr>
          <w:rFonts w:ascii="Book Antiqua" w:hAnsi="Book Antiqua" w:cstheme="minorHAnsi"/>
          <w:u w:val="single"/>
        </w:rPr>
        <w:t>Hesham Ali</w:t>
      </w:r>
      <w:r w:rsidR="007F166C" w:rsidRPr="00E959C1">
        <w:rPr>
          <w:rFonts w:ascii="Book Antiqua" w:hAnsi="Book Antiqua" w:cstheme="minorHAnsi"/>
        </w:rPr>
        <w:t xml:space="preserve"> [2016] UKSC 60, and in so doing have regard to the guidance as to the functions of the Tribunal given at paragraphs 39 to 53.  It was confirmed in </w:t>
      </w:r>
      <w:r w:rsidR="007F166C" w:rsidRPr="00E959C1">
        <w:rPr>
          <w:rFonts w:ascii="Book Antiqua" w:hAnsi="Book Antiqua" w:cstheme="minorHAnsi"/>
          <w:u w:val="single"/>
        </w:rPr>
        <w:t>Hesham Ali</w:t>
      </w:r>
      <w:r w:rsidR="007F166C" w:rsidRPr="00E959C1">
        <w:rPr>
          <w:rFonts w:ascii="Book Antiqua" w:hAnsi="Book Antiqua" w:cstheme="minorHAnsi"/>
        </w:rPr>
        <w:t xml:space="preserve"> at paragraph 41 that a failure to qualify under the </w:t>
      </w:r>
      <w:r w:rsidR="000110C5" w:rsidRPr="00E959C1">
        <w:rPr>
          <w:rFonts w:ascii="Book Antiqua" w:hAnsi="Book Antiqua" w:cstheme="minorHAnsi"/>
        </w:rPr>
        <w:t>rule</w:t>
      </w:r>
      <w:r w:rsidR="007F166C" w:rsidRPr="00E959C1">
        <w:rPr>
          <w:rFonts w:ascii="Book Antiqua" w:hAnsi="Book Antiqua" w:cstheme="minorHAnsi"/>
        </w:rPr>
        <w:t xml:space="preserve">s is the point at which to begin, not end consideration of the claim under Article 8.  The terms of the </w:t>
      </w:r>
      <w:r w:rsidR="00DE4082" w:rsidRPr="00E959C1">
        <w:rPr>
          <w:rFonts w:ascii="Book Antiqua" w:hAnsi="Book Antiqua" w:cstheme="minorHAnsi"/>
        </w:rPr>
        <w:t>rule</w:t>
      </w:r>
      <w:r w:rsidR="007F166C" w:rsidRPr="00E959C1">
        <w:rPr>
          <w:rFonts w:ascii="Book Antiqua" w:hAnsi="Book Antiqua" w:cstheme="minorHAnsi"/>
        </w:rPr>
        <w:t xml:space="preserve">s are relevant but not determinative.  At paragraph 53 </w:t>
      </w:r>
      <w:r w:rsidR="00280A92">
        <w:rPr>
          <w:rFonts w:ascii="Book Antiqua" w:hAnsi="Book Antiqua" w:cstheme="minorHAnsi"/>
        </w:rPr>
        <w:t>it is</w:t>
      </w:r>
      <w:r w:rsidR="007F166C" w:rsidRPr="00E959C1">
        <w:rPr>
          <w:rFonts w:ascii="Book Antiqua" w:hAnsi="Book Antiqua" w:cstheme="minorHAnsi"/>
        </w:rPr>
        <w:t xml:space="preserve"> confirmed that the </w:t>
      </w:r>
      <w:r w:rsidR="007953F9" w:rsidRPr="00E959C1">
        <w:rPr>
          <w:rFonts w:ascii="Book Antiqua" w:hAnsi="Book Antiqua" w:cstheme="minorHAnsi"/>
        </w:rPr>
        <w:t>rule</w:t>
      </w:r>
      <w:r w:rsidR="007F166C" w:rsidRPr="00E959C1">
        <w:rPr>
          <w:rFonts w:ascii="Book Antiqua" w:hAnsi="Book Antiqua" w:cstheme="minorHAnsi"/>
        </w:rPr>
        <w:t xml:space="preserve">s are </w:t>
      </w:r>
      <w:r w:rsidR="005A7E30" w:rsidRPr="00E959C1">
        <w:rPr>
          <w:rFonts w:ascii="Book Antiqua" w:hAnsi="Book Antiqua" w:cstheme="minorHAnsi"/>
        </w:rPr>
        <w:t xml:space="preserve">a </w:t>
      </w:r>
      <w:r w:rsidR="007F166C" w:rsidRPr="00E959C1">
        <w:rPr>
          <w:rFonts w:ascii="Book Antiqua" w:hAnsi="Book Antiqua" w:cstheme="minorHAnsi"/>
        </w:rPr>
        <w:t xml:space="preserve">relevant </w:t>
      </w:r>
      <w:r w:rsidR="005A7E30" w:rsidRPr="00E959C1">
        <w:rPr>
          <w:rFonts w:ascii="Book Antiqua" w:hAnsi="Book Antiqua" w:cstheme="minorHAnsi"/>
        </w:rPr>
        <w:t>and important consideration for a Tribunal determining appeals brought o</w:t>
      </w:r>
      <w:r w:rsidR="00280A92">
        <w:rPr>
          <w:rFonts w:ascii="Book Antiqua" w:hAnsi="Book Antiqua" w:cstheme="minorHAnsi"/>
        </w:rPr>
        <w:t>n</w:t>
      </w:r>
      <w:r w:rsidR="00E566B2" w:rsidRPr="00E959C1">
        <w:rPr>
          <w:rFonts w:ascii="Book Antiqua" w:hAnsi="Book Antiqua" w:cstheme="minorHAnsi"/>
        </w:rPr>
        <w:t xml:space="preserve"> </w:t>
      </w:r>
      <w:r w:rsidR="005A7E30" w:rsidRPr="00E959C1">
        <w:rPr>
          <w:rFonts w:ascii="Book Antiqua" w:hAnsi="Book Antiqua" w:cstheme="minorHAnsi"/>
        </w:rPr>
        <w:t xml:space="preserve">Convention grounds but the </w:t>
      </w:r>
      <w:r w:rsidR="00E62971" w:rsidRPr="00E959C1">
        <w:rPr>
          <w:rFonts w:ascii="Book Antiqua" w:hAnsi="Book Antiqua" w:cstheme="minorHAnsi"/>
        </w:rPr>
        <w:t>rule</w:t>
      </w:r>
      <w:r w:rsidR="005A7E30" w:rsidRPr="00E959C1">
        <w:rPr>
          <w:rFonts w:ascii="Book Antiqua" w:hAnsi="Book Antiqua" w:cstheme="minorHAnsi"/>
        </w:rPr>
        <w:t xml:space="preserve">s do not govern the determination of appeals.  </w:t>
      </w:r>
    </w:p>
    <w:p w14:paraId="2847316D" w14:textId="1712A7EB" w:rsidR="005A7E30" w:rsidRPr="00E959C1" w:rsidRDefault="005A7E30" w:rsidP="005E5DFF">
      <w:pPr>
        <w:numPr>
          <w:ilvl w:val="0"/>
          <w:numId w:val="3"/>
        </w:numPr>
        <w:spacing w:before="240"/>
        <w:jc w:val="both"/>
        <w:rPr>
          <w:rFonts w:ascii="Book Antiqua" w:hAnsi="Book Antiqua" w:cs="Arial"/>
        </w:rPr>
      </w:pPr>
      <w:r w:rsidRPr="00E959C1">
        <w:rPr>
          <w:rFonts w:ascii="Book Antiqua" w:hAnsi="Book Antiqua" w:cstheme="minorHAnsi"/>
        </w:rPr>
        <w:t xml:space="preserve">I decide this appeal on the following factual matrix.  </w:t>
      </w:r>
    </w:p>
    <w:p w14:paraId="41C0988B" w14:textId="4418F27C" w:rsidR="005A7E30" w:rsidRPr="00E959C1" w:rsidRDefault="00AF623E" w:rsidP="005E5DFF">
      <w:pPr>
        <w:numPr>
          <w:ilvl w:val="0"/>
          <w:numId w:val="3"/>
        </w:numPr>
        <w:spacing w:before="240"/>
        <w:jc w:val="both"/>
        <w:rPr>
          <w:rFonts w:ascii="Book Antiqua" w:hAnsi="Book Antiqua" w:cs="Arial"/>
        </w:rPr>
      </w:pPr>
      <w:r w:rsidRPr="00E959C1">
        <w:rPr>
          <w:rFonts w:ascii="Book Antiqua" w:hAnsi="Book Antiqua" w:cstheme="minorHAnsi"/>
        </w:rPr>
        <w:lastRenderedPageBreak/>
        <w:t>The Appellant is a Malaysian citizen.  He entered the UK with leave on 3</w:t>
      </w:r>
      <w:r w:rsidRPr="00E959C1">
        <w:rPr>
          <w:rFonts w:ascii="Book Antiqua" w:hAnsi="Book Antiqua" w:cstheme="minorHAnsi"/>
          <w:vertAlign w:val="superscript"/>
        </w:rPr>
        <w:t>rd</w:t>
      </w:r>
      <w:r w:rsidRPr="00E959C1">
        <w:rPr>
          <w:rFonts w:ascii="Book Antiqua" w:hAnsi="Book Antiqua" w:cstheme="minorHAnsi"/>
        </w:rPr>
        <w:t xml:space="preserve"> August 2002.  </w:t>
      </w:r>
      <w:r w:rsidR="00DF6318" w:rsidRPr="00E959C1">
        <w:rPr>
          <w:rFonts w:ascii="Book Antiqua" w:hAnsi="Book Antiqua" w:cstheme="minorHAnsi"/>
        </w:rPr>
        <w:t>His leave was subsequently extended on various occasions, until 8</w:t>
      </w:r>
      <w:r w:rsidR="00DF6318" w:rsidRPr="00E959C1">
        <w:rPr>
          <w:rFonts w:ascii="Book Antiqua" w:hAnsi="Book Antiqua" w:cstheme="minorHAnsi"/>
          <w:vertAlign w:val="superscript"/>
        </w:rPr>
        <w:t>th</w:t>
      </w:r>
      <w:r w:rsidR="00DF6318" w:rsidRPr="00E959C1">
        <w:rPr>
          <w:rFonts w:ascii="Book Antiqua" w:hAnsi="Book Antiqua" w:cstheme="minorHAnsi"/>
        </w:rPr>
        <w:t xml:space="preserve"> September 2015.  His last period of leave was granted on family and private life grounds.  </w:t>
      </w:r>
    </w:p>
    <w:p w14:paraId="0C1B457C" w14:textId="2A6E5E1B" w:rsidR="00860035" w:rsidRPr="00E959C1" w:rsidRDefault="00860035" w:rsidP="005E5DFF">
      <w:pPr>
        <w:numPr>
          <w:ilvl w:val="0"/>
          <w:numId w:val="3"/>
        </w:numPr>
        <w:spacing w:before="240"/>
        <w:jc w:val="both"/>
        <w:rPr>
          <w:rFonts w:ascii="Book Antiqua" w:hAnsi="Book Antiqua" w:cs="Arial"/>
        </w:rPr>
      </w:pPr>
      <w:r w:rsidRPr="00E959C1">
        <w:rPr>
          <w:rFonts w:ascii="Book Antiqua" w:hAnsi="Book Antiqua" w:cstheme="minorHAnsi"/>
        </w:rPr>
        <w:t>Before his leave expired he made an application on 26</w:t>
      </w:r>
      <w:r w:rsidRPr="00E959C1">
        <w:rPr>
          <w:rFonts w:ascii="Book Antiqua" w:hAnsi="Book Antiqua" w:cstheme="minorHAnsi"/>
          <w:vertAlign w:val="superscript"/>
        </w:rPr>
        <w:t>th</w:t>
      </w:r>
      <w:r w:rsidRPr="00E959C1">
        <w:rPr>
          <w:rFonts w:ascii="Book Antiqua" w:hAnsi="Book Antiqua" w:cstheme="minorHAnsi"/>
        </w:rPr>
        <w:t xml:space="preserve"> August 2015 for further leave to remain </w:t>
      </w:r>
      <w:r w:rsidR="001F64DC" w:rsidRPr="00E959C1">
        <w:rPr>
          <w:rFonts w:ascii="Book Antiqua" w:hAnsi="Book Antiqua" w:cstheme="minorHAnsi"/>
        </w:rPr>
        <w:t>using form FLR</w:t>
      </w:r>
      <w:r w:rsidR="001A6385" w:rsidRPr="00E959C1">
        <w:rPr>
          <w:rFonts w:ascii="Book Antiqua" w:hAnsi="Book Antiqua" w:cstheme="minorHAnsi"/>
        </w:rPr>
        <w:t>(P)</w:t>
      </w:r>
      <w:r w:rsidR="009A06E8" w:rsidRPr="00E959C1">
        <w:rPr>
          <w:rFonts w:ascii="Book Antiqua" w:hAnsi="Book Antiqua" w:cstheme="minorHAnsi"/>
        </w:rPr>
        <w:t xml:space="preserve">. </w:t>
      </w:r>
      <w:r w:rsidR="00E34469">
        <w:rPr>
          <w:rFonts w:ascii="Book Antiqua" w:hAnsi="Book Antiqua" w:cstheme="minorHAnsi"/>
        </w:rPr>
        <w:t>He used a proxy</w:t>
      </w:r>
      <w:r w:rsidR="009A06E8" w:rsidRPr="00E959C1">
        <w:rPr>
          <w:rFonts w:ascii="Book Antiqua" w:hAnsi="Book Antiqua" w:cstheme="minorHAnsi"/>
        </w:rPr>
        <w:t xml:space="preserve"> </w:t>
      </w:r>
      <w:r w:rsidR="00563DE0" w:rsidRPr="00E959C1">
        <w:rPr>
          <w:rFonts w:ascii="Book Antiqua" w:hAnsi="Book Antiqua" w:cstheme="minorHAnsi"/>
        </w:rPr>
        <w:t xml:space="preserve">in </w:t>
      </w:r>
      <w:r w:rsidR="001A6385" w:rsidRPr="00E959C1">
        <w:rPr>
          <w:rFonts w:ascii="Book Antiqua" w:hAnsi="Book Antiqua" w:cstheme="minorHAnsi"/>
        </w:rPr>
        <w:t>an ETS test in August 2012</w:t>
      </w:r>
      <w:r w:rsidR="00563DE0" w:rsidRPr="00E959C1">
        <w:rPr>
          <w:rFonts w:ascii="Book Antiqua" w:hAnsi="Book Antiqua" w:cstheme="minorHAnsi"/>
        </w:rPr>
        <w:t xml:space="preserve">.  </w:t>
      </w:r>
    </w:p>
    <w:p w14:paraId="4E34BAC0" w14:textId="1DF66E67" w:rsidR="00563DE0" w:rsidRPr="00E959C1" w:rsidRDefault="00563DE0" w:rsidP="005E5DFF">
      <w:pPr>
        <w:numPr>
          <w:ilvl w:val="0"/>
          <w:numId w:val="3"/>
        </w:numPr>
        <w:spacing w:before="240"/>
        <w:jc w:val="both"/>
        <w:rPr>
          <w:rFonts w:ascii="Book Antiqua" w:hAnsi="Book Antiqua" w:cs="Arial"/>
        </w:rPr>
      </w:pPr>
      <w:r w:rsidRPr="00E959C1">
        <w:rPr>
          <w:rFonts w:ascii="Book Antiqua" w:hAnsi="Book Antiqua" w:cstheme="minorHAnsi"/>
        </w:rPr>
        <w:t>The Appellant is married to a Malaysian citizen.  The marriage took place in the UK on 31</w:t>
      </w:r>
      <w:r w:rsidRPr="00E959C1">
        <w:rPr>
          <w:rFonts w:ascii="Book Antiqua" w:hAnsi="Book Antiqua" w:cstheme="minorHAnsi"/>
          <w:vertAlign w:val="superscript"/>
        </w:rPr>
        <w:t>st</w:t>
      </w:r>
      <w:r w:rsidRPr="00E959C1">
        <w:rPr>
          <w:rFonts w:ascii="Book Antiqua" w:hAnsi="Book Antiqua" w:cstheme="minorHAnsi"/>
        </w:rPr>
        <w:t xml:space="preserve"> January 2012.  The Appellant’s wife has indefinite leave to remain in the UK which was granted on 8</w:t>
      </w:r>
      <w:r w:rsidRPr="00E959C1">
        <w:rPr>
          <w:rFonts w:ascii="Book Antiqua" w:hAnsi="Book Antiqua" w:cstheme="minorHAnsi"/>
          <w:vertAlign w:val="superscript"/>
        </w:rPr>
        <w:t>th</w:t>
      </w:r>
      <w:r w:rsidRPr="00E959C1">
        <w:rPr>
          <w:rFonts w:ascii="Book Antiqua" w:hAnsi="Book Antiqua" w:cstheme="minorHAnsi"/>
        </w:rPr>
        <w:t xml:space="preserve"> May 2008.  </w:t>
      </w:r>
    </w:p>
    <w:p w14:paraId="11F63525" w14:textId="3540A8EC" w:rsidR="00563DE0" w:rsidRPr="00E959C1" w:rsidRDefault="00563DE0" w:rsidP="005E5DFF">
      <w:pPr>
        <w:numPr>
          <w:ilvl w:val="0"/>
          <w:numId w:val="3"/>
        </w:numPr>
        <w:spacing w:before="240"/>
        <w:jc w:val="both"/>
        <w:rPr>
          <w:rFonts w:ascii="Book Antiqua" w:hAnsi="Book Antiqua" w:cs="Arial"/>
        </w:rPr>
      </w:pPr>
      <w:r w:rsidRPr="00E959C1">
        <w:rPr>
          <w:rFonts w:ascii="Book Antiqua" w:hAnsi="Book Antiqua" w:cstheme="minorHAnsi"/>
        </w:rPr>
        <w:t>The Appellant and his wife have two children, both of whom are British citizens</w:t>
      </w:r>
      <w:r w:rsidR="00233D80" w:rsidRPr="00E959C1">
        <w:rPr>
          <w:rFonts w:ascii="Book Antiqua" w:hAnsi="Book Antiqua" w:cstheme="minorHAnsi"/>
        </w:rPr>
        <w:t>.  Their daughter was born 10</w:t>
      </w:r>
      <w:r w:rsidR="00233D80" w:rsidRPr="00E959C1">
        <w:rPr>
          <w:rFonts w:ascii="Book Antiqua" w:hAnsi="Book Antiqua" w:cstheme="minorHAnsi"/>
          <w:vertAlign w:val="superscript"/>
        </w:rPr>
        <w:t>th</w:t>
      </w:r>
      <w:r w:rsidR="00233D80" w:rsidRPr="00E959C1">
        <w:rPr>
          <w:rFonts w:ascii="Book Antiqua" w:hAnsi="Book Antiqua" w:cstheme="minorHAnsi"/>
        </w:rPr>
        <w:t xml:space="preserve"> December 2011 and is now 6 years of age, and their son born 18</w:t>
      </w:r>
      <w:r w:rsidR="00233D80" w:rsidRPr="00E959C1">
        <w:rPr>
          <w:rFonts w:ascii="Book Antiqua" w:hAnsi="Book Antiqua" w:cstheme="minorHAnsi"/>
          <w:vertAlign w:val="superscript"/>
        </w:rPr>
        <w:t>th</w:t>
      </w:r>
      <w:r w:rsidR="00233D80" w:rsidRPr="00E959C1">
        <w:rPr>
          <w:rFonts w:ascii="Book Antiqua" w:hAnsi="Book Antiqua" w:cstheme="minorHAnsi"/>
        </w:rPr>
        <w:t xml:space="preserve"> November 2014 and is now 3 years of age.  </w:t>
      </w:r>
    </w:p>
    <w:p w14:paraId="0C9D3D8E" w14:textId="08F72553" w:rsidR="00AD2143" w:rsidRPr="00E959C1" w:rsidRDefault="00AD2143" w:rsidP="005E5DFF">
      <w:pPr>
        <w:numPr>
          <w:ilvl w:val="0"/>
          <w:numId w:val="3"/>
        </w:numPr>
        <w:spacing w:before="240"/>
        <w:jc w:val="both"/>
        <w:rPr>
          <w:rFonts w:ascii="Book Antiqua" w:hAnsi="Book Antiqua" w:cs="Arial"/>
        </w:rPr>
      </w:pPr>
      <w:r w:rsidRPr="00E959C1">
        <w:rPr>
          <w:rFonts w:ascii="Book Antiqua" w:hAnsi="Book Antiqua" w:cstheme="minorHAnsi"/>
        </w:rPr>
        <w:t xml:space="preserve">Both the Appellant and his wife confirmed in oral evidence that they have relatives in Malaysia.  The property in which the family live is owned by the Appellant’s wife, according to Land Registry documents, and there is a mortgage upon that property.  The Appellant owns a takeaway food business and is sometimes assisted in that business by his wife.  The Appellant is the financial provider </w:t>
      </w:r>
      <w:r w:rsidR="00AF505A" w:rsidRPr="00E959C1">
        <w:rPr>
          <w:rFonts w:ascii="Book Antiqua" w:hAnsi="Book Antiqua" w:cstheme="minorHAnsi"/>
        </w:rPr>
        <w:t xml:space="preserve">of the family.  </w:t>
      </w:r>
    </w:p>
    <w:p w14:paraId="0C5F85DF" w14:textId="6EEECF61" w:rsidR="00AF505A" w:rsidRPr="00E959C1" w:rsidRDefault="00AF505A" w:rsidP="005E5DFF">
      <w:pPr>
        <w:numPr>
          <w:ilvl w:val="0"/>
          <w:numId w:val="3"/>
        </w:numPr>
        <w:spacing w:before="240"/>
        <w:jc w:val="both"/>
        <w:rPr>
          <w:rFonts w:ascii="Book Antiqua" w:hAnsi="Book Antiqua" w:cs="Arial"/>
        </w:rPr>
      </w:pPr>
      <w:r w:rsidRPr="00E959C1">
        <w:rPr>
          <w:rFonts w:ascii="Book Antiqua" w:hAnsi="Book Antiqua" w:cstheme="minorHAnsi"/>
        </w:rPr>
        <w:t xml:space="preserve">There are no relevant medical issues for any of the family members.  The Appellant’s daughter attends school.  </w:t>
      </w:r>
    </w:p>
    <w:p w14:paraId="5A96A596" w14:textId="2E0E9B05" w:rsidR="00AF505A" w:rsidRPr="00E959C1" w:rsidRDefault="00AF505A" w:rsidP="005E5DFF">
      <w:pPr>
        <w:numPr>
          <w:ilvl w:val="0"/>
          <w:numId w:val="3"/>
        </w:numPr>
        <w:spacing w:before="240"/>
        <w:jc w:val="both"/>
        <w:rPr>
          <w:rFonts w:ascii="Book Antiqua" w:hAnsi="Book Antiqua" w:cs="Arial"/>
        </w:rPr>
      </w:pPr>
      <w:r w:rsidRPr="00E959C1">
        <w:rPr>
          <w:rFonts w:ascii="Book Antiqua" w:hAnsi="Book Antiqua" w:cstheme="minorHAnsi"/>
        </w:rPr>
        <w:t xml:space="preserve">The Respondent has conceded that the best interests of </w:t>
      </w:r>
      <w:r w:rsidR="003C3732" w:rsidRPr="00E959C1">
        <w:rPr>
          <w:rFonts w:ascii="Book Antiqua" w:hAnsi="Book Antiqua" w:cstheme="minorHAnsi"/>
        </w:rPr>
        <w:t xml:space="preserve">the children </w:t>
      </w:r>
      <w:r w:rsidR="00811318" w:rsidRPr="00E959C1">
        <w:rPr>
          <w:rFonts w:ascii="Book Antiqua" w:hAnsi="Book Antiqua" w:cstheme="minorHAnsi"/>
        </w:rPr>
        <w:t xml:space="preserve">would be to remain in the UK, and that concession is rightly made.  It is also conceded and I find as a fact that the Appellant has a genuine and subsisting parental relationship with his children.  </w:t>
      </w:r>
    </w:p>
    <w:p w14:paraId="015DE836" w14:textId="30517D4B" w:rsidR="00811318" w:rsidRPr="00E959C1" w:rsidRDefault="00811318" w:rsidP="005E5DFF">
      <w:pPr>
        <w:numPr>
          <w:ilvl w:val="0"/>
          <w:numId w:val="3"/>
        </w:numPr>
        <w:spacing w:before="240"/>
        <w:jc w:val="both"/>
        <w:rPr>
          <w:rFonts w:ascii="Book Antiqua" w:hAnsi="Book Antiqua" w:cs="Arial"/>
        </w:rPr>
      </w:pPr>
      <w:r w:rsidRPr="00E959C1">
        <w:rPr>
          <w:rFonts w:ascii="Book Antiqua" w:hAnsi="Book Antiqua" w:cstheme="minorHAnsi"/>
        </w:rPr>
        <w:t>In considering Article 8 the burden of proof lies on the Appellant</w:t>
      </w:r>
      <w:r w:rsidR="002F0265" w:rsidRPr="00E959C1">
        <w:rPr>
          <w:rFonts w:ascii="Book Antiqua" w:hAnsi="Book Antiqua" w:cstheme="minorHAnsi"/>
        </w:rPr>
        <w:t xml:space="preserve"> to establish his personal circumstances and to establish that family and private life exist</w:t>
      </w:r>
      <w:r w:rsidR="009B7932">
        <w:rPr>
          <w:rFonts w:ascii="Book Antiqua" w:hAnsi="Book Antiqua" w:cstheme="minorHAnsi"/>
        </w:rPr>
        <w:t>s</w:t>
      </w:r>
      <w:r w:rsidR="002F0265" w:rsidRPr="00E959C1">
        <w:rPr>
          <w:rFonts w:ascii="Book Antiqua" w:hAnsi="Book Antiqua" w:cstheme="minorHAnsi"/>
        </w:rPr>
        <w:t>, and he must show why the decision to refuse leave to remain interferes disproportiona</w:t>
      </w:r>
      <w:r w:rsidR="009B7932">
        <w:rPr>
          <w:rFonts w:ascii="Book Antiqua" w:hAnsi="Book Antiqua" w:cstheme="minorHAnsi"/>
        </w:rPr>
        <w:t>tely</w:t>
      </w:r>
      <w:r w:rsidR="002F0265" w:rsidRPr="00E959C1">
        <w:rPr>
          <w:rFonts w:ascii="Book Antiqua" w:hAnsi="Book Antiqua" w:cstheme="minorHAnsi"/>
        </w:rPr>
        <w:t xml:space="preserve"> in his family and private life rights.  </w:t>
      </w:r>
      <w:r w:rsidR="0068420A" w:rsidRPr="00E959C1">
        <w:rPr>
          <w:rFonts w:ascii="Book Antiqua" w:hAnsi="Book Antiqua" w:cstheme="minorHAnsi"/>
        </w:rPr>
        <w:t xml:space="preserve">It is for the Respondent to establish the public interest factors weighing against the Appellant.  The standard of proof is a balance of probabilities throughout.  </w:t>
      </w:r>
    </w:p>
    <w:p w14:paraId="7A000D3D" w14:textId="757CA7AF" w:rsidR="0068420A" w:rsidRPr="00E959C1" w:rsidRDefault="0068420A" w:rsidP="005E5DFF">
      <w:pPr>
        <w:numPr>
          <w:ilvl w:val="0"/>
          <w:numId w:val="3"/>
        </w:numPr>
        <w:spacing w:before="240"/>
        <w:jc w:val="both"/>
        <w:rPr>
          <w:rFonts w:ascii="Book Antiqua" w:hAnsi="Book Antiqua" w:cs="Arial"/>
        </w:rPr>
      </w:pPr>
      <w:r w:rsidRPr="00E959C1">
        <w:rPr>
          <w:rFonts w:ascii="Book Antiqua" w:hAnsi="Book Antiqua" w:cstheme="minorHAnsi"/>
        </w:rPr>
        <w:t xml:space="preserve">In considering proportionality I must have regard to the considerations in </w:t>
      </w:r>
      <w:r w:rsidR="006026D7" w:rsidRPr="00E959C1">
        <w:rPr>
          <w:rFonts w:ascii="Book Antiqua" w:hAnsi="Book Antiqua" w:cstheme="minorHAnsi"/>
        </w:rPr>
        <w:t>section</w:t>
      </w:r>
      <w:r w:rsidRPr="00E959C1">
        <w:rPr>
          <w:rFonts w:ascii="Book Antiqua" w:hAnsi="Book Antiqua" w:cstheme="minorHAnsi"/>
        </w:rPr>
        <w:t xml:space="preserve"> 117B of the Nationality, Immigration and Asylum Act 2002</w:t>
      </w:r>
      <w:r w:rsidR="0069680B" w:rsidRPr="00E959C1">
        <w:rPr>
          <w:rFonts w:ascii="Book Antiqua" w:hAnsi="Book Antiqua" w:cstheme="minorHAnsi"/>
        </w:rPr>
        <w:t xml:space="preserve"> (the 2002 Act).  Sub-</w:t>
      </w:r>
      <w:r w:rsidR="006026D7" w:rsidRPr="00E959C1">
        <w:rPr>
          <w:rFonts w:ascii="Book Antiqua" w:hAnsi="Book Antiqua" w:cstheme="minorHAnsi"/>
        </w:rPr>
        <w:t xml:space="preserve">section </w:t>
      </w:r>
      <w:r w:rsidR="0069680B" w:rsidRPr="00E959C1">
        <w:rPr>
          <w:rFonts w:ascii="Book Antiqua" w:hAnsi="Book Antiqua" w:cstheme="minorHAnsi"/>
        </w:rPr>
        <w:t xml:space="preserve">(1) confirms the maintenance of effective immigration controls is in the public interest.  </w:t>
      </w:r>
    </w:p>
    <w:p w14:paraId="711230F0" w14:textId="602F42EE" w:rsidR="0069680B" w:rsidRPr="00E959C1" w:rsidRDefault="0069680B" w:rsidP="005E5DFF">
      <w:pPr>
        <w:numPr>
          <w:ilvl w:val="0"/>
          <w:numId w:val="3"/>
        </w:numPr>
        <w:spacing w:before="240"/>
        <w:jc w:val="both"/>
        <w:rPr>
          <w:rFonts w:ascii="Book Antiqua" w:hAnsi="Book Antiqua" w:cs="Arial"/>
        </w:rPr>
      </w:pPr>
      <w:r w:rsidRPr="00E959C1">
        <w:rPr>
          <w:rFonts w:ascii="Book Antiqua" w:hAnsi="Book Antiqua" w:cstheme="minorHAnsi"/>
        </w:rPr>
        <w:t>Sub-</w:t>
      </w:r>
      <w:r w:rsidR="006026D7" w:rsidRPr="00E959C1">
        <w:rPr>
          <w:rFonts w:ascii="Book Antiqua" w:hAnsi="Book Antiqua" w:cstheme="minorHAnsi"/>
        </w:rPr>
        <w:t xml:space="preserve">section </w:t>
      </w:r>
      <w:r w:rsidRPr="00E959C1">
        <w:rPr>
          <w:rFonts w:ascii="Book Antiqua" w:hAnsi="Book Antiqua" w:cstheme="minorHAnsi"/>
        </w:rPr>
        <w:t xml:space="preserve">(2) confirms that it is in the public interest that persons seeking to remain in the UK can speak English.  The Appellant has not proved his ability in English.  </w:t>
      </w:r>
    </w:p>
    <w:p w14:paraId="4E8B21EA" w14:textId="58080015" w:rsidR="0069680B" w:rsidRPr="00E959C1" w:rsidRDefault="0069680B" w:rsidP="005E5DFF">
      <w:pPr>
        <w:numPr>
          <w:ilvl w:val="0"/>
          <w:numId w:val="3"/>
        </w:numPr>
        <w:spacing w:before="240"/>
        <w:jc w:val="both"/>
        <w:rPr>
          <w:rFonts w:ascii="Book Antiqua" w:hAnsi="Book Antiqua" w:cs="Arial"/>
        </w:rPr>
      </w:pPr>
      <w:r w:rsidRPr="00E959C1">
        <w:rPr>
          <w:rFonts w:ascii="Book Antiqua" w:hAnsi="Book Antiqua" w:cstheme="minorHAnsi"/>
        </w:rPr>
        <w:t>Sub-</w:t>
      </w:r>
      <w:r w:rsidR="006026D7" w:rsidRPr="00E959C1">
        <w:rPr>
          <w:rFonts w:ascii="Book Antiqua" w:hAnsi="Book Antiqua" w:cstheme="minorHAnsi"/>
        </w:rPr>
        <w:t xml:space="preserve">section </w:t>
      </w:r>
      <w:r w:rsidRPr="00E959C1">
        <w:rPr>
          <w:rFonts w:ascii="Book Antiqua" w:hAnsi="Book Antiqua" w:cstheme="minorHAnsi"/>
        </w:rPr>
        <w:t xml:space="preserve">(3) confirms that it is </w:t>
      </w:r>
      <w:r w:rsidR="00A16CE0" w:rsidRPr="00E959C1">
        <w:rPr>
          <w:rFonts w:ascii="Book Antiqua" w:hAnsi="Book Antiqua" w:cstheme="minorHAnsi"/>
        </w:rPr>
        <w:t>in the public interest that a person seeking to remain in the UK is financially independent.  I accept that the Appellant is financially independent</w:t>
      </w:r>
      <w:r w:rsidR="00FE107C" w:rsidRPr="00E959C1">
        <w:rPr>
          <w:rFonts w:ascii="Book Antiqua" w:hAnsi="Book Antiqua" w:cstheme="minorHAnsi"/>
        </w:rPr>
        <w:t xml:space="preserve">, although that is a neutral factor in the balancing exercise.  </w:t>
      </w:r>
    </w:p>
    <w:p w14:paraId="00305BCC" w14:textId="47A71D2A" w:rsidR="00A32347" w:rsidRPr="00E959C1" w:rsidRDefault="00A32347" w:rsidP="005E5DFF">
      <w:pPr>
        <w:numPr>
          <w:ilvl w:val="0"/>
          <w:numId w:val="3"/>
        </w:numPr>
        <w:spacing w:before="240"/>
        <w:jc w:val="both"/>
        <w:rPr>
          <w:rFonts w:ascii="Book Antiqua" w:hAnsi="Book Antiqua" w:cs="Arial"/>
        </w:rPr>
      </w:pPr>
      <w:r w:rsidRPr="00E959C1">
        <w:rPr>
          <w:rFonts w:ascii="Book Antiqua" w:hAnsi="Book Antiqua" w:cstheme="minorHAnsi"/>
        </w:rPr>
        <w:lastRenderedPageBreak/>
        <w:t>Sub-</w:t>
      </w:r>
      <w:r w:rsidR="006026D7" w:rsidRPr="00E959C1">
        <w:rPr>
          <w:rFonts w:ascii="Book Antiqua" w:hAnsi="Book Antiqua" w:cstheme="minorHAnsi"/>
        </w:rPr>
        <w:t xml:space="preserve">section </w:t>
      </w:r>
      <w:r w:rsidRPr="00E959C1">
        <w:rPr>
          <w:rFonts w:ascii="Book Antiqua" w:hAnsi="Book Antiqua" w:cstheme="minorHAnsi"/>
        </w:rPr>
        <w:t>(4) is not applicable in this case, as the Appellant has not been in the UK unlawfully.  Sub-</w:t>
      </w:r>
      <w:r w:rsidR="006026D7" w:rsidRPr="00E959C1">
        <w:rPr>
          <w:rFonts w:ascii="Book Antiqua" w:hAnsi="Book Antiqua" w:cstheme="minorHAnsi"/>
        </w:rPr>
        <w:t xml:space="preserve">section </w:t>
      </w:r>
      <w:r w:rsidRPr="00E959C1">
        <w:rPr>
          <w:rFonts w:ascii="Book Antiqua" w:hAnsi="Book Antiqua" w:cstheme="minorHAnsi"/>
        </w:rPr>
        <w:t>(5) confirms that little weight should be given to a private life established by a person whose</w:t>
      </w:r>
      <w:r w:rsidR="00640E63" w:rsidRPr="00E959C1">
        <w:rPr>
          <w:rFonts w:ascii="Book Antiqua" w:hAnsi="Book Antiqua" w:cstheme="minorHAnsi"/>
        </w:rPr>
        <w:t xml:space="preserve"> </w:t>
      </w:r>
      <w:r w:rsidRPr="00E959C1">
        <w:rPr>
          <w:rFonts w:ascii="Book Antiqua" w:hAnsi="Book Antiqua" w:cstheme="minorHAnsi"/>
        </w:rPr>
        <w:t xml:space="preserve">immigration status is precarious.  The Appellant’s immigration status has been precarious in that he has only ever had limited leave to remain.  This is not however a case based upon his private life, to which I find I must attach little weight because of his immigration status.  </w:t>
      </w:r>
    </w:p>
    <w:p w14:paraId="72CB8413" w14:textId="333A5152" w:rsidR="00FE107C" w:rsidRPr="00E959C1" w:rsidRDefault="00A32347" w:rsidP="005E5DFF">
      <w:pPr>
        <w:numPr>
          <w:ilvl w:val="0"/>
          <w:numId w:val="3"/>
        </w:numPr>
        <w:spacing w:before="240"/>
        <w:jc w:val="both"/>
        <w:rPr>
          <w:rFonts w:ascii="Book Antiqua" w:hAnsi="Book Antiqua" w:cs="Arial"/>
        </w:rPr>
      </w:pPr>
      <w:r w:rsidRPr="00E959C1">
        <w:rPr>
          <w:rFonts w:ascii="Book Antiqua" w:hAnsi="Book Antiqua" w:cstheme="minorHAnsi"/>
        </w:rPr>
        <w:t>Sub-</w:t>
      </w:r>
      <w:r w:rsidR="006026D7" w:rsidRPr="00E959C1">
        <w:rPr>
          <w:rFonts w:ascii="Book Antiqua" w:hAnsi="Book Antiqua" w:cstheme="minorHAnsi"/>
        </w:rPr>
        <w:t xml:space="preserve">section </w:t>
      </w:r>
      <w:r w:rsidRPr="00E959C1">
        <w:rPr>
          <w:rFonts w:ascii="Book Antiqua" w:hAnsi="Book Antiqua" w:cstheme="minorHAnsi"/>
        </w:rPr>
        <w:t xml:space="preserve">(6) is set out below;  </w:t>
      </w:r>
    </w:p>
    <w:p w14:paraId="0F139A8F" w14:textId="37F6CEE8" w:rsidR="00A32347" w:rsidRPr="00E959C1" w:rsidRDefault="00A32347" w:rsidP="00A32347">
      <w:pPr>
        <w:spacing w:before="240"/>
        <w:ind w:left="1134"/>
        <w:jc w:val="both"/>
        <w:rPr>
          <w:rFonts w:ascii="Book Antiqua" w:hAnsi="Book Antiqua" w:cstheme="minorHAnsi"/>
          <w:sz w:val="22"/>
        </w:rPr>
      </w:pPr>
      <w:r w:rsidRPr="00E959C1">
        <w:rPr>
          <w:rFonts w:ascii="Book Antiqua" w:hAnsi="Book Antiqua" w:cstheme="minorHAnsi"/>
          <w:sz w:val="22"/>
        </w:rPr>
        <w:t xml:space="preserve">In the case of a person who is not liable to deportation, the public interest does not require the person’s removal where -  </w:t>
      </w:r>
    </w:p>
    <w:p w14:paraId="126C758C" w14:textId="1C46152D" w:rsidR="00A32347" w:rsidRPr="00E959C1" w:rsidRDefault="00917044" w:rsidP="00A32347">
      <w:pPr>
        <w:spacing w:before="240"/>
        <w:ind w:left="1701" w:hanging="567"/>
        <w:jc w:val="both"/>
        <w:rPr>
          <w:rFonts w:ascii="Book Antiqua" w:hAnsi="Book Antiqua" w:cstheme="minorHAnsi"/>
          <w:sz w:val="22"/>
        </w:rPr>
      </w:pPr>
      <w:r w:rsidRPr="00E959C1">
        <w:rPr>
          <w:rFonts w:ascii="Book Antiqua" w:hAnsi="Book Antiqua" w:cstheme="minorHAnsi"/>
          <w:sz w:val="22"/>
        </w:rPr>
        <w:t>(a)</w:t>
      </w:r>
      <w:r w:rsidR="00A32347" w:rsidRPr="00E959C1">
        <w:rPr>
          <w:rFonts w:ascii="Book Antiqua" w:hAnsi="Book Antiqua" w:cstheme="minorHAnsi"/>
          <w:sz w:val="22"/>
        </w:rPr>
        <w:tab/>
      </w:r>
      <w:r w:rsidR="00E71FC8" w:rsidRPr="00E959C1">
        <w:rPr>
          <w:rFonts w:ascii="Book Antiqua" w:hAnsi="Book Antiqua" w:cstheme="minorHAnsi"/>
          <w:sz w:val="22"/>
        </w:rPr>
        <w:t xml:space="preserve">the person has a genuine and subsisting parental relationship with a qualifying child, and  </w:t>
      </w:r>
    </w:p>
    <w:p w14:paraId="1BB4297F" w14:textId="56B5ECB1" w:rsidR="00E71FC8" w:rsidRPr="00E959C1" w:rsidRDefault="00917044" w:rsidP="00A32347">
      <w:pPr>
        <w:spacing w:before="240"/>
        <w:ind w:left="1701" w:hanging="567"/>
        <w:jc w:val="both"/>
        <w:rPr>
          <w:rFonts w:ascii="Book Antiqua" w:hAnsi="Book Antiqua" w:cstheme="minorHAnsi"/>
          <w:sz w:val="22"/>
        </w:rPr>
      </w:pPr>
      <w:r w:rsidRPr="00E959C1">
        <w:rPr>
          <w:rFonts w:ascii="Book Antiqua" w:hAnsi="Book Antiqua" w:cstheme="minorHAnsi"/>
          <w:sz w:val="22"/>
        </w:rPr>
        <w:t>(b)</w:t>
      </w:r>
      <w:r w:rsidR="00E71FC8" w:rsidRPr="00E959C1">
        <w:rPr>
          <w:rFonts w:ascii="Book Antiqua" w:hAnsi="Book Antiqua" w:cstheme="minorHAnsi"/>
          <w:sz w:val="22"/>
        </w:rPr>
        <w:tab/>
        <w:t xml:space="preserve">it would not be reasonable to expect the child to leave the United Kingdom.  </w:t>
      </w:r>
    </w:p>
    <w:p w14:paraId="64826599" w14:textId="3929D49A" w:rsidR="002F7A83" w:rsidRPr="00E959C1" w:rsidRDefault="00331F58" w:rsidP="005E5DFF">
      <w:pPr>
        <w:numPr>
          <w:ilvl w:val="0"/>
          <w:numId w:val="3"/>
        </w:numPr>
        <w:spacing w:before="240"/>
        <w:jc w:val="both"/>
        <w:rPr>
          <w:rFonts w:ascii="Book Antiqua" w:hAnsi="Book Antiqua" w:cs="Arial"/>
        </w:rPr>
      </w:pPr>
      <w:r w:rsidRPr="00E959C1">
        <w:rPr>
          <w:rFonts w:ascii="Book Antiqua" w:hAnsi="Book Antiqua" w:cs="Arial"/>
        </w:rPr>
        <w:t xml:space="preserve">Having considered the evidence I conclude that if the Appellant has to leave </w:t>
      </w:r>
      <w:r w:rsidR="006B521C" w:rsidRPr="00E959C1">
        <w:rPr>
          <w:rFonts w:ascii="Book Antiqua" w:hAnsi="Book Antiqua" w:cs="Arial"/>
        </w:rPr>
        <w:t xml:space="preserve">the UK his wife and children will also have to leave.  In my view that was the evidence given by both the Appellant and his wife.  It is clear that the Appellant is the financial provider.  The wife’s evidence was that she would not be able to financially support herself and the children without the Appellant in the UK.  </w:t>
      </w:r>
      <w:r w:rsidR="00A64DE8" w:rsidRPr="00E959C1">
        <w:rPr>
          <w:rFonts w:ascii="Book Antiqua" w:hAnsi="Book Antiqua" w:cs="Arial"/>
        </w:rPr>
        <w:t xml:space="preserve">I </w:t>
      </w:r>
      <w:r w:rsidR="0066429C" w:rsidRPr="00E959C1">
        <w:rPr>
          <w:rFonts w:ascii="Book Antiqua" w:hAnsi="Book Antiqua" w:cs="Arial"/>
        </w:rPr>
        <w:t xml:space="preserve">therefore must consider whether it would be reasonable for the children to leave the UK.  </w:t>
      </w:r>
      <w:r w:rsidR="003E7ED9" w:rsidRPr="00E959C1">
        <w:rPr>
          <w:rFonts w:ascii="Book Antiqua" w:hAnsi="Book Antiqua" w:cs="Arial"/>
        </w:rPr>
        <w:t>I follow</w:t>
      </w:r>
      <w:r w:rsidR="00A64DE8" w:rsidRPr="00E959C1">
        <w:rPr>
          <w:rFonts w:ascii="Book Antiqua" w:hAnsi="Book Antiqua" w:cs="Arial"/>
        </w:rPr>
        <w:t xml:space="preserve"> </w:t>
      </w:r>
      <w:r w:rsidR="003E7ED9" w:rsidRPr="00E959C1">
        <w:rPr>
          <w:rFonts w:ascii="Book Antiqua" w:hAnsi="Book Antiqua" w:cstheme="minorHAnsi"/>
        </w:rPr>
        <w:t xml:space="preserve">the guidance given in </w:t>
      </w:r>
      <w:r w:rsidR="003E7ED9" w:rsidRPr="00E959C1">
        <w:rPr>
          <w:rFonts w:ascii="Book Antiqua" w:hAnsi="Book Antiqua" w:cstheme="minorHAnsi"/>
          <w:u w:val="single"/>
        </w:rPr>
        <w:t>MA</w:t>
      </w:r>
      <w:r w:rsidR="003E7ED9" w:rsidRPr="00E959C1">
        <w:rPr>
          <w:rFonts w:ascii="Book Antiqua" w:hAnsi="Book Antiqua" w:cstheme="minorHAnsi"/>
        </w:rPr>
        <w:t xml:space="preserve"> (Pakistan) to the effect that a Tribunal must not focus on the position of the children alone, but must have regard to the wider public interest, including the immigration history, if relevant, of the parents.  </w:t>
      </w:r>
    </w:p>
    <w:p w14:paraId="3D3C1249" w14:textId="08CB7BB3" w:rsidR="003E7ED9" w:rsidRPr="00E959C1" w:rsidRDefault="003E7ED9" w:rsidP="005E5DFF">
      <w:pPr>
        <w:numPr>
          <w:ilvl w:val="0"/>
          <w:numId w:val="3"/>
        </w:numPr>
        <w:spacing w:before="240"/>
        <w:jc w:val="both"/>
        <w:rPr>
          <w:rFonts w:ascii="Book Antiqua" w:hAnsi="Book Antiqua" w:cs="Arial"/>
        </w:rPr>
      </w:pPr>
      <w:r w:rsidRPr="00E959C1">
        <w:rPr>
          <w:rFonts w:ascii="Book Antiqua" w:hAnsi="Book Antiqua" w:cstheme="minorHAnsi"/>
        </w:rPr>
        <w:t xml:space="preserve">The fact that the children are British is a weighty consideration and was described in </w:t>
      </w:r>
      <w:r w:rsidRPr="00E959C1">
        <w:rPr>
          <w:rFonts w:ascii="Book Antiqua" w:hAnsi="Book Antiqua" w:cstheme="minorHAnsi"/>
          <w:u w:val="single"/>
        </w:rPr>
        <w:t>ZH</w:t>
      </w:r>
      <w:r w:rsidRPr="00E959C1">
        <w:rPr>
          <w:rFonts w:ascii="Book Antiqua" w:hAnsi="Book Antiqua" w:cstheme="minorHAnsi"/>
        </w:rPr>
        <w:t xml:space="preserve"> (Tanzania) [2011]</w:t>
      </w:r>
      <w:r w:rsidR="000C6A73" w:rsidRPr="00E959C1">
        <w:rPr>
          <w:rFonts w:ascii="Book Antiqua" w:hAnsi="Book Antiqua" w:cstheme="minorHAnsi"/>
        </w:rPr>
        <w:t xml:space="preserve"> </w:t>
      </w:r>
      <w:r w:rsidRPr="00E959C1">
        <w:rPr>
          <w:rFonts w:ascii="Book Antiqua" w:hAnsi="Book Antiqua" w:cstheme="minorHAnsi"/>
        </w:rPr>
        <w:t xml:space="preserve">UKSC 4 as being of particular importance.  </w:t>
      </w:r>
    </w:p>
    <w:p w14:paraId="0DEB6562" w14:textId="784B54FA" w:rsidR="003E7ED9" w:rsidRPr="00E959C1" w:rsidRDefault="003E7ED9" w:rsidP="005E5DFF">
      <w:pPr>
        <w:numPr>
          <w:ilvl w:val="0"/>
          <w:numId w:val="3"/>
        </w:numPr>
        <w:spacing w:before="240"/>
        <w:jc w:val="both"/>
        <w:rPr>
          <w:rFonts w:ascii="Book Antiqua" w:hAnsi="Book Antiqua" w:cs="Arial"/>
        </w:rPr>
      </w:pPr>
      <w:r w:rsidRPr="00E959C1">
        <w:rPr>
          <w:rFonts w:ascii="Book Antiqua" w:hAnsi="Book Antiqua" w:cstheme="minorHAnsi"/>
        </w:rPr>
        <w:t xml:space="preserve">At paragraph </w:t>
      </w:r>
      <w:r w:rsidR="004343CB" w:rsidRPr="00E959C1">
        <w:rPr>
          <w:rFonts w:ascii="Book Antiqua" w:hAnsi="Book Antiqua" w:cstheme="minorHAnsi"/>
        </w:rPr>
        <w:t xml:space="preserve">49 of </w:t>
      </w:r>
      <w:r w:rsidR="004343CB" w:rsidRPr="00E959C1">
        <w:rPr>
          <w:rFonts w:ascii="Book Antiqua" w:hAnsi="Book Antiqua" w:cstheme="minorHAnsi"/>
          <w:u w:val="single"/>
        </w:rPr>
        <w:t>MA</w:t>
      </w:r>
      <w:r w:rsidR="004343CB" w:rsidRPr="00E959C1">
        <w:rPr>
          <w:rFonts w:ascii="Book Antiqua" w:hAnsi="Book Antiqua" w:cstheme="minorHAnsi"/>
        </w:rPr>
        <w:t xml:space="preserve"> (Pakistan) guidance is given that in relation to a qualifying child by reason of in excess of seven years’ residence, </w:t>
      </w:r>
      <w:r w:rsidR="00D22F00" w:rsidRPr="00E959C1">
        <w:rPr>
          <w:rFonts w:ascii="Book Antiqua" w:hAnsi="Book Antiqua" w:cstheme="minorHAnsi"/>
        </w:rPr>
        <w:t xml:space="preserve">the residence must be given </w:t>
      </w:r>
      <w:r w:rsidR="00F42787" w:rsidRPr="00E959C1">
        <w:rPr>
          <w:rFonts w:ascii="Book Antiqua" w:hAnsi="Book Antiqua" w:cstheme="minorHAnsi"/>
        </w:rPr>
        <w:t xml:space="preserve">significant weight in the proportionality </w:t>
      </w:r>
      <w:r w:rsidR="00C366D5" w:rsidRPr="00E959C1">
        <w:rPr>
          <w:rFonts w:ascii="Book Antiqua" w:hAnsi="Book Antiqua" w:cstheme="minorHAnsi"/>
        </w:rPr>
        <w:t xml:space="preserve">exercise for two related reasons.  Firstly because of its relevance in determining the nature and strength of the best interests of a child, and secondly because it establishes as a starting point that leave should be granted </w:t>
      </w:r>
      <w:r w:rsidR="00C47560" w:rsidRPr="00E959C1">
        <w:rPr>
          <w:rFonts w:ascii="Book Antiqua" w:hAnsi="Book Antiqua" w:cstheme="minorHAnsi"/>
        </w:rPr>
        <w:t xml:space="preserve">unless there are powerful reasons to the contrary.  </w:t>
      </w:r>
    </w:p>
    <w:p w14:paraId="7D07EFEE" w14:textId="75E36AAA" w:rsidR="00C47560" w:rsidRPr="00E959C1" w:rsidRDefault="00C47560" w:rsidP="005E5DFF">
      <w:pPr>
        <w:numPr>
          <w:ilvl w:val="0"/>
          <w:numId w:val="3"/>
        </w:numPr>
        <w:spacing w:before="240"/>
        <w:jc w:val="both"/>
        <w:rPr>
          <w:rFonts w:ascii="Book Antiqua" w:hAnsi="Book Antiqua" w:cs="Arial"/>
        </w:rPr>
      </w:pPr>
      <w:r w:rsidRPr="00E959C1">
        <w:rPr>
          <w:rFonts w:ascii="Book Antiqua" w:hAnsi="Book Antiqua" w:cstheme="minorHAnsi"/>
        </w:rPr>
        <w:t xml:space="preserve">In </w:t>
      </w:r>
      <w:r w:rsidRPr="00E959C1">
        <w:rPr>
          <w:rFonts w:ascii="Book Antiqua" w:hAnsi="Book Antiqua" w:cstheme="minorHAnsi"/>
          <w:u w:val="single"/>
        </w:rPr>
        <w:t>MT and ET</w:t>
      </w:r>
      <w:r w:rsidRPr="00E959C1">
        <w:rPr>
          <w:rFonts w:ascii="Book Antiqua" w:hAnsi="Book Antiqua" w:cstheme="minorHAnsi"/>
        </w:rPr>
        <w:t xml:space="preserve"> at paragraph 34 the Upper Tribunal decided that on the facts of that case, there were no such powerful reasons.  The parent in that case had committed a criminal offence and received a community order for using a false document to obtain employment, had</w:t>
      </w:r>
      <w:r w:rsidR="006A3F66" w:rsidRPr="00E959C1">
        <w:rPr>
          <w:rFonts w:ascii="Book Antiqua" w:hAnsi="Book Antiqua" w:cstheme="minorHAnsi"/>
        </w:rPr>
        <w:t xml:space="preserve"> </w:t>
      </w:r>
      <w:r w:rsidRPr="00E959C1">
        <w:rPr>
          <w:rFonts w:ascii="Book Antiqua" w:hAnsi="Book Antiqua" w:cstheme="minorHAnsi"/>
        </w:rPr>
        <w:t>overstayed having been granted entry clearance as a visit</w:t>
      </w:r>
      <w:r w:rsidR="00676FBE">
        <w:rPr>
          <w:rFonts w:ascii="Book Antiqua" w:hAnsi="Book Antiqua" w:cstheme="minorHAnsi"/>
        </w:rPr>
        <w:t>or</w:t>
      </w:r>
      <w:r w:rsidRPr="00E959C1">
        <w:rPr>
          <w:rFonts w:ascii="Book Antiqua" w:hAnsi="Book Antiqua" w:cstheme="minorHAnsi"/>
        </w:rPr>
        <w:t>,</w:t>
      </w:r>
      <w:r w:rsidR="00676FBE">
        <w:rPr>
          <w:rFonts w:ascii="Book Antiqua" w:hAnsi="Book Antiqua" w:cstheme="minorHAnsi"/>
        </w:rPr>
        <w:t xml:space="preserve"> and</w:t>
      </w:r>
      <w:r w:rsidRPr="00E959C1">
        <w:rPr>
          <w:rFonts w:ascii="Book Antiqua" w:hAnsi="Book Antiqua" w:cstheme="minorHAnsi"/>
        </w:rPr>
        <w:t xml:space="preserve"> made an asylum claim that was found to be false.  That immigration history was found to be “not so bad as to constitute the kind of powerful reason that would render reasonable the removal of ET to Nigeria.”  </w:t>
      </w:r>
    </w:p>
    <w:p w14:paraId="18DCA87F" w14:textId="14D08A88" w:rsidR="00C47560" w:rsidRPr="00E959C1" w:rsidRDefault="00C47560" w:rsidP="005E5DFF">
      <w:pPr>
        <w:numPr>
          <w:ilvl w:val="0"/>
          <w:numId w:val="3"/>
        </w:numPr>
        <w:spacing w:before="240"/>
        <w:jc w:val="both"/>
        <w:rPr>
          <w:rFonts w:ascii="Book Antiqua" w:hAnsi="Book Antiqua" w:cs="Arial"/>
        </w:rPr>
      </w:pPr>
      <w:r w:rsidRPr="00E959C1">
        <w:rPr>
          <w:rFonts w:ascii="Book Antiqua" w:hAnsi="Book Antiqua" w:cstheme="minorHAnsi"/>
        </w:rPr>
        <w:t xml:space="preserve">I also take into account </w:t>
      </w:r>
      <w:r w:rsidRPr="00E959C1">
        <w:rPr>
          <w:rFonts w:ascii="Book Antiqua" w:hAnsi="Book Antiqua" w:cstheme="minorHAnsi"/>
          <w:u w:val="single"/>
        </w:rPr>
        <w:t xml:space="preserve">SF and </w:t>
      </w:r>
      <w:r w:rsidR="00106CC0" w:rsidRPr="00E959C1">
        <w:rPr>
          <w:rFonts w:ascii="Book Antiqua" w:hAnsi="Book Antiqua" w:cstheme="minorHAnsi"/>
          <w:u w:val="single"/>
        </w:rPr>
        <w:t>others</w:t>
      </w:r>
      <w:r w:rsidR="00106CC0" w:rsidRPr="00E959C1">
        <w:rPr>
          <w:rFonts w:ascii="Book Antiqua" w:hAnsi="Book Antiqua" w:cstheme="minorHAnsi"/>
        </w:rPr>
        <w:t xml:space="preserve"> </w:t>
      </w:r>
      <w:r w:rsidR="002274D7" w:rsidRPr="00E959C1">
        <w:rPr>
          <w:rFonts w:ascii="Book Antiqua" w:hAnsi="Book Antiqua" w:cstheme="minorHAnsi"/>
        </w:rPr>
        <w:t>(</w:t>
      </w:r>
      <w:r w:rsidRPr="00E959C1">
        <w:rPr>
          <w:rFonts w:ascii="Book Antiqua" w:hAnsi="Book Antiqua" w:cstheme="minorHAnsi"/>
        </w:rPr>
        <w:t>Albania</w:t>
      </w:r>
      <w:r w:rsidR="002274D7" w:rsidRPr="00E959C1">
        <w:rPr>
          <w:rFonts w:ascii="Book Antiqua" w:hAnsi="Book Antiqua" w:cstheme="minorHAnsi"/>
        </w:rPr>
        <w:t>)</w:t>
      </w:r>
      <w:r w:rsidRPr="00E959C1">
        <w:rPr>
          <w:rFonts w:ascii="Book Antiqua" w:hAnsi="Book Antiqua" w:cstheme="minorHAnsi"/>
        </w:rPr>
        <w:t xml:space="preserve"> [2017] UKUT 00120 (IAC) which indicates that a Tribunal ought to take the Secretary of State’s guidance into account if it points clearly to a particular outcome in the instant case.  In this case I find it is </w:t>
      </w:r>
      <w:r w:rsidRPr="00E959C1">
        <w:rPr>
          <w:rFonts w:ascii="Book Antiqua" w:hAnsi="Book Antiqua" w:cstheme="minorHAnsi"/>
        </w:rPr>
        <w:lastRenderedPageBreak/>
        <w:t>appropriate to take the Respondent’s guidance into account.  I refer specifically to page 76 of that guidance.  In summary the guidance is that it will not be reasonable to expect a British citizen child to leave the UK with an applicant parent or primary carer</w:t>
      </w:r>
      <w:r w:rsidR="0093429D" w:rsidRPr="00E959C1">
        <w:rPr>
          <w:rFonts w:ascii="Book Antiqua" w:hAnsi="Book Antiqua" w:cstheme="minorHAnsi"/>
        </w:rPr>
        <w:t xml:space="preserve"> facing removal.  In particular circumstances it may be appropriate</w:t>
      </w:r>
      <w:r w:rsidR="001C6304" w:rsidRPr="00E959C1">
        <w:rPr>
          <w:rFonts w:ascii="Book Antiqua" w:hAnsi="Book Antiqua" w:cstheme="minorHAnsi"/>
        </w:rPr>
        <w:t xml:space="preserve"> to refuse</w:t>
      </w:r>
      <w:r w:rsidR="00D727D3" w:rsidRPr="00E959C1">
        <w:rPr>
          <w:rFonts w:ascii="Book Antiqua" w:hAnsi="Book Antiqua" w:cstheme="minorHAnsi"/>
        </w:rPr>
        <w:t xml:space="preserve"> to grant leave to a parent </w:t>
      </w:r>
      <w:r w:rsidR="00640F67" w:rsidRPr="00E959C1">
        <w:rPr>
          <w:rFonts w:ascii="Book Antiqua" w:hAnsi="Book Antiqua" w:cstheme="minorHAnsi"/>
        </w:rPr>
        <w:t>or primary carer if their conduct gives rise to public interest considerations of such weight as to justify their removal if the British citizen child could remain in the UK with another parent</w:t>
      </w:r>
      <w:r w:rsidR="009210A0" w:rsidRPr="00E959C1">
        <w:rPr>
          <w:rFonts w:ascii="Book Antiqua" w:hAnsi="Book Antiqua" w:cstheme="minorHAnsi"/>
        </w:rPr>
        <w:t xml:space="preserve"> or alternative primary carer.  Those circumstances</w:t>
      </w:r>
      <w:r w:rsidR="006900F3" w:rsidRPr="00E959C1">
        <w:rPr>
          <w:rFonts w:ascii="Book Antiqua" w:hAnsi="Book Antiqua" w:cstheme="minorHAnsi"/>
        </w:rPr>
        <w:t xml:space="preserve"> would be where an applicant parent has committed significant </w:t>
      </w:r>
      <w:r w:rsidR="008E6989" w:rsidRPr="00E959C1">
        <w:rPr>
          <w:rFonts w:ascii="Book Antiqua" w:hAnsi="Book Antiqua" w:cstheme="minorHAnsi"/>
        </w:rPr>
        <w:t xml:space="preserve">or persistent criminal offences falling below </w:t>
      </w:r>
      <w:r w:rsidR="00826C6D" w:rsidRPr="00E959C1">
        <w:rPr>
          <w:rFonts w:ascii="Book Antiqua" w:hAnsi="Book Antiqua" w:cstheme="minorHAnsi"/>
        </w:rPr>
        <w:t>the threshold for deportation</w:t>
      </w:r>
      <w:r w:rsidR="004D2BB9" w:rsidRPr="00E959C1">
        <w:rPr>
          <w:rFonts w:ascii="Book Antiqua" w:hAnsi="Book Antiqua" w:cstheme="minorHAnsi"/>
        </w:rPr>
        <w:t xml:space="preserve"> set out in paragraph 398 of the Immigration Rules, or has a very poor immigration history, having repeatedly and deliberately </w:t>
      </w:r>
      <w:r w:rsidR="002E7C06" w:rsidRPr="00E959C1">
        <w:rPr>
          <w:rFonts w:ascii="Book Antiqua" w:hAnsi="Book Antiqua" w:cstheme="minorHAnsi"/>
        </w:rPr>
        <w:t xml:space="preserve">breached the Immigration Rules.  </w:t>
      </w:r>
    </w:p>
    <w:p w14:paraId="0543BA62" w14:textId="6C1D7BA2" w:rsidR="002E7C06" w:rsidRPr="00E959C1" w:rsidRDefault="002E7C06" w:rsidP="005E5DFF">
      <w:pPr>
        <w:numPr>
          <w:ilvl w:val="0"/>
          <w:numId w:val="3"/>
        </w:numPr>
        <w:spacing w:before="240"/>
        <w:jc w:val="both"/>
        <w:rPr>
          <w:rFonts w:ascii="Book Antiqua" w:hAnsi="Book Antiqua" w:cs="Arial"/>
        </w:rPr>
      </w:pPr>
      <w:r w:rsidRPr="00E959C1">
        <w:rPr>
          <w:rFonts w:ascii="Book Antiqua" w:hAnsi="Book Antiqua" w:cstheme="minorHAnsi"/>
        </w:rPr>
        <w:t>I also take into account</w:t>
      </w:r>
      <w:r w:rsidR="00B93317" w:rsidRPr="00E959C1">
        <w:rPr>
          <w:rFonts w:ascii="Book Antiqua" w:hAnsi="Book Antiqua" w:cstheme="minorHAnsi"/>
        </w:rPr>
        <w:t xml:space="preserve"> that the Appellant was interviewed by an Immigration Officer when he returned to the UK from a holiday on 7</w:t>
      </w:r>
      <w:r w:rsidR="00B93317" w:rsidRPr="00E959C1">
        <w:rPr>
          <w:rFonts w:ascii="Book Antiqua" w:hAnsi="Book Antiqua" w:cstheme="minorHAnsi"/>
          <w:vertAlign w:val="superscript"/>
        </w:rPr>
        <w:t>th</w:t>
      </w:r>
      <w:r w:rsidR="00B93317" w:rsidRPr="00E959C1">
        <w:rPr>
          <w:rFonts w:ascii="Book Antiqua" w:hAnsi="Book Antiqua" w:cstheme="minorHAnsi"/>
        </w:rPr>
        <w:t xml:space="preserve"> August 2014.  The views of the immigration authorities are contained in a CID record contained at page 53 of the Appellant’s bundle.  The Immigration Officer was aware that the Appellant’s ETS certificate had been declared invalid.  The following was found;  </w:t>
      </w:r>
    </w:p>
    <w:p w14:paraId="421CDE9A" w14:textId="6BB4D81A" w:rsidR="00B93317" w:rsidRPr="00E959C1" w:rsidRDefault="00AA5E78" w:rsidP="00B93317">
      <w:pPr>
        <w:spacing w:before="240"/>
        <w:ind w:left="1134"/>
        <w:jc w:val="both"/>
        <w:rPr>
          <w:rFonts w:ascii="Book Antiqua" w:hAnsi="Book Antiqua" w:cs="Arial"/>
        </w:rPr>
      </w:pPr>
      <w:r w:rsidRPr="00E959C1">
        <w:rPr>
          <w:rFonts w:ascii="Book Antiqua" w:hAnsi="Book Antiqua" w:cstheme="minorHAnsi"/>
          <w:sz w:val="22"/>
        </w:rPr>
        <w:t>“In this case the marriage was subsisting before the certificate was obtained.  I am doubtful that the certificate was pertinent to the grant of LTR, rather the subsisting marriage and the best interests of the GBR child were the main factors in the grant, therefore it seems appropriate to r</w:t>
      </w:r>
      <w:r w:rsidR="00DB0FB7" w:rsidRPr="00E959C1">
        <w:rPr>
          <w:rFonts w:ascii="Book Antiqua" w:hAnsi="Book Antiqua" w:cstheme="minorHAnsi"/>
          <w:sz w:val="22"/>
        </w:rPr>
        <w:t>einstate the continuing leave.”</w:t>
      </w:r>
      <w:r w:rsidR="00DB0FB7" w:rsidRPr="00E959C1">
        <w:rPr>
          <w:rFonts w:ascii="Book Antiqua" w:hAnsi="Book Antiqua" w:cstheme="minorHAnsi"/>
        </w:rPr>
        <w:t xml:space="preserve">    </w:t>
      </w:r>
    </w:p>
    <w:p w14:paraId="5139F3C0" w14:textId="6AD46D14" w:rsidR="002F7A83" w:rsidRPr="00E959C1" w:rsidRDefault="00DB0FB7" w:rsidP="005E5DFF">
      <w:pPr>
        <w:numPr>
          <w:ilvl w:val="0"/>
          <w:numId w:val="3"/>
        </w:numPr>
        <w:spacing w:before="240"/>
        <w:jc w:val="both"/>
        <w:rPr>
          <w:rFonts w:ascii="Book Antiqua" w:hAnsi="Book Antiqua" w:cs="Arial"/>
        </w:rPr>
      </w:pPr>
      <w:r w:rsidRPr="00E959C1">
        <w:rPr>
          <w:rFonts w:ascii="Book Antiqua" w:hAnsi="Book Antiqua" w:cs="Arial"/>
        </w:rPr>
        <w:t>I attach significant weight to the fact that the Appellant committed deception in August 2012 by having a proxy test taker undertake an English language test.  This means that the Appellant cannot satisfy the Immigration Rules in order to be granted</w:t>
      </w:r>
      <w:r w:rsidR="00E10FA1" w:rsidRPr="00E959C1">
        <w:rPr>
          <w:rFonts w:ascii="Book Antiqua" w:hAnsi="Book Antiqua" w:cs="Arial"/>
        </w:rPr>
        <w:t xml:space="preserve"> leave to remain and I place significant weight upon that.  </w:t>
      </w:r>
    </w:p>
    <w:p w14:paraId="726998FD" w14:textId="1DFD849D" w:rsidR="00A93C62" w:rsidRPr="00E959C1" w:rsidRDefault="00A93C62" w:rsidP="005E5DFF">
      <w:pPr>
        <w:numPr>
          <w:ilvl w:val="0"/>
          <w:numId w:val="3"/>
        </w:numPr>
        <w:spacing w:before="240"/>
        <w:jc w:val="both"/>
        <w:rPr>
          <w:rFonts w:ascii="Book Antiqua" w:hAnsi="Book Antiqua" w:cs="Arial"/>
        </w:rPr>
      </w:pPr>
      <w:r w:rsidRPr="00E959C1">
        <w:rPr>
          <w:rFonts w:ascii="Book Antiqua" w:hAnsi="Book Antiqua" w:cs="Arial"/>
        </w:rPr>
        <w:t xml:space="preserve">However, in conducting the balancing exercise, I must take into account that the Appellant does not have a criminal record.  He therefore cannot be described as having committed persistent criminal offences, and I find that it cannot be said that he has a very poor immigration history, as it has not been shown that he has repeatedly and deliberately breached the Immigration Rules.  There is one significant breach, which relates </w:t>
      </w:r>
      <w:r w:rsidR="00F235E1" w:rsidRPr="00E959C1">
        <w:rPr>
          <w:rFonts w:ascii="Book Antiqua" w:hAnsi="Book Antiqua" w:cs="Arial"/>
        </w:rPr>
        <w:t xml:space="preserve">to the deception committed in August 2012 and there have been no further breaches of the Immigration Rules since that time.  I conclude that the weight that should be attached to the best interests of the children in remaining </w:t>
      </w:r>
      <w:r w:rsidR="005F01B0" w:rsidRPr="00E959C1">
        <w:rPr>
          <w:rFonts w:ascii="Book Antiqua" w:hAnsi="Book Antiqua" w:cs="Arial"/>
        </w:rPr>
        <w:t xml:space="preserve">in the UK, and their British citizenship, outweighs the weight to be attached to the act of deception almost six years ago, and I find in the circumstances of this case, that it would not be </w:t>
      </w:r>
      <w:r w:rsidR="004C6764" w:rsidRPr="00E959C1">
        <w:rPr>
          <w:rFonts w:ascii="Book Antiqua" w:hAnsi="Book Antiqua" w:cs="Arial"/>
        </w:rPr>
        <w:t xml:space="preserve">reasonable for the children to leave the UK.  </w:t>
      </w:r>
      <w:proofErr w:type="gramStart"/>
      <w:r w:rsidR="004C6764" w:rsidRPr="00E959C1">
        <w:rPr>
          <w:rFonts w:ascii="Book Antiqua" w:hAnsi="Book Antiqua" w:cs="Arial"/>
        </w:rPr>
        <w:t>Therefore</w:t>
      </w:r>
      <w:proofErr w:type="gramEnd"/>
      <w:r w:rsidR="004C6764" w:rsidRPr="00E959C1">
        <w:rPr>
          <w:rFonts w:ascii="Book Antiqua" w:hAnsi="Book Antiqua" w:cs="Arial"/>
        </w:rPr>
        <w:t xml:space="preserve"> the appeal is allowed on that basis with reference to Article 8 of the 1950 Convention.  </w:t>
      </w:r>
      <w:bookmarkStart w:id="3" w:name="Text49"/>
      <w:r w:rsidR="007C7B9F" w:rsidRPr="00E959C1">
        <w:rPr>
          <w:rFonts w:ascii="Book Antiqua" w:hAnsi="Book Antiqua" w:cstheme="minorHAnsi"/>
          <w:noProof/>
        </w:rPr>
        <w:t xml:space="preserve">     </w:t>
      </w:r>
      <w:bookmarkEnd w:id="3"/>
    </w:p>
    <w:p w14:paraId="43E1FC73" w14:textId="77777777" w:rsidR="003101F9" w:rsidRDefault="003101F9" w:rsidP="004C6764">
      <w:pPr>
        <w:spacing w:before="240"/>
        <w:jc w:val="both"/>
        <w:rPr>
          <w:rFonts w:ascii="Book Antiqua" w:hAnsi="Book Antiqua" w:cs="Arial"/>
          <w:b/>
        </w:rPr>
      </w:pPr>
    </w:p>
    <w:p w14:paraId="58D61623" w14:textId="240A8D78" w:rsidR="00F13D39" w:rsidRPr="00E959C1" w:rsidRDefault="00F13D39" w:rsidP="004C6764">
      <w:pPr>
        <w:spacing w:before="240"/>
        <w:jc w:val="both"/>
        <w:rPr>
          <w:rFonts w:ascii="Book Antiqua" w:hAnsi="Book Antiqua" w:cs="Arial"/>
          <w:b/>
        </w:rPr>
      </w:pPr>
      <w:r w:rsidRPr="00E959C1">
        <w:rPr>
          <w:rFonts w:ascii="Book Antiqua" w:hAnsi="Book Antiqua" w:cs="Arial"/>
          <w:b/>
        </w:rPr>
        <w:t xml:space="preserve">Notice of </w:t>
      </w:r>
      <w:r w:rsidR="004C6764" w:rsidRPr="00E959C1">
        <w:rPr>
          <w:rFonts w:ascii="Book Antiqua" w:hAnsi="Book Antiqua" w:cs="Arial"/>
          <w:b/>
        </w:rPr>
        <w:t xml:space="preserve">Decision  </w:t>
      </w:r>
    </w:p>
    <w:p w14:paraId="71D2445E" w14:textId="56621E10" w:rsidR="004C6764" w:rsidRPr="00E959C1" w:rsidRDefault="004C6764" w:rsidP="004C6764">
      <w:pPr>
        <w:spacing w:before="240"/>
        <w:jc w:val="both"/>
        <w:rPr>
          <w:rFonts w:ascii="Book Antiqua" w:hAnsi="Book Antiqua" w:cs="Arial"/>
        </w:rPr>
      </w:pPr>
      <w:r w:rsidRPr="00E959C1">
        <w:rPr>
          <w:rFonts w:ascii="Book Antiqua" w:hAnsi="Book Antiqua" w:cs="Arial"/>
        </w:rPr>
        <w:t>The decision of the First-tier Tribunal involved the making of an error on a</w:t>
      </w:r>
      <w:r w:rsidR="005B5C49" w:rsidRPr="00E959C1">
        <w:rPr>
          <w:rFonts w:ascii="Book Antiqua" w:hAnsi="Book Antiqua" w:cs="Arial"/>
        </w:rPr>
        <w:t xml:space="preserve"> point of law and was set aside.  I substitute a fresh decision as follows.  </w:t>
      </w:r>
    </w:p>
    <w:p w14:paraId="0D2820C9" w14:textId="03443F61" w:rsidR="005B5C49" w:rsidRPr="00E959C1" w:rsidRDefault="005B5C49" w:rsidP="004C6764">
      <w:pPr>
        <w:spacing w:before="240"/>
        <w:jc w:val="both"/>
        <w:rPr>
          <w:rFonts w:ascii="Book Antiqua" w:hAnsi="Book Antiqua" w:cs="Arial"/>
        </w:rPr>
      </w:pPr>
      <w:r w:rsidRPr="00E959C1">
        <w:rPr>
          <w:rFonts w:ascii="Book Antiqua" w:hAnsi="Book Antiqua" w:cs="Arial"/>
        </w:rPr>
        <w:lastRenderedPageBreak/>
        <w:t xml:space="preserve">The appeal is allowed on human rights grounds with reference to Article 8 of the 1950 Convention.  </w:t>
      </w:r>
    </w:p>
    <w:p w14:paraId="714FF352" w14:textId="77777777" w:rsidR="003101F9" w:rsidRDefault="003101F9" w:rsidP="005B5C49">
      <w:pPr>
        <w:spacing w:before="240"/>
        <w:jc w:val="both"/>
        <w:rPr>
          <w:rFonts w:ascii="Book Antiqua" w:hAnsi="Book Antiqua" w:cs="Arial"/>
          <w:b/>
        </w:rPr>
      </w:pPr>
    </w:p>
    <w:p w14:paraId="043EEC25" w14:textId="156225C7" w:rsidR="00F13D39" w:rsidRPr="00E959C1" w:rsidRDefault="00F13D39" w:rsidP="005B5C49">
      <w:pPr>
        <w:spacing w:before="240"/>
        <w:jc w:val="both"/>
        <w:rPr>
          <w:rFonts w:ascii="Book Antiqua" w:hAnsi="Book Antiqua" w:cs="Arial"/>
        </w:rPr>
      </w:pPr>
      <w:r w:rsidRPr="00E959C1">
        <w:rPr>
          <w:rFonts w:ascii="Book Antiqua" w:hAnsi="Book Antiqua" w:cs="Arial"/>
          <w:b/>
        </w:rPr>
        <w:t>Direction Regarding Anonymity – Rule 14 of the Tribunal Procedure (Upper Tribunal) Rules 2008</w:t>
      </w:r>
      <w:r w:rsidR="00162699" w:rsidRPr="00E959C1">
        <w:rPr>
          <w:rFonts w:ascii="Book Antiqua" w:hAnsi="Book Antiqua" w:cs="Arial"/>
          <w:b/>
        </w:rPr>
        <w:t xml:space="preserve">  </w:t>
      </w:r>
    </w:p>
    <w:p w14:paraId="01D90FDE" w14:textId="00EC230D" w:rsidR="00F13D39" w:rsidRPr="00E959C1" w:rsidRDefault="005B5C49" w:rsidP="005B5C49">
      <w:pPr>
        <w:spacing w:before="240"/>
        <w:jc w:val="both"/>
        <w:rPr>
          <w:rFonts w:ascii="Book Antiqua" w:hAnsi="Book Antiqua" w:cs="Arial"/>
        </w:rPr>
      </w:pPr>
      <w:r w:rsidRPr="00E959C1">
        <w:rPr>
          <w:rFonts w:ascii="Book Antiqua" w:hAnsi="Book Antiqua" w:cs="Arial"/>
        </w:rPr>
        <w:t xml:space="preserve">I have decided to make an anonymity direction because this appeal involves considering the best interests of minor children.  </w:t>
      </w:r>
      <w:r w:rsidR="00F13D39" w:rsidRPr="00E959C1">
        <w:rPr>
          <w:rFonts w:ascii="Book Antiqua" w:hAnsi="Book Antiqua" w:cs="Arial"/>
        </w:rPr>
        <w:t xml:space="preserve">Unless and </w:t>
      </w:r>
      <w:r w:rsidR="00F13D39" w:rsidRPr="00E959C1">
        <w:rPr>
          <w:rFonts w:ascii="Book Antiqua" w:hAnsi="Book Antiqua"/>
        </w:rPr>
        <w:t>until a Tribunal or court directs otherwise, the Appellant is granted anonymity.  No report of these proceedings shall directly or indirectl</w:t>
      </w:r>
      <w:r w:rsidRPr="00E959C1">
        <w:rPr>
          <w:rFonts w:ascii="Book Antiqua" w:hAnsi="Book Antiqua"/>
        </w:rPr>
        <w:t xml:space="preserve">y identify him or any member of his </w:t>
      </w:r>
      <w:r w:rsidR="00F13D39" w:rsidRPr="00E959C1">
        <w:rPr>
          <w:rFonts w:ascii="Book Antiqua" w:hAnsi="Book Antiqua"/>
        </w:rPr>
        <w:t>family.  This direction applies both to the Appellant and to the Respondent.  Failure to comply with this direction could lead to contempt of court proceedings.</w:t>
      </w:r>
      <w:r w:rsidR="00307123" w:rsidRPr="00E959C1">
        <w:rPr>
          <w:rFonts w:ascii="Book Antiqua" w:hAnsi="Book Antiqua"/>
        </w:rPr>
        <w:t xml:space="preserve">  </w:t>
      </w:r>
    </w:p>
    <w:p w14:paraId="7F42760F" w14:textId="77777777" w:rsidR="000369F5" w:rsidRPr="00E959C1" w:rsidRDefault="000369F5" w:rsidP="000369F5">
      <w:pPr>
        <w:tabs>
          <w:tab w:val="left" w:pos="2520"/>
        </w:tabs>
        <w:jc w:val="both"/>
        <w:rPr>
          <w:rFonts w:ascii="Book Antiqua" w:hAnsi="Book Antiqua" w:cs="Arial"/>
        </w:rPr>
      </w:pPr>
    </w:p>
    <w:p w14:paraId="2667486D" w14:textId="77777777" w:rsidR="00F13D39" w:rsidRPr="00E959C1" w:rsidRDefault="00F13D39" w:rsidP="000369F5">
      <w:pPr>
        <w:tabs>
          <w:tab w:val="left" w:pos="2520"/>
        </w:tabs>
        <w:jc w:val="both"/>
        <w:rPr>
          <w:rFonts w:ascii="Book Antiqua" w:hAnsi="Book Antiqua" w:cs="Arial"/>
        </w:rPr>
      </w:pPr>
    </w:p>
    <w:p w14:paraId="63523292" w14:textId="6CFD4199" w:rsidR="001F2716" w:rsidRPr="00E959C1" w:rsidRDefault="006E3C90" w:rsidP="000369F5">
      <w:pPr>
        <w:tabs>
          <w:tab w:val="left" w:pos="2520"/>
        </w:tabs>
        <w:jc w:val="both"/>
        <w:rPr>
          <w:rFonts w:ascii="Book Antiqua" w:hAnsi="Book Antiqua" w:cs="Arial"/>
        </w:rPr>
      </w:pPr>
      <w:r w:rsidRPr="00E959C1">
        <w:rPr>
          <w:rFonts w:ascii="Book Antiqua" w:hAnsi="Book Antiqua" w:cs="Arial"/>
        </w:rPr>
        <w:t>Signed</w:t>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001F2716" w:rsidRPr="00E959C1">
        <w:rPr>
          <w:rFonts w:ascii="Book Antiqua" w:hAnsi="Book Antiqua" w:cs="Arial"/>
        </w:rPr>
        <w:t>Date</w:t>
      </w:r>
      <w:r w:rsidR="00307123" w:rsidRPr="00E959C1">
        <w:rPr>
          <w:rFonts w:ascii="Book Antiqua" w:hAnsi="Book Antiqua" w:cs="Arial"/>
        </w:rPr>
        <w:t xml:space="preserve"> 28</w:t>
      </w:r>
      <w:r w:rsidR="00307123" w:rsidRPr="00E959C1">
        <w:rPr>
          <w:rFonts w:ascii="Book Antiqua" w:hAnsi="Book Antiqua" w:cs="Arial"/>
          <w:vertAlign w:val="superscript"/>
        </w:rPr>
        <w:t>th</w:t>
      </w:r>
      <w:r w:rsidR="00307123" w:rsidRPr="00E959C1">
        <w:rPr>
          <w:rFonts w:ascii="Book Antiqua" w:hAnsi="Book Antiqua" w:cs="Arial"/>
        </w:rPr>
        <w:t xml:space="preserve"> June 2018  </w:t>
      </w:r>
    </w:p>
    <w:p w14:paraId="636AF4FC" w14:textId="77777777" w:rsidR="001F2716" w:rsidRPr="00E959C1" w:rsidRDefault="001F2716" w:rsidP="000369F5">
      <w:pPr>
        <w:tabs>
          <w:tab w:val="left" w:pos="2520"/>
        </w:tabs>
        <w:jc w:val="both"/>
        <w:rPr>
          <w:rFonts w:ascii="Book Antiqua" w:hAnsi="Book Antiqua" w:cs="Arial"/>
        </w:rPr>
      </w:pPr>
    </w:p>
    <w:p w14:paraId="15BE4D08" w14:textId="356B5B4A" w:rsidR="005B7789" w:rsidRPr="00E959C1" w:rsidRDefault="00255071" w:rsidP="000369F5">
      <w:pPr>
        <w:tabs>
          <w:tab w:val="left" w:pos="2520"/>
        </w:tabs>
        <w:jc w:val="both"/>
        <w:rPr>
          <w:rFonts w:ascii="Book Antiqua" w:hAnsi="Book Antiqua" w:cs="Arial"/>
        </w:rPr>
      </w:pPr>
      <w:r w:rsidRPr="00E959C1">
        <w:rPr>
          <w:rFonts w:ascii="Book Antiqua" w:hAnsi="Book Antiqua" w:cs="Arial"/>
        </w:rPr>
        <w:t xml:space="preserve">Deputy Upper Tribunal Judge M </w:t>
      </w:r>
      <w:proofErr w:type="gramStart"/>
      <w:r w:rsidRPr="00E959C1">
        <w:rPr>
          <w:rFonts w:ascii="Book Antiqua" w:hAnsi="Book Antiqua" w:cs="Arial"/>
        </w:rPr>
        <w:t>A</w:t>
      </w:r>
      <w:proofErr w:type="gramEnd"/>
      <w:r w:rsidRPr="00E959C1">
        <w:rPr>
          <w:rFonts w:ascii="Book Antiqua" w:hAnsi="Book Antiqua" w:cs="Arial"/>
        </w:rPr>
        <w:t xml:space="preserve"> Hall</w:t>
      </w:r>
      <w:r w:rsidR="00307123" w:rsidRPr="00E959C1">
        <w:rPr>
          <w:rFonts w:ascii="Book Antiqua" w:hAnsi="Book Antiqua" w:cs="Arial"/>
        </w:rPr>
        <w:t xml:space="preserve">  </w:t>
      </w:r>
    </w:p>
    <w:p w14:paraId="409DD797" w14:textId="77777777" w:rsidR="00F13D39" w:rsidRPr="00E959C1" w:rsidRDefault="00F13D39" w:rsidP="000369F5">
      <w:pPr>
        <w:tabs>
          <w:tab w:val="left" w:pos="2520"/>
        </w:tabs>
        <w:jc w:val="both"/>
        <w:rPr>
          <w:rFonts w:ascii="Book Antiqua" w:hAnsi="Book Antiqua" w:cs="Arial"/>
        </w:rPr>
      </w:pPr>
    </w:p>
    <w:p w14:paraId="026491BA" w14:textId="4A5581BC" w:rsidR="00F13D39" w:rsidRDefault="00F13D39" w:rsidP="000369F5">
      <w:pPr>
        <w:tabs>
          <w:tab w:val="left" w:pos="2520"/>
        </w:tabs>
        <w:jc w:val="both"/>
        <w:rPr>
          <w:rFonts w:ascii="Book Antiqua" w:hAnsi="Book Antiqua" w:cs="Arial"/>
        </w:rPr>
      </w:pPr>
    </w:p>
    <w:p w14:paraId="4D5ED5B9" w14:textId="2B5AB30B" w:rsidR="003101F9" w:rsidRDefault="003101F9" w:rsidP="000369F5">
      <w:pPr>
        <w:tabs>
          <w:tab w:val="left" w:pos="2520"/>
        </w:tabs>
        <w:jc w:val="both"/>
        <w:rPr>
          <w:rFonts w:ascii="Book Antiqua" w:hAnsi="Book Antiqua" w:cs="Arial"/>
        </w:rPr>
      </w:pPr>
    </w:p>
    <w:p w14:paraId="519377A0" w14:textId="77777777" w:rsidR="003101F9" w:rsidRPr="00E959C1" w:rsidRDefault="003101F9" w:rsidP="000369F5">
      <w:pPr>
        <w:tabs>
          <w:tab w:val="left" w:pos="2520"/>
        </w:tabs>
        <w:jc w:val="both"/>
        <w:rPr>
          <w:rFonts w:ascii="Book Antiqua" w:hAnsi="Book Antiqua" w:cs="Arial"/>
        </w:rPr>
      </w:pPr>
    </w:p>
    <w:p w14:paraId="67374630" w14:textId="6F592D90" w:rsidR="00F13D39" w:rsidRPr="00E959C1" w:rsidRDefault="00F13D39" w:rsidP="00F13D39">
      <w:pPr>
        <w:jc w:val="both"/>
        <w:rPr>
          <w:rFonts w:ascii="Book Antiqua" w:hAnsi="Book Antiqua" w:cs="Arial"/>
          <w:b/>
        </w:rPr>
      </w:pPr>
      <w:r w:rsidRPr="00E959C1">
        <w:rPr>
          <w:rFonts w:ascii="Book Antiqua" w:hAnsi="Book Antiqua" w:cs="Arial"/>
          <w:b/>
        </w:rPr>
        <w:t>TO THE RESPONDENT</w:t>
      </w:r>
      <w:r w:rsidR="00213338" w:rsidRPr="00E959C1">
        <w:rPr>
          <w:rFonts w:ascii="Book Antiqua" w:hAnsi="Book Antiqua" w:cs="Arial"/>
          <w:b/>
        </w:rPr>
        <w:t xml:space="preserve">  </w:t>
      </w:r>
    </w:p>
    <w:p w14:paraId="4E8C936E" w14:textId="3FC2458E" w:rsidR="00F13D39" w:rsidRPr="00E959C1" w:rsidRDefault="00F13D39" w:rsidP="00F13D39">
      <w:pPr>
        <w:ind w:left="567" w:hanging="567"/>
        <w:jc w:val="both"/>
        <w:rPr>
          <w:rFonts w:ascii="Book Antiqua" w:hAnsi="Book Antiqua" w:cs="Arial"/>
        </w:rPr>
      </w:pPr>
      <w:r w:rsidRPr="00E959C1">
        <w:rPr>
          <w:rFonts w:ascii="Book Antiqua" w:hAnsi="Book Antiqua" w:cs="Arial"/>
          <w:b/>
        </w:rPr>
        <w:t>FEE AWARD</w:t>
      </w:r>
      <w:r w:rsidR="00213338" w:rsidRPr="00E959C1">
        <w:rPr>
          <w:rFonts w:ascii="Book Antiqua" w:hAnsi="Book Antiqua" w:cs="Arial"/>
          <w:b/>
        </w:rPr>
        <w:t xml:space="preserve">  </w:t>
      </w:r>
    </w:p>
    <w:p w14:paraId="0200B456" w14:textId="77777777" w:rsidR="00F13D39" w:rsidRPr="00E959C1" w:rsidRDefault="00F13D39" w:rsidP="00F13D39">
      <w:pPr>
        <w:ind w:left="567" w:hanging="567"/>
        <w:jc w:val="both"/>
        <w:rPr>
          <w:rFonts w:ascii="Book Antiqua" w:hAnsi="Book Antiqua" w:cs="Arial"/>
        </w:rPr>
      </w:pPr>
    </w:p>
    <w:p w14:paraId="7E446F44" w14:textId="1A8DD2ED" w:rsidR="00213338" w:rsidRPr="00E959C1" w:rsidRDefault="00213338" w:rsidP="00F13D39">
      <w:pPr>
        <w:jc w:val="both"/>
        <w:rPr>
          <w:rFonts w:ascii="Book Antiqua" w:hAnsi="Book Antiqua" w:cs="Arial"/>
        </w:rPr>
      </w:pPr>
      <w:r w:rsidRPr="00E959C1">
        <w:rPr>
          <w:rFonts w:ascii="Book Antiqua" w:hAnsi="Book Antiqua" w:cs="Arial"/>
        </w:rPr>
        <w:t>Because I have allowed the appeal I have considered whether to make a fee award.  I</w:t>
      </w:r>
      <w:r w:rsidR="00C02121" w:rsidRPr="00E959C1">
        <w:rPr>
          <w:rFonts w:ascii="Book Antiqua" w:hAnsi="Book Antiqua" w:cs="Arial"/>
        </w:rPr>
        <w:t xml:space="preserve"> </w:t>
      </w:r>
      <w:r w:rsidRPr="00E959C1">
        <w:rPr>
          <w:rFonts w:ascii="Book Antiqua" w:hAnsi="Book Antiqua" w:cs="Arial"/>
        </w:rPr>
        <w:t>make no fee award</w:t>
      </w:r>
      <w:r w:rsidR="00B0459E">
        <w:rPr>
          <w:rFonts w:ascii="Book Antiqua" w:hAnsi="Book Antiqua" w:cs="Arial"/>
        </w:rPr>
        <w:t xml:space="preserve"> as</w:t>
      </w:r>
      <w:r w:rsidRPr="00E959C1">
        <w:rPr>
          <w:rFonts w:ascii="Book Antiqua" w:hAnsi="Book Antiqua" w:cs="Arial"/>
        </w:rPr>
        <w:t xml:space="preserve"> the appeal has been allowed because of evidence presented to the Tribunal that was not before the initial decision maker.  </w:t>
      </w:r>
    </w:p>
    <w:p w14:paraId="0811148B" w14:textId="77777777" w:rsidR="00F13D39" w:rsidRPr="00E959C1" w:rsidRDefault="00F13D39" w:rsidP="00F13D39">
      <w:pPr>
        <w:jc w:val="both"/>
        <w:rPr>
          <w:rFonts w:ascii="Book Antiqua" w:hAnsi="Book Antiqua" w:cs="Arial"/>
        </w:rPr>
      </w:pPr>
    </w:p>
    <w:p w14:paraId="2699B774" w14:textId="77777777" w:rsidR="00F13D39" w:rsidRPr="00E959C1" w:rsidRDefault="00F13D39" w:rsidP="00F13D39">
      <w:pPr>
        <w:jc w:val="both"/>
        <w:rPr>
          <w:rFonts w:ascii="Book Antiqua" w:hAnsi="Book Antiqua" w:cs="Arial"/>
        </w:rPr>
      </w:pPr>
    </w:p>
    <w:p w14:paraId="721F9A81" w14:textId="141A5A56" w:rsidR="00F13D39" w:rsidRPr="00E959C1" w:rsidRDefault="00F13D39" w:rsidP="00F13D39">
      <w:pPr>
        <w:tabs>
          <w:tab w:val="left" w:pos="2520"/>
        </w:tabs>
        <w:jc w:val="both"/>
        <w:rPr>
          <w:rFonts w:ascii="Book Antiqua" w:hAnsi="Book Antiqua" w:cs="Arial"/>
        </w:rPr>
      </w:pPr>
      <w:r w:rsidRPr="00E959C1">
        <w:rPr>
          <w:rFonts w:ascii="Book Antiqua" w:hAnsi="Book Antiqua" w:cs="Arial"/>
        </w:rPr>
        <w:t>Signed</w:t>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r>
      <w:r w:rsidRPr="00E959C1">
        <w:rPr>
          <w:rFonts w:ascii="Book Antiqua" w:hAnsi="Book Antiqua" w:cs="Arial"/>
        </w:rPr>
        <w:tab/>
        <w:t>Date</w:t>
      </w:r>
      <w:r w:rsidR="00213338" w:rsidRPr="00E959C1">
        <w:rPr>
          <w:rFonts w:ascii="Book Antiqua" w:hAnsi="Book Antiqua" w:cs="Arial"/>
        </w:rPr>
        <w:t xml:space="preserve"> 28</w:t>
      </w:r>
      <w:r w:rsidR="00213338" w:rsidRPr="00E959C1">
        <w:rPr>
          <w:rFonts w:ascii="Book Antiqua" w:hAnsi="Book Antiqua" w:cs="Arial"/>
          <w:vertAlign w:val="superscript"/>
        </w:rPr>
        <w:t>th</w:t>
      </w:r>
      <w:r w:rsidR="00213338" w:rsidRPr="00E959C1">
        <w:rPr>
          <w:rFonts w:ascii="Book Antiqua" w:hAnsi="Book Antiqua" w:cs="Arial"/>
        </w:rPr>
        <w:t xml:space="preserve"> June 2018  </w:t>
      </w:r>
    </w:p>
    <w:p w14:paraId="169258A6" w14:textId="77777777" w:rsidR="00F13D39" w:rsidRPr="00E959C1" w:rsidRDefault="00F13D39" w:rsidP="00F13D39">
      <w:pPr>
        <w:tabs>
          <w:tab w:val="left" w:pos="2520"/>
        </w:tabs>
        <w:jc w:val="both"/>
        <w:rPr>
          <w:rFonts w:ascii="Book Antiqua" w:hAnsi="Book Antiqua" w:cs="Arial"/>
        </w:rPr>
      </w:pPr>
    </w:p>
    <w:p w14:paraId="075F9932" w14:textId="64D7E28B" w:rsidR="00C321B5" w:rsidRPr="00E959C1" w:rsidRDefault="00F13D39" w:rsidP="000369F5">
      <w:pPr>
        <w:tabs>
          <w:tab w:val="left" w:pos="2520"/>
        </w:tabs>
        <w:jc w:val="both"/>
        <w:rPr>
          <w:rFonts w:ascii="Book Antiqua" w:hAnsi="Book Antiqua" w:cs="Arial"/>
        </w:rPr>
      </w:pPr>
      <w:r w:rsidRPr="00E959C1">
        <w:rPr>
          <w:rFonts w:ascii="Book Antiqua" w:hAnsi="Book Antiqua" w:cs="Arial"/>
        </w:rPr>
        <w:t xml:space="preserve">Deputy Upper Tribunal Judge M </w:t>
      </w:r>
      <w:proofErr w:type="gramStart"/>
      <w:r w:rsidRPr="00E959C1">
        <w:rPr>
          <w:rFonts w:ascii="Book Antiqua" w:hAnsi="Book Antiqua" w:cs="Arial"/>
        </w:rPr>
        <w:t>A</w:t>
      </w:r>
      <w:proofErr w:type="gramEnd"/>
      <w:r w:rsidRPr="00E959C1">
        <w:rPr>
          <w:rFonts w:ascii="Book Antiqua" w:hAnsi="Book Antiqua" w:cs="Arial"/>
        </w:rPr>
        <w:t xml:space="preserve"> Hall</w:t>
      </w:r>
      <w:r w:rsidR="00E36700" w:rsidRPr="00E959C1">
        <w:rPr>
          <w:rFonts w:ascii="Book Antiqua" w:hAnsi="Book Antiqua" w:cs="Arial"/>
        </w:rPr>
        <w:t xml:space="preserve">  </w:t>
      </w:r>
    </w:p>
    <w:sectPr w:rsidR="00C321B5" w:rsidRPr="00E959C1"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0DB0" w14:textId="77777777" w:rsidR="008A1B02" w:rsidRDefault="008A1B02">
      <w:r>
        <w:separator/>
      </w:r>
    </w:p>
  </w:endnote>
  <w:endnote w:type="continuationSeparator" w:id="0">
    <w:p w14:paraId="4215E50B" w14:textId="77777777" w:rsidR="008A1B02" w:rsidRDefault="008A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6966A" w14:textId="6AADE432" w:rsidR="006B521C" w:rsidRPr="00F5664C" w:rsidRDefault="006B521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02B47">
      <w:rPr>
        <w:rStyle w:val="PageNumber"/>
        <w:rFonts w:ascii="Book Antiqua" w:hAnsi="Book Antiqua" w:cs="Arial"/>
        <w:noProof/>
        <w:sz w:val="16"/>
        <w:szCs w:val="16"/>
      </w:rPr>
      <w:t>11</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93138" w14:textId="77777777" w:rsidR="006B521C" w:rsidRPr="00F5664C" w:rsidRDefault="006B521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40B4" w14:textId="77777777" w:rsidR="008A1B02" w:rsidRDefault="008A1B02">
      <w:r>
        <w:separator/>
      </w:r>
    </w:p>
  </w:footnote>
  <w:footnote w:type="continuationSeparator" w:id="0">
    <w:p w14:paraId="419769C5" w14:textId="77777777" w:rsidR="008A1B02" w:rsidRDefault="008A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4919A" w14:textId="289884B5" w:rsidR="006B521C" w:rsidRPr="00F5664C" w:rsidRDefault="006B521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742FA">
      <w:rPr>
        <w:rFonts w:ascii="Book Antiqua" w:hAnsi="Book Antiqua" w:cs="Arial"/>
        <w:sz w:val="16"/>
        <w:szCs w:val="16"/>
      </w:rPr>
      <w:t>HU/13616/2015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5B0E" w14:textId="669E4AB9" w:rsidR="006B521C" w:rsidRPr="00F5664C" w:rsidRDefault="006B521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FA"/>
    <w:rsid w:val="00000621"/>
    <w:rsid w:val="000036C2"/>
    <w:rsid w:val="000110C5"/>
    <w:rsid w:val="00020F9B"/>
    <w:rsid w:val="00030C00"/>
    <w:rsid w:val="00033D3D"/>
    <w:rsid w:val="0003686A"/>
    <w:rsid w:val="000369F5"/>
    <w:rsid w:val="00047F27"/>
    <w:rsid w:val="00054440"/>
    <w:rsid w:val="00061107"/>
    <w:rsid w:val="00071A7E"/>
    <w:rsid w:val="000746C0"/>
    <w:rsid w:val="00074D1D"/>
    <w:rsid w:val="000808E0"/>
    <w:rsid w:val="00092580"/>
    <w:rsid w:val="000B0B7A"/>
    <w:rsid w:val="000B74F4"/>
    <w:rsid w:val="000C6A73"/>
    <w:rsid w:val="000D01C9"/>
    <w:rsid w:val="000D10BB"/>
    <w:rsid w:val="000D5D94"/>
    <w:rsid w:val="000E0CD7"/>
    <w:rsid w:val="000F1D11"/>
    <w:rsid w:val="00106188"/>
    <w:rsid w:val="00106CC0"/>
    <w:rsid w:val="00111E75"/>
    <w:rsid w:val="00114F8B"/>
    <w:rsid w:val="001165A7"/>
    <w:rsid w:val="00151BB7"/>
    <w:rsid w:val="00162699"/>
    <w:rsid w:val="00164001"/>
    <w:rsid w:val="00167D3A"/>
    <w:rsid w:val="0018543C"/>
    <w:rsid w:val="00186355"/>
    <w:rsid w:val="00187E95"/>
    <w:rsid w:val="00192469"/>
    <w:rsid w:val="00194113"/>
    <w:rsid w:val="001A1E0A"/>
    <w:rsid w:val="001A1E2C"/>
    <w:rsid w:val="001A6385"/>
    <w:rsid w:val="001A68AB"/>
    <w:rsid w:val="001B0E99"/>
    <w:rsid w:val="001C6304"/>
    <w:rsid w:val="001D22E4"/>
    <w:rsid w:val="001E1BEF"/>
    <w:rsid w:val="001F2716"/>
    <w:rsid w:val="001F64DC"/>
    <w:rsid w:val="0020133A"/>
    <w:rsid w:val="00203E6B"/>
    <w:rsid w:val="002070B3"/>
    <w:rsid w:val="00207617"/>
    <w:rsid w:val="00213338"/>
    <w:rsid w:val="002225A1"/>
    <w:rsid w:val="002274D7"/>
    <w:rsid w:val="002274E4"/>
    <w:rsid w:val="002306FB"/>
    <w:rsid w:val="00233D80"/>
    <w:rsid w:val="00243637"/>
    <w:rsid w:val="00244BC9"/>
    <w:rsid w:val="0025293B"/>
    <w:rsid w:val="00255071"/>
    <w:rsid w:val="0026548D"/>
    <w:rsid w:val="002716B8"/>
    <w:rsid w:val="002731E0"/>
    <w:rsid w:val="00280A92"/>
    <w:rsid w:val="00281DA7"/>
    <w:rsid w:val="00283659"/>
    <w:rsid w:val="00287C56"/>
    <w:rsid w:val="00290E98"/>
    <w:rsid w:val="002A2FDB"/>
    <w:rsid w:val="002B5815"/>
    <w:rsid w:val="002C05B8"/>
    <w:rsid w:val="002C0C02"/>
    <w:rsid w:val="002C4E73"/>
    <w:rsid w:val="002D68BF"/>
    <w:rsid w:val="002E57AE"/>
    <w:rsid w:val="002E7C06"/>
    <w:rsid w:val="002F0265"/>
    <w:rsid w:val="002F7A83"/>
    <w:rsid w:val="00307123"/>
    <w:rsid w:val="003101F9"/>
    <w:rsid w:val="00311840"/>
    <w:rsid w:val="003236D3"/>
    <w:rsid w:val="00331F58"/>
    <w:rsid w:val="00336CBF"/>
    <w:rsid w:val="00343F3E"/>
    <w:rsid w:val="003546C8"/>
    <w:rsid w:val="003A287E"/>
    <w:rsid w:val="003A7CF2"/>
    <w:rsid w:val="003C0F85"/>
    <w:rsid w:val="003C3732"/>
    <w:rsid w:val="003C49CE"/>
    <w:rsid w:val="003C5CE5"/>
    <w:rsid w:val="003E267B"/>
    <w:rsid w:val="003E2E71"/>
    <w:rsid w:val="003E7CD1"/>
    <w:rsid w:val="003E7ED9"/>
    <w:rsid w:val="00402B9E"/>
    <w:rsid w:val="00407E24"/>
    <w:rsid w:val="00417398"/>
    <w:rsid w:val="00421799"/>
    <w:rsid w:val="00423932"/>
    <w:rsid w:val="004249CB"/>
    <w:rsid w:val="004343CB"/>
    <w:rsid w:val="0044127D"/>
    <w:rsid w:val="004448DB"/>
    <w:rsid w:val="00446C9A"/>
    <w:rsid w:val="00446EDC"/>
    <w:rsid w:val="00465F8E"/>
    <w:rsid w:val="00477193"/>
    <w:rsid w:val="00483DB2"/>
    <w:rsid w:val="00493D66"/>
    <w:rsid w:val="004A1848"/>
    <w:rsid w:val="004A61C7"/>
    <w:rsid w:val="004B64A9"/>
    <w:rsid w:val="004B7AD9"/>
    <w:rsid w:val="004C0D3A"/>
    <w:rsid w:val="004C6764"/>
    <w:rsid w:val="004D2BB9"/>
    <w:rsid w:val="004E4D90"/>
    <w:rsid w:val="004F1D35"/>
    <w:rsid w:val="004F6B74"/>
    <w:rsid w:val="005016F4"/>
    <w:rsid w:val="005079A9"/>
    <w:rsid w:val="00507FEC"/>
    <w:rsid w:val="00510F0E"/>
    <w:rsid w:val="00511320"/>
    <w:rsid w:val="005437B8"/>
    <w:rsid w:val="005448D3"/>
    <w:rsid w:val="005455C6"/>
    <w:rsid w:val="005479E1"/>
    <w:rsid w:val="00555216"/>
    <w:rsid w:val="005570FD"/>
    <w:rsid w:val="005575EA"/>
    <w:rsid w:val="00563DE0"/>
    <w:rsid w:val="0056483D"/>
    <w:rsid w:val="0056499E"/>
    <w:rsid w:val="00570B49"/>
    <w:rsid w:val="0057790C"/>
    <w:rsid w:val="005818BF"/>
    <w:rsid w:val="00592CF2"/>
    <w:rsid w:val="00593795"/>
    <w:rsid w:val="005A51BE"/>
    <w:rsid w:val="005A72DD"/>
    <w:rsid w:val="005A75FF"/>
    <w:rsid w:val="005A7E30"/>
    <w:rsid w:val="005B5C49"/>
    <w:rsid w:val="005B7789"/>
    <w:rsid w:val="005E586E"/>
    <w:rsid w:val="005E5DFF"/>
    <w:rsid w:val="005E68F2"/>
    <w:rsid w:val="005E697D"/>
    <w:rsid w:val="005F01B0"/>
    <w:rsid w:val="005F2D32"/>
    <w:rsid w:val="005F3316"/>
    <w:rsid w:val="005F7DB4"/>
    <w:rsid w:val="0060175D"/>
    <w:rsid w:val="006026D7"/>
    <w:rsid w:val="00602B47"/>
    <w:rsid w:val="00605335"/>
    <w:rsid w:val="006069B6"/>
    <w:rsid w:val="006224B4"/>
    <w:rsid w:val="00640E63"/>
    <w:rsid w:val="00640F67"/>
    <w:rsid w:val="0065791C"/>
    <w:rsid w:val="0066429C"/>
    <w:rsid w:val="00674707"/>
    <w:rsid w:val="00676D44"/>
    <w:rsid w:val="00676FBE"/>
    <w:rsid w:val="0068420A"/>
    <w:rsid w:val="006900F3"/>
    <w:rsid w:val="00690B8A"/>
    <w:rsid w:val="00695A4F"/>
    <w:rsid w:val="0069680B"/>
    <w:rsid w:val="00697204"/>
    <w:rsid w:val="006A3F66"/>
    <w:rsid w:val="006B521C"/>
    <w:rsid w:val="006D1DFA"/>
    <w:rsid w:val="006D506B"/>
    <w:rsid w:val="006E3C90"/>
    <w:rsid w:val="00704B61"/>
    <w:rsid w:val="00707DB1"/>
    <w:rsid w:val="007313CD"/>
    <w:rsid w:val="007353BB"/>
    <w:rsid w:val="00736DCA"/>
    <w:rsid w:val="00742A8D"/>
    <w:rsid w:val="00752359"/>
    <w:rsid w:val="0075327A"/>
    <w:rsid w:val="007552A9"/>
    <w:rsid w:val="00757DD5"/>
    <w:rsid w:val="00761858"/>
    <w:rsid w:val="00767D59"/>
    <w:rsid w:val="00771866"/>
    <w:rsid w:val="00776E97"/>
    <w:rsid w:val="00780FD7"/>
    <w:rsid w:val="00785C59"/>
    <w:rsid w:val="007904B5"/>
    <w:rsid w:val="007912AD"/>
    <w:rsid w:val="007953F9"/>
    <w:rsid w:val="0079541F"/>
    <w:rsid w:val="00795F84"/>
    <w:rsid w:val="007A1F28"/>
    <w:rsid w:val="007A295D"/>
    <w:rsid w:val="007B0824"/>
    <w:rsid w:val="007C0CD9"/>
    <w:rsid w:val="007C7B9F"/>
    <w:rsid w:val="007E3B18"/>
    <w:rsid w:val="007F166C"/>
    <w:rsid w:val="007F3B0C"/>
    <w:rsid w:val="00811318"/>
    <w:rsid w:val="0081511B"/>
    <w:rsid w:val="0082671B"/>
    <w:rsid w:val="00826C6D"/>
    <w:rsid w:val="008303B8"/>
    <w:rsid w:val="00833DCE"/>
    <w:rsid w:val="00842418"/>
    <w:rsid w:val="00845CA5"/>
    <w:rsid w:val="00860035"/>
    <w:rsid w:val="008634DB"/>
    <w:rsid w:val="00864184"/>
    <w:rsid w:val="00871D34"/>
    <w:rsid w:val="008742FA"/>
    <w:rsid w:val="00887842"/>
    <w:rsid w:val="00887FC5"/>
    <w:rsid w:val="008901DD"/>
    <w:rsid w:val="00894C65"/>
    <w:rsid w:val="008A1B02"/>
    <w:rsid w:val="008B270C"/>
    <w:rsid w:val="008C1D5F"/>
    <w:rsid w:val="008C2ED5"/>
    <w:rsid w:val="008C3D3D"/>
    <w:rsid w:val="008D4131"/>
    <w:rsid w:val="008D5128"/>
    <w:rsid w:val="008D71E9"/>
    <w:rsid w:val="008E6989"/>
    <w:rsid w:val="008F0D03"/>
    <w:rsid w:val="008F1932"/>
    <w:rsid w:val="008F294D"/>
    <w:rsid w:val="008F4E77"/>
    <w:rsid w:val="00905E23"/>
    <w:rsid w:val="009159CF"/>
    <w:rsid w:val="00917044"/>
    <w:rsid w:val="00921062"/>
    <w:rsid w:val="009210A0"/>
    <w:rsid w:val="009211A9"/>
    <w:rsid w:val="009220FF"/>
    <w:rsid w:val="009245F1"/>
    <w:rsid w:val="0092618D"/>
    <w:rsid w:val="0093083E"/>
    <w:rsid w:val="0093429D"/>
    <w:rsid w:val="00954EEC"/>
    <w:rsid w:val="0095614A"/>
    <w:rsid w:val="00961B63"/>
    <w:rsid w:val="0096458D"/>
    <w:rsid w:val="00964DA6"/>
    <w:rsid w:val="00966ECF"/>
    <w:rsid w:val="0096743B"/>
    <w:rsid w:val="009727A3"/>
    <w:rsid w:val="00981F7B"/>
    <w:rsid w:val="00987774"/>
    <w:rsid w:val="0099048C"/>
    <w:rsid w:val="00995CD3"/>
    <w:rsid w:val="009A06E8"/>
    <w:rsid w:val="009A11E8"/>
    <w:rsid w:val="009B7932"/>
    <w:rsid w:val="009D0310"/>
    <w:rsid w:val="009D0C2C"/>
    <w:rsid w:val="009D34E4"/>
    <w:rsid w:val="009E0096"/>
    <w:rsid w:val="009E2E42"/>
    <w:rsid w:val="009E4E62"/>
    <w:rsid w:val="009F1DB5"/>
    <w:rsid w:val="009F5220"/>
    <w:rsid w:val="009F7C4D"/>
    <w:rsid w:val="00A123EF"/>
    <w:rsid w:val="00A13F73"/>
    <w:rsid w:val="00A15234"/>
    <w:rsid w:val="00A16CE0"/>
    <w:rsid w:val="00A201AB"/>
    <w:rsid w:val="00A21795"/>
    <w:rsid w:val="00A31C8B"/>
    <w:rsid w:val="00A32347"/>
    <w:rsid w:val="00A3534F"/>
    <w:rsid w:val="00A5670C"/>
    <w:rsid w:val="00A64DE8"/>
    <w:rsid w:val="00A6715D"/>
    <w:rsid w:val="00A75965"/>
    <w:rsid w:val="00A839F3"/>
    <w:rsid w:val="00A845DC"/>
    <w:rsid w:val="00A85AA3"/>
    <w:rsid w:val="00A8708D"/>
    <w:rsid w:val="00A90C98"/>
    <w:rsid w:val="00A93C62"/>
    <w:rsid w:val="00A97AEE"/>
    <w:rsid w:val="00AA138F"/>
    <w:rsid w:val="00AA29F6"/>
    <w:rsid w:val="00AA5E78"/>
    <w:rsid w:val="00AC5CF6"/>
    <w:rsid w:val="00AD2143"/>
    <w:rsid w:val="00AF0EC8"/>
    <w:rsid w:val="00AF505A"/>
    <w:rsid w:val="00AF5A03"/>
    <w:rsid w:val="00AF623E"/>
    <w:rsid w:val="00B0398A"/>
    <w:rsid w:val="00B04378"/>
    <w:rsid w:val="00B0459E"/>
    <w:rsid w:val="00B12A81"/>
    <w:rsid w:val="00B144FA"/>
    <w:rsid w:val="00B16F58"/>
    <w:rsid w:val="00B30648"/>
    <w:rsid w:val="00B337AA"/>
    <w:rsid w:val="00B3524D"/>
    <w:rsid w:val="00B40F69"/>
    <w:rsid w:val="00B41FE9"/>
    <w:rsid w:val="00B4659E"/>
    <w:rsid w:val="00B46616"/>
    <w:rsid w:val="00B610E3"/>
    <w:rsid w:val="00B61205"/>
    <w:rsid w:val="00B617C4"/>
    <w:rsid w:val="00B626FA"/>
    <w:rsid w:val="00B7040A"/>
    <w:rsid w:val="00B93317"/>
    <w:rsid w:val="00B96FA0"/>
    <w:rsid w:val="00BD0115"/>
    <w:rsid w:val="00BD4196"/>
    <w:rsid w:val="00BD6E90"/>
    <w:rsid w:val="00BE28F6"/>
    <w:rsid w:val="00BE30B6"/>
    <w:rsid w:val="00BE31CE"/>
    <w:rsid w:val="00BE53E5"/>
    <w:rsid w:val="00BF22CA"/>
    <w:rsid w:val="00BF3FAD"/>
    <w:rsid w:val="00C02121"/>
    <w:rsid w:val="00C12474"/>
    <w:rsid w:val="00C161D5"/>
    <w:rsid w:val="00C26032"/>
    <w:rsid w:val="00C265B0"/>
    <w:rsid w:val="00C30662"/>
    <w:rsid w:val="00C321B5"/>
    <w:rsid w:val="00C345E1"/>
    <w:rsid w:val="00C366D5"/>
    <w:rsid w:val="00C41071"/>
    <w:rsid w:val="00C47560"/>
    <w:rsid w:val="00C55D1D"/>
    <w:rsid w:val="00C6320C"/>
    <w:rsid w:val="00C67E19"/>
    <w:rsid w:val="00C977BA"/>
    <w:rsid w:val="00CA66C5"/>
    <w:rsid w:val="00CB6E35"/>
    <w:rsid w:val="00CC5792"/>
    <w:rsid w:val="00CE1A46"/>
    <w:rsid w:val="00CE26B2"/>
    <w:rsid w:val="00CF253F"/>
    <w:rsid w:val="00CF56B4"/>
    <w:rsid w:val="00D05C22"/>
    <w:rsid w:val="00D115CE"/>
    <w:rsid w:val="00D13335"/>
    <w:rsid w:val="00D20F09"/>
    <w:rsid w:val="00D22636"/>
    <w:rsid w:val="00D22F00"/>
    <w:rsid w:val="00D40FD9"/>
    <w:rsid w:val="00D45764"/>
    <w:rsid w:val="00D45A31"/>
    <w:rsid w:val="00D51DCF"/>
    <w:rsid w:val="00D531CF"/>
    <w:rsid w:val="00D53769"/>
    <w:rsid w:val="00D65912"/>
    <w:rsid w:val="00D67474"/>
    <w:rsid w:val="00D727D3"/>
    <w:rsid w:val="00D85C13"/>
    <w:rsid w:val="00D878B8"/>
    <w:rsid w:val="00D90715"/>
    <w:rsid w:val="00D91BE3"/>
    <w:rsid w:val="00D94AFC"/>
    <w:rsid w:val="00DA770C"/>
    <w:rsid w:val="00DB0FB7"/>
    <w:rsid w:val="00DB70AE"/>
    <w:rsid w:val="00DB7231"/>
    <w:rsid w:val="00DC1C00"/>
    <w:rsid w:val="00DD5071"/>
    <w:rsid w:val="00DD5C39"/>
    <w:rsid w:val="00DE26AF"/>
    <w:rsid w:val="00DE4082"/>
    <w:rsid w:val="00DE7DB7"/>
    <w:rsid w:val="00DF6318"/>
    <w:rsid w:val="00E00A0A"/>
    <w:rsid w:val="00E07F57"/>
    <w:rsid w:val="00E1040E"/>
    <w:rsid w:val="00E10FA1"/>
    <w:rsid w:val="00E14A86"/>
    <w:rsid w:val="00E2428D"/>
    <w:rsid w:val="00E302CA"/>
    <w:rsid w:val="00E33250"/>
    <w:rsid w:val="00E34469"/>
    <w:rsid w:val="00E36700"/>
    <w:rsid w:val="00E50BCE"/>
    <w:rsid w:val="00E566B2"/>
    <w:rsid w:val="00E61292"/>
    <w:rsid w:val="00E62971"/>
    <w:rsid w:val="00E71FC8"/>
    <w:rsid w:val="00E72A3C"/>
    <w:rsid w:val="00E76309"/>
    <w:rsid w:val="00E77C4D"/>
    <w:rsid w:val="00E81D01"/>
    <w:rsid w:val="00E83649"/>
    <w:rsid w:val="00E83A92"/>
    <w:rsid w:val="00E93EF4"/>
    <w:rsid w:val="00E959C1"/>
    <w:rsid w:val="00EA37E2"/>
    <w:rsid w:val="00EA6701"/>
    <w:rsid w:val="00EA7B83"/>
    <w:rsid w:val="00EC1D46"/>
    <w:rsid w:val="00EC3DB1"/>
    <w:rsid w:val="00EC5D72"/>
    <w:rsid w:val="00ED17DD"/>
    <w:rsid w:val="00EE3A5F"/>
    <w:rsid w:val="00EE45D8"/>
    <w:rsid w:val="00EE45FA"/>
    <w:rsid w:val="00EF02A1"/>
    <w:rsid w:val="00EF42C4"/>
    <w:rsid w:val="00F004CD"/>
    <w:rsid w:val="00F04E92"/>
    <w:rsid w:val="00F13D39"/>
    <w:rsid w:val="00F22A22"/>
    <w:rsid w:val="00F22EDA"/>
    <w:rsid w:val="00F235E1"/>
    <w:rsid w:val="00F2442D"/>
    <w:rsid w:val="00F25570"/>
    <w:rsid w:val="00F27233"/>
    <w:rsid w:val="00F3224D"/>
    <w:rsid w:val="00F33E0E"/>
    <w:rsid w:val="00F42787"/>
    <w:rsid w:val="00F43286"/>
    <w:rsid w:val="00F45B33"/>
    <w:rsid w:val="00F45D40"/>
    <w:rsid w:val="00F47D37"/>
    <w:rsid w:val="00F5086C"/>
    <w:rsid w:val="00F50E16"/>
    <w:rsid w:val="00F5664C"/>
    <w:rsid w:val="00F57AA9"/>
    <w:rsid w:val="00F8455F"/>
    <w:rsid w:val="00F92165"/>
    <w:rsid w:val="00FA221E"/>
    <w:rsid w:val="00FA2560"/>
    <w:rsid w:val="00FB7E80"/>
    <w:rsid w:val="00FE1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4538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4312</Words>
  <Characters>24580</Characters>
  <Application>Microsoft Office Word</Application>
  <DocSecurity>0</DocSecurity>
  <Lines>204</Lines>
  <Paragraphs>57</Paragraphs>
  <ScaleCrop>false</ScaleCrop>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2018-07-19T13:51:00Z</dcterms:created>
  <dcterms:modified xsi:type="dcterms:W3CDTF">2018-07-19T13:51:00Z</dcterms:modified>
</cp:coreProperties>
</file>