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E432D2" w:rsidRDefault="00177AF7" w:rsidP="00C321B5">
      <w:pPr>
        <w:jc w:val="center"/>
        <w:rPr>
          <w:rFonts w:ascii="Book Antiqua" w:hAnsi="Book Antiqua" w:cs="Arial"/>
          <w:sz w:val="16"/>
          <w:szCs w:val="16"/>
        </w:rPr>
      </w:pPr>
      <w:r w:rsidRPr="00E432D2">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E432D2"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914A5"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F914A5" w:rsidRPr="00F914A5">
        <w:rPr>
          <w:rFonts w:ascii="Book Antiqua" w:hAnsi="Book Antiqua" w:cs="Arial"/>
          <w:caps/>
        </w:rPr>
        <w:t>HU/13818/2015</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6C724D" w:rsidTr="006C724D">
        <w:tc>
          <w:tcPr>
            <w:tcW w:w="6048" w:type="dxa"/>
            <w:shd w:val="clear" w:color="auto" w:fill="auto"/>
          </w:tcPr>
          <w:p w:rsidR="00D22636" w:rsidRPr="006C724D" w:rsidRDefault="00D22636" w:rsidP="006C724D">
            <w:pPr>
              <w:jc w:val="both"/>
              <w:rPr>
                <w:rFonts w:ascii="Book Antiqua" w:hAnsi="Book Antiqua" w:cs="Arial"/>
                <w:b/>
              </w:rPr>
            </w:pPr>
            <w:r w:rsidRPr="006C724D">
              <w:rPr>
                <w:rFonts w:ascii="Book Antiqua" w:hAnsi="Book Antiqua" w:cs="Arial"/>
                <w:b/>
              </w:rPr>
              <w:t xml:space="preserve">Heard at </w:t>
            </w:r>
            <w:r w:rsidR="00FC5D64" w:rsidRPr="006C724D">
              <w:rPr>
                <w:rFonts w:ascii="Book Antiqua" w:hAnsi="Book Antiqua" w:cs="Arial"/>
                <w:b/>
              </w:rPr>
              <w:t>Field House</w:t>
            </w:r>
          </w:p>
        </w:tc>
        <w:tc>
          <w:tcPr>
            <w:tcW w:w="3960" w:type="dxa"/>
            <w:shd w:val="clear" w:color="auto" w:fill="auto"/>
          </w:tcPr>
          <w:p w:rsidR="00D22636" w:rsidRPr="006C724D" w:rsidRDefault="00F13D39" w:rsidP="006C724D">
            <w:pPr>
              <w:jc w:val="both"/>
              <w:rPr>
                <w:rFonts w:ascii="Book Antiqua" w:hAnsi="Book Antiqua" w:cs="Arial"/>
                <w:b/>
              </w:rPr>
            </w:pPr>
            <w:r w:rsidRPr="006C724D">
              <w:rPr>
                <w:rFonts w:ascii="Book Antiqua" w:hAnsi="Book Antiqua" w:cs="Arial"/>
                <w:b/>
              </w:rPr>
              <w:t>Decision &amp; Reasons</w:t>
            </w:r>
            <w:r w:rsidR="00283659" w:rsidRPr="006C724D">
              <w:rPr>
                <w:rFonts w:ascii="Book Antiqua" w:hAnsi="Book Antiqua" w:cs="Arial"/>
                <w:b/>
              </w:rPr>
              <w:t xml:space="preserve"> Promulgated</w:t>
            </w:r>
          </w:p>
        </w:tc>
      </w:tr>
      <w:tr w:rsidR="00D22636" w:rsidRPr="006C724D" w:rsidTr="006C724D">
        <w:tc>
          <w:tcPr>
            <w:tcW w:w="6048" w:type="dxa"/>
            <w:shd w:val="clear" w:color="auto" w:fill="auto"/>
          </w:tcPr>
          <w:p w:rsidR="00D22636" w:rsidRPr="006C724D" w:rsidRDefault="00D22636" w:rsidP="006C724D">
            <w:pPr>
              <w:jc w:val="both"/>
              <w:rPr>
                <w:rFonts w:ascii="Book Antiqua" w:hAnsi="Book Antiqua" w:cs="Arial"/>
                <w:b/>
              </w:rPr>
            </w:pPr>
            <w:r w:rsidRPr="006C724D">
              <w:rPr>
                <w:rFonts w:ascii="Book Antiqua" w:hAnsi="Book Antiqua" w:cs="Arial"/>
                <w:b/>
              </w:rPr>
              <w:t xml:space="preserve">On </w:t>
            </w:r>
            <w:r w:rsidR="00F914A5" w:rsidRPr="006C724D">
              <w:rPr>
                <w:rFonts w:ascii="Book Antiqua" w:hAnsi="Book Antiqua" w:cs="Arial"/>
                <w:b/>
              </w:rPr>
              <w:t>16</w:t>
            </w:r>
            <w:r w:rsidR="00F914A5" w:rsidRPr="006C724D">
              <w:rPr>
                <w:rFonts w:ascii="Book Antiqua" w:hAnsi="Book Antiqua" w:cs="Arial"/>
                <w:b/>
                <w:vertAlign w:val="superscript"/>
              </w:rPr>
              <w:t>th</w:t>
            </w:r>
            <w:r w:rsidR="00F914A5" w:rsidRPr="006C724D">
              <w:rPr>
                <w:rFonts w:ascii="Book Antiqua" w:hAnsi="Book Antiqua" w:cs="Arial"/>
                <w:b/>
              </w:rPr>
              <w:t xml:space="preserve"> July 2018 </w:t>
            </w:r>
          </w:p>
        </w:tc>
        <w:tc>
          <w:tcPr>
            <w:tcW w:w="3960" w:type="dxa"/>
            <w:shd w:val="clear" w:color="auto" w:fill="auto"/>
          </w:tcPr>
          <w:p w:rsidR="00D22636" w:rsidRPr="006C724D" w:rsidRDefault="003456EC" w:rsidP="006C724D">
            <w:pPr>
              <w:jc w:val="both"/>
              <w:rPr>
                <w:rFonts w:ascii="Book Antiqua" w:hAnsi="Book Antiqua" w:cs="Arial"/>
                <w:b/>
              </w:rPr>
            </w:pPr>
            <w:r>
              <w:rPr>
                <w:rFonts w:ascii="Book Antiqua" w:hAnsi="Book Antiqua" w:cs="Arial"/>
                <w:b/>
              </w:rPr>
              <w:t>On 26</w:t>
            </w:r>
            <w:r w:rsidRPr="003456EC">
              <w:rPr>
                <w:rFonts w:ascii="Book Antiqua" w:hAnsi="Book Antiqua" w:cs="Arial"/>
                <w:b/>
                <w:vertAlign w:val="superscript"/>
              </w:rPr>
              <w:t>th</w:t>
            </w:r>
            <w:r>
              <w:rPr>
                <w:rFonts w:ascii="Book Antiqua" w:hAnsi="Book Antiqua" w:cs="Arial"/>
                <w:b/>
              </w:rPr>
              <w:t xml:space="preserve"> July 2018</w:t>
            </w: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E1040E">
        <w:rPr>
          <w:rFonts w:ascii="Book Antiqua" w:hAnsi="Book Antiqua" w:cs="Arial"/>
          <w:b/>
        </w:rPr>
        <w:t>JUDGE MA</w:t>
      </w:r>
      <w:r w:rsidR="00055F19">
        <w:rPr>
          <w:rFonts w:ascii="Book Antiqua" w:hAnsi="Book Antiqua" w:cs="Arial"/>
          <w:b/>
        </w:rPr>
        <w:t>RTIN</w:t>
      </w:r>
    </w:p>
    <w:p w:rsidR="00B16F58" w:rsidRDefault="00B16F58" w:rsidP="00A15234">
      <w:pPr>
        <w:jc w:val="center"/>
        <w:rPr>
          <w:rFonts w:ascii="Book Antiqua" w:hAnsi="Book Antiqua" w:cs="Arial"/>
          <w:b/>
        </w:rPr>
      </w:pPr>
    </w:p>
    <w:p w:rsidR="00E432D2" w:rsidRPr="00F5664C" w:rsidRDefault="00E432D2"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F13D39" w:rsidRDefault="00F914A5" w:rsidP="00F13D39">
      <w:pPr>
        <w:jc w:val="center"/>
        <w:rPr>
          <w:rFonts w:ascii="Book Antiqua" w:hAnsi="Book Antiqua" w:cs="Arial"/>
          <w:b/>
          <w:caps/>
        </w:rPr>
      </w:pPr>
      <w:r>
        <w:rPr>
          <w:rFonts w:ascii="Book Antiqua" w:hAnsi="Book Antiqua" w:cs="Arial"/>
          <w:b/>
          <w:caps/>
        </w:rPr>
        <w:t>the Secretary of State for the Home Department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F914A5" w:rsidRPr="00F914A5" w:rsidRDefault="00F914A5" w:rsidP="00F914A5">
      <w:pPr>
        <w:jc w:val="center"/>
        <w:rPr>
          <w:rFonts w:ascii="Book Antiqua" w:hAnsi="Book Antiqua" w:cs="Arial"/>
          <w:b/>
          <w:caps/>
        </w:rPr>
      </w:pPr>
      <w:r w:rsidRPr="00F914A5">
        <w:rPr>
          <w:rFonts w:ascii="Book Antiqua" w:hAnsi="Book Antiqua" w:cs="Arial"/>
          <w:b/>
          <w:caps/>
        </w:rPr>
        <w:t>Khawer</w:t>
      </w:r>
      <w:r>
        <w:rPr>
          <w:rFonts w:ascii="Book Antiqua" w:hAnsi="Book Antiqua" w:cs="Arial"/>
          <w:b/>
          <w:caps/>
        </w:rPr>
        <w:t xml:space="preserve"> hussain</w:t>
      </w:r>
    </w:p>
    <w:p w:rsidR="00DD5071" w:rsidRPr="00F5664C" w:rsidRDefault="00F914A5" w:rsidP="00F914A5">
      <w:pPr>
        <w:jc w:val="center"/>
        <w:rPr>
          <w:rFonts w:ascii="Book Antiqua" w:hAnsi="Book Antiqua" w:cs="Arial"/>
          <w:b/>
          <w:caps/>
        </w:rPr>
      </w:pPr>
      <w:r w:rsidRPr="00F13D39">
        <w:rPr>
          <w:rFonts w:ascii="Book Antiqua" w:hAnsi="Book Antiqua" w:cs="Arial"/>
          <w:b/>
          <w:caps/>
        </w:rPr>
        <w:t xml:space="preserve">(ANONYMITY DIRECTION </w:t>
      </w:r>
      <w:r>
        <w:rPr>
          <w:rFonts w:ascii="Book Antiqua" w:hAnsi="Book Antiqua" w:cs="Arial"/>
          <w:b/>
          <w:caps/>
        </w:rPr>
        <w:t>not made</w:t>
      </w:r>
      <w:r w:rsidRPr="00F13D39">
        <w:rPr>
          <w:rFonts w:ascii="Book Antiqua" w:hAnsi="Book Antiqua" w:cs="Arial"/>
          <w:b/>
          <w:caps/>
        </w:rPr>
        <w: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7F1822">
      <w:pPr>
        <w:tabs>
          <w:tab w:val="left" w:pos="2520"/>
        </w:tabs>
        <w:ind w:left="2520" w:hanging="252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FC5D64">
        <w:rPr>
          <w:rFonts w:ascii="Book Antiqua" w:hAnsi="Book Antiqua" w:cs="Arial"/>
        </w:rPr>
        <w:t xml:space="preserve">Ms A </w:t>
      </w:r>
      <w:r w:rsidR="00F914A5">
        <w:rPr>
          <w:rFonts w:ascii="Book Antiqua" w:hAnsi="Book Antiqua" w:cs="Arial"/>
        </w:rPr>
        <w:t xml:space="preserve">Fijiwala, Home Office Presenting Officer </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F1822">
        <w:rPr>
          <w:rFonts w:ascii="Book Antiqua" w:hAnsi="Book Antiqua" w:cs="Arial"/>
        </w:rPr>
        <w:t xml:space="preserve">Mr </w:t>
      </w:r>
      <w:r w:rsidR="00F914A5">
        <w:rPr>
          <w:rFonts w:ascii="Book Antiqua" w:hAnsi="Book Antiqua" w:cs="Arial"/>
        </w:rPr>
        <w:t>S Benara, Counsel instructed by Legend Solicitors</w:t>
      </w:r>
    </w:p>
    <w:p w:rsidR="00DE7DB7" w:rsidRPr="00F5664C" w:rsidRDefault="00DE7DB7" w:rsidP="00402B9E">
      <w:pPr>
        <w:tabs>
          <w:tab w:val="left" w:pos="2520"/>
        </w:tabs>
        <w:jc w:val="center"/>
        <w:rPr>
          <w:rFonts w:ascii="Book Antiqua" w:hAnsi="Book Antiqua" w:cs="Arial"/>
        </w:rPr>
      </w:pPr>
    </w:p>
    <w:p w:rsidR="00E432D2" w:rsidRDefault="00E432D2" w:rsidP="00402B9E">
      <w:pPr>
        <w:tabs>
          <w:tab w:val="left" w:pos="2520"/>
        </w:tabs>
        <w:jc w:val="center"/>
        <w:rPr>
          <w:rFonts w:ascii="Book Antiqua" w:hAnsi="Book Antiqua" w:cs="Arial"/>
          <w:b/>
          <w:u w:val="single"/>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543788" w:rsidRDefault="007E19D4" w:rsidP="006B5AD7">
      <w:pPr>
        <w:pStyle w:val="p"/>
      </w:pPr>
      <w:r>
        <w:t xml:space="preserve">This is an appeal to the Upper Tribunal by the </w:t>
      </w:r>
      <w:r w:rsidR="00F914A5">
        <w:t xml:space="preserve">Secretary of State in </w:t>
      </w:r>
      <w:r>
        <w:t xml:space="preserve">relation to </w:t>
      </w:r>
      <w:r w:rsidR="00F914A5">
        <w:t>the</w:t>
      </w:r>
      <w:r>
        <w:t xml:space="preserve"> Decision </w:t>
      </w:r>
      <w:r w:rsidR="00F914A5">
        <w:t>of Judge S J Clarke of the First-tier Tribunal promulgated on 19</w:t>
      </w:r>
      <w:r w:rsidR="00F914A5" w:rsidRPr="00F914A5">
        <w:rPr>
          <w:vertAlign w:val="superscript"/>
        </w:rPr>
        <w:t>th</w:t>
      </w:r>
      <w:r w:rsidR="00F914A5">
        <w:t xml:space="preserve"> October 2017.  The appellant before the First-tier Tribunal had made an application for leave to remain on the basis of his private and family life in the </w:t>
      </w:r>
      <w:smartTag w:uri="urn:schemas-microsoft-com:office:smarttags" w:element="country-region">
        <w:smartTag w:uri="urn:schemas-microsoft-com:office:smarttags" w:element="place">
          <w:r w:rsidR="00F914A5">
            <w:t>UK</w:t>
          </w:r>
        </w:smartTag>
      </w:smartTag>
      <w:r w:rsidR="00F914A5">
        <w:t xml:space="preserve">.  The Secretary of State </w:t>
      </w:r>
      <w:r w:rsidR="006D6883">
        <w:t>refused</w:t>
      </w:r>
      <w:r w:rsidR="00F914A5">
        <w:t xml:space="preserve"> the application on the basis that it was her case that he had submitted a TOEIC certificate which had been fraudulently obtained.  </w:t>
      </w:r>
    </w:p>
    <w:p w:rsidR="00C20409" w:rsidRDefault="00F914A5" w:rsidP="006B5AD7">
      <w:pPr>
        <w:pStyle w:val="p"/>
      </w:pPr>
      <w:r>
        <w:lastRenderedPageBreak/>
        <w:t xml:space="preserve">The judge in the decision confined herself solely to the issue of the ETS evidence and the TOEIC certificate.  She found, without giving very many reasons, that the fact that the original of the TOEIC certificate or a copy of it had not been provided to her that the appellant had therefore not fraudulently used a false certificate.  I have yet to see in any such case the certificate or a copy of it being provided and there is reference in the appellant’s statement itself to having taken the test.  </w:t>
      </w:r>
    </w:p>
    <w:p w:rsidR="00C20409" w:rsidRPr="00C20409" w:rsidRDefault="00C20409" w:rsidP="00C20409">
      <w:pPr>
        <w:pStyle w:val="p"/>
        <w:numPr>
          <w:ilvl w:val="0"/>
          <w:numId w:val="0"/>
        </w:numPr>
        <w:rPr>
          <w:b/>
          <w:u w:val="single"/>
        </w:rPr>
      </w:pPr>
      <w:r w:rsidRPr="00C20409">
        <w:rPr>
          <w:b/>
          <w:u w:val="single"/>
        </w:rPr>
        <w:t xml:space="preserve">Notice of Decision </w:t>
      </w:r>
    </w:p>
    <w:p w:rsidR="00C20409" w:rsidRDefault="00F914A5" w:rsidP="006B5AD7">
      <w:pPr>
        <w:pStyle w:val="p"/>
      </w:pPr>
      <w:r>
        <w:t>The findings in that regard are flawed and cannot stand, and what is more the judge allowed the appeal</w:t>
      </w:r>
      <w:r w:rsidR="00677245">
        <w:t>,</w:t>
      </w:r>
      <w:r>
        <w:t xml:space="preserve"> which could only be allowed on human rights grounds</w:t>
      </w:r>
      <w:r w:rsidR="00677245">
        <w:t>,</w:t>
      </w:r>
      <w:r>
        <w:t xml:space="preserve"> without any reference whatsoever anywhere in the decision to human rights.  </w:t>
      </w:r>
      <w:r w:rsidR="00C20409">
        <w:t xml:space="preserve">That being the sole permissible reason for allowing the appeal, the error is </w:t>
      </w:r>
      <w:r w:rsidR="006D6883">
        <w:t>clearly</w:t>
      </w:r>
      <w:r w:rsidR="00C20409">
        <w:t xml:space="preserve"> </w:t>
      </w:r>
      <w:r w:rsidR="006D6883">
        <w:t>material</w:t>
      </w:r>
      <w:r w:rsidR="00C20409">
        <w:t xml:space="preserve"> and the whole decision has to be set aside.  </w:t>
      </w:r>
    </w:p>
    <w:p w:rsidR="00C20409" w:rsidRDefault="00C20409" w:rsidP="00C20409">
      <w:pPr>
        <w:pStyle w:val="p"/>
        <w:numPr>
          <w:ilvl w:val="0"/>
          <w:numId w:val="0"/>
        </w:numPr>
        <w:rPr>
          <w:b/>
          <w:u w:val="single"/>
        </w:rPr>
      </w:pPr>
      <w:r w:rsidRPr="00C20409">
        <w:rPr>
          <w:b/>
          <w:u w:val="single"/>
        </w:rPr>
        <w:t xml:space="preserve">Directions </w:t>
      </w:r>
    </w:p>
    <w:p w:rsidR="00C20409" w:rsidRDefault="00C20409" w:rsidP="00C20409">
      <w:pPr>
        <w:pStyle w:val="List"/>
        <w:numPr>
          <w:ilvl w:val="0"/>
          <w:numId w:val="0"/>
        </w:numPr>
        <w:ind w:left="180"/>
      </w:pPr>
    </w:p>
    <w:p w:rsidR="00C20409" w:rsidRPr="006D6883" w:rsidRDefault="00C20409" w:rsidP="00C20409">
      <w:pPr>
        <w:pStyle w:val="List"/>
        <w:tabs>
          <w:tab w:val="clear" w:pos="747"/>
        </w:tabs>
        <w:spacing w:after="240"/>
        <w:ind w:left="567"/>
        <w:rPr>
          <w:rFonts w:ascii="Book Antiqua" w:hAnsi="Book Antiqua"/>
        </w:rPr>
      </w:pPr>
      <w:r w:rsidRPr="006D6883">
        <w:rPr>
          <w:rFonts w:ascii="Book Antiqua" w:hAnsi="Book Antiqua"/>
        </w:rPr>
        <w:t>It is appropriate because all of the findings</w:t>
      </w:r>
      <w:r w:rsidR="00677245">
        <w:rPr>
          <w:rFonts w:ascii="Book Antiqua" w:hAnsi="Book Antiqua"/>
        </w:rPr>
        <w:t xml:space="preserve"> that will have to be </w:t>
      </w:r>
      <w:r w:rsidRPr="006D6883">
        <w:rPr>
          <w:rFonts w:ascii="Book Antiqua" w:hAnsi="Book Antiqua"/>
        </w:rPr>
        <w:t xml:space="preserve">made that it be remitted to the First-tier Tribunal.  </w:t>
      </w:r>
    </w:p>
    <w:p w:rsidR="00C20409" w:rsidRPr="006D6883" w:rsidRDefault="00C20409" w:rsidP="00C20409">
      <w:pPr>
        <w:pStyle w:val="List"/>
        <w:tabs>
          <w:tab w:val="clear" w:pos="747"/>
        </w:tabs>
        <w:spacing w:after="240"/>
        <w:ind w:left="567"/>
        <w:rPr>
          <w:rFonts w:ascii="Book Antiqua" w:hAnsi="Book Antiqua"/>
        </w:rPr>
      </w:pPr>
      <w:r w:rsidRPr="006D6883">
        <w:rPr>
          <w:rFonts w:ascii="Book Antiqua" w:hAnsi="Book Antiqua"/>
        </w:rPr>
        <w:t xml:space="preserve">The case was originally heard at Taylor House.  Notwithstanding that the appellant lives in Falkirk near </w:t>
      </w:r>
      <w:smartTag w:uri="urn:schemas-microsoft-com:office:smarttags" w:element="City">
        <w:smartTag w:uri="urn:schemas-microsoft-com:office:smarttags" w:element="place">
          <w:r w:rsidRPr="006D6883">
            <w:rPr>
              <w:rFonts w:ascii="Book Antiqua" w:hAnsi="Book Antiqua"/>
            </w:rPr>
            <w:t>Glasgow</w:t>
          </w:r>
        </w:smartTag>
      </w:smartTag>
      <w:r w:rsidRPr="006D6883">
        <w:rPr>
          <w:rFonts w:ascii="Book Antiqua" w:hAnsi="Book Antiqua"/>
        </w:rPr>
        <w:t xml:space="preserve">, the case should be reheard in Taylor House.  </w:t>
      </w:r>
    </w:p>
    <w:p w:rsidR="00F914A5" w:rsidRPr="00C20409" w:rsidRDefault="006D6883" w:rsidP="006D6883">
      <w:pPr>
        <w:pStyle w:val="List"/>
        <w:tabs>
          <w:tab w:val="clear" w:pos="747"/>
        </w:tabs>
        <w:spacing w:after="240"/>
        <w:ind w:left="567"/>
      </w:pPr>
      <w:r w:rsidRPr="006D6883">
        <w:rPr>
          <w:rFonts w:ascii="Book Antiqua" w:hAnsi="Book Antiqua"/>
        </w:rPr>
        <w:t xml:space="preserve">No </w:t>
      </w:r>
      <w:r w:rsidR="00C20409" w:rsidRPr="006D6883">
        <w:rPr>
          <w:rFonts w:ascii="Book Antiqua" w:hAnsi="Book Antiqua"/>
        </w:rPr>
        <w:t>interpreter is necessary</w:t>
      </w:r>
      <w:r w:rsidR="00C20409" w:rsidRPr="00C20409">
        <w:t>.</w:t>
      </w:r>
    </w:p>
    <w:p w:rsidR="00A83FDE" w:rsidRDefault="00A83FDE" w:rsidP="00A83FDE">
      <w:pPr>
        <w:pStyle w:val="t"/>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677245">
        <w:rPr>
          <w:rFonts w:ascii="Book Antiqua" w:hAnsi="Book Antiqua" w:cs="Arial"/>
        </w:rPr>
        <w:t xml:space="preserve"> 23</w:t>
      </w:r>
      <w:r w:rsidR="00677245" w:rsidRPr="00677245">
        <w:rPr>
          <w:rFonts w:ascii="Book Antiqua" w:hAnsi="Book Antiqua" w:cs="Arial"/>
          <w:vertAlign w:val="superscript"/>
        </w:rPr>
        <w:t>rd</w:t>
      </w:r>
      <w:r w:rsidR="00677245">
        <w:rPr>
          <w:rFonts w:ascii="Book Antiqua" w:hAnsi="Book Antiqua" w:cs="Arial"/>
        </w:rPr>
        <w:t xml:space="preserve"> July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Upper Tribunal Judge M</w:t>
      </w:r>
      <w:r w:rsidR="00055F19">
        <w:rPr>
          <w:rFonts w:ascii="Book Antiqua" w:hAnsi="Book Antiqua" w:cs="Arial"/>
        </w:rPr>
        <w:t>artin</w:t>
      </w:r>
    </w:p>
    <w:p w:rsidR="00F13D39" w:rsidRDefault="00F13D39" w:rsidP="000369F5">
      <w:pPr>
        <w:tabs>
          <w:tab w:val="left" w:pos="2520"/>
        </w:tabs>
        <w:jc w:val="both"/>
        <w:rPr>
          <w:rFonts w:ascii="Book Antiqua" w:hAnsi="Book Antiqua" w:cs="Arial"/>
        </w:rPr>
      </w:pPr>
    </w:p>
    <w:p w:rsidR="003456EC" w:rsidRDefault="003456EC" w:rsidP="000369F5">
      <w:pPr>
        <w:tabs>
          <w:tab w:val="left" w:pos="2520"/>
        </w:tabs>
        <w:jc w:val="both"/>
        <w:rPr>
          <w:rFonts w:ascii="Book Antiqua" w:hAnsi="Book Antiqua" w:cs="Arial"/>
        </w:rPr>
      </w:pPr>
    </w:p>
    <w:p w:rsidR="003456EC" w:rsidRPr="003456EC" w:rsidRDefault="003456EC" w:rsidP="003456EC">
      <w:pPr>
        <w:rPr>
          <w:rFonts w:ascii="Book Antiqua" w:hAnsi="Book Antiqua" w:cs="Arial"/>
        </w:rPr>
      </w:pPr>
    </w:p>
    <w:p w:rsidR="003456EC" w:rsidRPr="003456EC" w:rsidRDefault="003456EC" w:rsidP="003456EC">
      <w:pPr>
        <w:rPr>
          <w:rFonts w:ascii="Book Antiqua" w:hAnsi="Book Antiqua" w:cs="Arial"/>
        </w:rPr>
      </w:pPr>
    </w:p>
    <w:p w:rsidR="003456EC" w:rsidRPr="003456EC" w:rsidRDefault="003456EC" w:rsidP="003456EC">
      <w:pPr>
        <w:rPr>
          <w:rFonts w:ascii="Book Antiqua" w:hAnsi="Book Antiqua" w:cs="Arial"/>
        </w:rPr>
      </w:pPr>
    </w:p>
    <w:p w:rsidR="003456EC" w:rsidRPr="003456EC" w:rsidRDefault="003456EC" w:rsidP="003456EC">
      <w:pPr>
        <w:rPr>
          <w:rFonts w:ascii="Book Antiqua" w:hAnsi="Book Antiqua" w:cs="Arial"/>
        </w:rPr>
      </w:pPr>
    </w:p>
    <w:p w:rsidR="003456EC" w:rsidRPr="003456EC" w:rsidRDefault="003456EC" w:rsidP="003456EC">
      <w:pPr>
        <w:rPr>
          <w:rFonts w:ascii="Book Antiqua" w:hAnsi="Book Antiqua" w:cs="Arial"/>
        </w:rPr>
      </w:pPr>
    </w:p>
    <w:p w:rsidR="003456EC" w:rsidRPr="003456EC" w:rsidRDefault="003456EC" w:rsidP="003456EC">
      <w:pPr>
        <w:rPr>
          <w:rFonts w:ascii="Book Antiqua" w:hAnsi="Book Antiqua" w:cs="Arial"/>
        </w:rPr>
      </w:pPr>
    </w:p>
    <w:p w:rsidR="003456EC" w:rsidRPr="003456EC" w:rsidRDefault="003456EC" w:rsidP="003456EC">
      <w:pPr>
        <w:rPr>
          <w:rFonts w:ascii="Book Antiqua" w:hAnsi="Book Antiqua" w:cs="Arial"/>
        </w:rPr>
      </w:pPr>
    </w:p>
    <w:p w:rsidR="003456EC" w:rsidRPr="003456EC" w:rsidRDefault="003456EC" w:rsidP="003456EC">
      <w:pPr>
        <w:rPr>
          <w:rFonts w:ascii="Book Antiqua" w:hAnsi="Book Antiqua" w:cs="Arial"/>
        </w:rPr>
      </w:pPr>
    </w:p>
    <w:p w:rsidR="003456EC" w:rsidRPr="003456EC" w:rsidRDefault="003456EC" w:rsidP="003456EC">
      <w:pPr>
        <w:rPr>
          <w:rFonts w:ascii="Book Antiqua" w:hAnsi="Book Antiqua" w:cs="Arial"/>
        </w:rPr>
      </w:pPr>
    </w:p>
    <w:p w:rsidR="003456EC" w:rsidRPr="003456EC" w:rsidRDefault="003456EC" w:rsidP="003456EC">
      <w:pPr>
        <w:rPr>
          <w:rFonts w:ascii="Book Antiqua" w:hAnsi="Book Antiqua" w:cs="Arial"/>
        </w:rPr>
      </w:pPr>
    </w:p>
    <w:p w:rsidR="005B7789" w:rsidRPr="00F5664C" w:rsidRDefault="005B7789" w:rsidP="003456EC">
      <w:pPr>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5E0" w:rsidRDefault="008F25E0">
      <w:r>
        <w:separator/>
      </w:r>
    </w:p>
  </w:endnote>
  <w:endnote w:type="continuationSeparator" w:id="0">
    <w:p w:rsidR="008F25E0" w:rsidRDefault="008F2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CF1" w:rsidRPr="00F5664C" w:rsidRDefault="00BD3CF1"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C5391">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CF1" w:rsidRPr="00F5664C" w:rsidRDefault="00BD3CF1"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5E0" w:rsidRDefault="008F25E0">
      <w:r>
        <w:separator/>
      </w:r>
    </w:p>
  </w:footnote>
  <w:footnote w:type="continuationSeparator" w:id="0">
    <w:p w:rsidR="008F25E0" w:rsidRDefault="008F2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CF1" w:rsidRPr="00F914A5" w:rsidRDefault="00BD3CF1"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F914A5">
      <w:rPr>
        <w:rFonts w:ascii="Book Antiqua" w:hAnsi="Book Antiqua" w:cs="Arial"/>
        <w:sz w:val="16"/>
        <w:szCs w:val="16"/>
      </w:rPr>
      <w:t>HU/13818/2015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CF1" w:rsidRPr="00F5664C" w:rsidRDefault="00BD3CF1">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A6EC3B4E"/>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B632A4"/>
    <w:multiLevelType w:val="multilevel"/>
    <w:tmpl w:val="07882F7C"/>
    <w:lvl w:ilvl="0">
      <w:start w:val="1"/>
      <w:numFmt w:val="decimal"/>
      <w:lvlText w:val="%1."/>
      <w:lvlJc w:val="left"/>
      <w:pPr>
        <w:tabs>
          <w:tab w:val="num" w:pos="540"/>
        </w:tabs>
        <w:ind w:left="540" w:hanging="360"/>
      </w:p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A82271"/>
    <w:multiLevelType w:val="hybridMultilevel"/>
    <w:tmpl w:val="369ED222"/>
    <w:lvl w:ilvl="0" w:tplc="148E00DC">
      <w:start w:val="1"/>
      <w:numFmt w:val="decimal"/>
      <w:pStyle w:val="List"/>
      <w:lvlText w:val="(%1)"/>
      <w:lvlJc w:val="left"/>
      <w:pPr>
        <w:tabs>
          <w:tab w:val="num" w:pos="747"/>
        </w:tabs>
        <w:ind w:left="747" w:hanging="567"/>
      </w:pPr>
      <w:rPr>
        <w:rFonts w:ascii="Book Antiqua" w:hAnsi="Book Antiqua" w:hint="default"/>
        <w:b w:val="0"/>
        <w:i w:val="0"/>
        <w:color w:val="auto"/>
      </w:r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5"/>
  </w:num>
  <w:num w:numId="3">
    <w:abstractNumId w:val="2"/>
  </w:num>
  <w:num w:numId="4">
    <w:abstractNumId w:val="11"/>
  </w:num>
  <w:num w:numId="5">
    <w:abstractNumId w:val="21"/>
  </w:num>
  <w:num w:numId="6">
    <w:abstractNumId w:val="13"/>
  </w:num>
  <w:num w:numId="7">
    <w:abstractNumId w:val="20"/>
  </w:num>
  <w:num w:numId="8">
    <w:abstractNumId w:val="9"/>
  </w:num>
  <w:num w:numId="9">
    <w:abstractNumId w:val="7"/>
  </w:num>
  <w:num w:numId="10">
    <w:abstractNumId w:val="19"/>
  </w:num>
  <w:num w:numId="11">
    <w:abstractNumId w:val="17"/>
  </w:num>
  <w:num w:numId="12">
    <w:abstractNumId w:val="1"/>
  </w:num>
  <w:num w:numId="13">
    <w:abstractNumId w:val="16"/>
  </w:num>
  <w:num w:numId="14">
    <w:abstractNumId w:val="0"/>
  </w:num>
  <w:num w:numId="15">
    <w:abstractNumId w:val="4"/>
  </w:num>
  <w:num w:numId="16">
    <w:abstractNumId w:val="6"/>
  </w:num>
  <w:num w:numId="17">
    <w:abstractNumId w:val="14"/>
  </w:num>
  <w:num w:numId="18">
    <w:abstractNumId w:val="10"/>
  </w:num>
  <w:num w:numId="19">
    <w:abstractNumId w:val="18"/>
  </w:num>
  <w:num w:numId="20">
    <w:abstractNumId w:val="8"/>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C5600F5-2244-4D08-BF9B-6B75DDF38305}"/>
    <w:docVar w:name="dgnword-eventsink" w:val="601498352"/>
  </w:docVars>
  <w:rsids>
    <w:rsidRoot w:val="00E05B2C"/>
    <w:rsid w:val="00000621"/>
    <w:rsid w:val="000036C2"/>
    <w:rsid w:val="00030C00"/>
    <w:rsid w:val="00033D3D"/>
    <w:rsid w:val="000369F5"/>
    <w:rsid w:val="00047F27"/>
    <w:rsid w:val="000532DF"/>
    <w:rsid w:val="00055F19"/>
    <w:rsid w:val="00071A7E"/>
    <w:rsid w:val="000746C0"/>
    <w:rsid w:val="00074D1D"/>
    <w:rsid w:val="00092580"/>
    <w:rsid w:val="000C6706"/>
    <w:rsid w:val="000D01C9"/>
    <w:rsid w:val="000D1577"/>
    <w:rsid w:val="000D5D94"/>
    <w:rsid w:val="000E0CD7"/>
    <w:rsid w:val="00114F8B"/>
    <w:rsid w:val="001165A7"/>
    <w:rsid w:val="0015044C"/>
    <w:rsid w:val="00151BB7"/>
    <w:rsid w:val="00167D3A"/>
    <w:rsid w:val="00177AF7"/>
    <w:rsid w:val="001A1E2C"/>
    <w:rsid w:val="001F2716"/>
    <w:rsid w:val="0020133A"/>
    <w:rsid w:val="00207617"/>
    <w:rsid w:val="00255071"/>
    <w:rsid w:val="00283659"/>
    <w:rsid w:val="00286D2A"/>
    <w:rsid w:val="002C4E73"/>
    <w:rsid w:val="002D68BF"/>
    <w:rsid w:val="002E45C7"/>
    <w:rsid w:val="00336CBF"/>
    <w:rsid w:val="003456EC"/>
    <w:rsid w:val="003546C8"/>
    <w:rsid w:val="003A7CF2"/>
    <w:rsid w:val="003C5CE5"/>
    <w:rsid w:val="003E267B"/>
    <w:rsid w:val="003E7CD1"/>
    <w:rsid w:val="00402B9E"/>
    <w:rsid w:val="00423932"/>
    <w:rsid w:val="004249CB"/>
    <w:rsid w:val="0044127D"/>
    <w:rsid w:val="004448DB"/>
    <w:rsid w:val="00446C9A"/>
    <w:rsid w:val="00477193"/>
    <w:rsid w:val="004A1848"/>
    <w:rsid w:val="004A295E"/>
    <w:rsid w:val="004E46F3"/>
    <w:rsid w:val="00507FEC"/>
    <w:rsid w:val="00510F0E"/>
    <w:rsid w:val="005349B3"/>
    <w:rsid w:val="00543788"/>
    <w:rsid w:val="0054387F"/>
    <w:rsid w:val="005479E1"/>
    <w:rsid w:val="005570FD"/>
    <w:rsid w:val="005575EA"/>
    <w:rsid w:val="0056063A"/>
    <w:rsid w:val="0057790C"/>
    <w:rsid w:val="00593795"/>
    <w:rsid w:val="005A75FF"/>
    <w:rsid w:val="005B7789"/>
    <w:rsid w:val="005F34DF"/>
    <w:rsid w:val="005F4E2D"/>
    <w:rsid w:val="005F7DB4"/>
    <w:rsid w:val="0065791C"/>
    <w:rsid w:val="00677245"/>
    <w:rsid w:val="00690B8A"/>
    <w:rsid w:val="006B5AD7"/>
    <w:rsid w:val="006C724D"/>
    <w:rsid w:val="006D1DFA"/>
    <w:rsid w:val="006D506B"/>
    <w:rsid w:val="006D6883"/>
    <w:rsid w:val="006E3C90"/>
    <w:rsid w:val="00704B61"/>
    <w:rsid w:val="00707DB1"/>
    <w:rsid w:val="007353BB"/>
    <w:rsid w:val="00742A8D"/>
    <w:rsid w:val="00752359"/>
    <w:rsid w:val="007552A9"/>
    <w:rsid w:val="00761858"/>
    <w:rsid w:val="007642AF"/>
    <w:rsid w:val="007646CE"/>
    <w:rsid w:val="00767D59"/>
    <w:rsid w:val="00776E97"/>
    <w:rsid w:val="00780FD7"/>
    <w:rsid w:val="007912AD"/>
    <w:rsid w:val="00796715"/>
    <w:rsid w:val="007A1F28"/>
    <w:rsid w:val="007A4034"/>
    <w:rsid w:val="007B0824"/>
    <w:rsid w:val="007C0CD9"/>
    <w:rsid w:val="007E19D4"/>
    <w:rsid w:val="007E3782"/>
    <w:rsid w:val="007E63DE"/>
    <w:rsid w:val="007F1822"/>
    <w:rsid w:val="008303B8"/>
    <w:rsid w:val="00833DCE"/>
    <w:rsid w:val="00834861"/>
    <w:rsid w:val="00842418"/>
    <w:rsid w:val="008634DB"/>
    <w:rsid w:val="00871D34"/>
    <w:rsid w:val="00887842"/>
    <w:rsid w:val="008901DD"/>
    <w:rsid w:val="008B270C"/>
    <w:rsid w:val="008C3D3D"/>
    <w:rsid w:val="008D4131"/>
    <w:rsid w:val="008F1932"/>
    <w:rsid w:val="008F25E0"/>
    <w:rsid w:val="008F294D"/>
    <w:rsid w:val="009062A3"/>
    <w:rsid w:val="00921062"/>
    <w:rsid w:val="0092618D"/>
    <w:rsid w:val="0093083E"/>
    <w:rsid w:val="009453B3"/>
    <w:rsid w:val="00966ECF"/>
    <w:rsid w:val="009727A3"/>
    <w:rsid w:val="00985EE9"/>
    <w:rsid w:val="00987774"/>
    <w:rsid w:val="00991EF2"/>
    <w:rsid w:val="009A11E8"/>
    <w:rsid w:val="009A1ED5"/>
    <w:rsid w:val="009E4E62"/>
    <w:rsid w:val="009F5220"/>
    <w:rsid w:val="009F7C4D"/>
    <w:rsid w:val="00A15234"/>
    <w:rsid w:val="00A201AB"/>
    <w:rsid w:val="00A25EAC"/>
    <w:rsid w:val="00A31C8B"/>
    <w:rsid w:val="00A73B50"/>
    <w:rsid w:val="00A75965"/>
    <w:rsid w:val="00A82374"/>
    <w:rsid w:val="00A83FDE"/>
    <w:rsid w:val="00A845DC"/>
    <w:rsid w:val="00A97AEE"/>
    <w:rsid w:val="00AC5CF6"/>
    <w:rsid w:val="00B144FA"/>
    <w:rsid w:val="00B16F58"/>
    <w:rsid w:val="00B30648"/>
    <w:rsid w:val="00B337AA"/>
    <w:rsid w:val="00B3524D"/>
    <w:rsid w:val="00B40F69"/>
    <w:rsid w:val="00B4659E"/>
    <w:rsid w:val="00B46616"/>
    <w:rsid w:val="00B610E3"/>
    <w:rsid w:val="00B61205"/>
    <w:rsid w:val="00B617C4"/>
    <w:rsid w:val="00B626FA"/>
    <w:rsid w:val="00B7040A"/>
    <w:rsid w:val="00B912B6"/>
    <w:rsid w:val="00B929D9"/>
    <w:rsid w:val="00B96FA0"/>
    <w:rsid w:val="00BC5391"/>
    <w:rsid w:val="00BD3CF1"/>
    <w:rsid w:val="00BD4196"/>
    <w:rsid w:val="00BE31CE"/>
    <w:rsid w:val="00BF22CA"/>
    <w:rsid w:val="00C20409"/>
    <w:rsid w:val="00C26032"/>
    <w:rsid w:val="00C265B0"/>
    <w:rsid w:val="00C321B5"/>
    <w:rsid w:val="00C345E1"/>
    <w:rsid w:val="00C34960"/>
    <w:rsid w:val="00C63AEA"/>
    <w:rsid w:val="00C734DB"/>
    <w:rsid w:val="00C977BA"/>
    <w:rsid w:val="00CB6E35"/>
    <w:rsid w:val="00CE1A46"/>
    <w:rsid w:val="00CE26B2"/>
    <w:rsid w:val="00CF253F"/>
    <w:rsid w:val="00CF56B4"/>
    <w:rsid w:val="00D20F09"/>
    <w:rsid w:val="00D22636"/>
    <w:rsid w:val="00D40FD9"/>
    <w:rsid w:val="00D45764"/>
    <w:rsid w:val="00D53769"/>
    <w:rsid w:val="00D65912"/>
    <w:rsid w:val="00D85C13"/>
    <w:rsid w:val="00D91BE3"/>
    <w:rsid w:val="00D94AFC"/>
    <w:rsid w:val="00DA7DCE"/>
    <w:rsid w:val="00DB70AE"/>
    <w:rsid w:val="00DB7231"/>
    <w:rsid w:val="00DD5071"/>
    <w:rsid w:val="00DD5C39"/>
    <w:rsid w:val="00DE26AF"/>
    <w:rsid w:val="00DE5523"/>
    <w:rsid w:val="00DE7DB7"/>
    <w:rsid w:val="00E00A0A"/>
    <w:rsid w:val="00E05B2C"/>
    <w:rsid w:val="00E07F57"/>
    <w:rsid w:val="00E1040E"/>
    <w:rsid w:val="00E33172"/>
    <w:rsid w:val="00E35FAF"/>
    <w:rsid w:val="00E432D2"/>
    <w:rsid w:val="00E46AEB"/>
    <w:rsid w:val="00E50BCE"/>
    <w:rsid w:val="00E61292"/>
    <w:rsid w:val="00E66BEB"/>
    <w:rsid w:val="00E76309"/>
    <w:rsid w:val="00E77C4D"/>
    <w:rsid w:val="00E81D01"/>
    <w:rsid w:val="00EE45D8"/>
    <w:rsid w:val="00F004CD"/>
    <w:rsid w:val="00F13D39"/>
    <w:rsid w:val="00F22A22"/>
    <w:rsid w:val="00F22EDA"/>
    <w:rsid w:val="00F3224D"/>
    <w:rsid w:val="00F33E0E"/>
    <w:rsid w:val="00F509D7"/>
    <w:rsid w:val="00F52A10"/>
    <w:rsid w:val="00F5664C"/>
    <w:rsid w:val="00F914A5"/>
    <w:rsid w:val="00FA2DC6"/>
    <w:rsid w:val="00FB7E80"/>
    <w:rsid w:val="00FC5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6E7A4A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7F1822"/>
    <w:pPr>
      <w:numPr>
        <w:numId w:val="3"/>
      </w:numPr>
      <w:spacing w:before="240"/>
      <w:jc w:val="both"/>
    </w:pPr>
    <w:rPr>
      <w:rFonts w:ascii="Book Antiqua" w:hAnsi="Book Antiqua" w:cs="Arial"/>
    </w:rPr>
  </w:style>
  <w:style w:type="paragraph" w:customStyle="1" w:styleId="h">
    <w:name w:val="h"/>
    <w:basedOn w:val="Normal"/>
    <w:rsid w:val="00A83FDE"/>
    <w:pPr>
      <w:spacing w:before="240"/>
      <w:jc w:val="both"/>
    </w:pPr>
    <w:rPr>
      <w:rFonts w:ascii="Book Antiqua" w:hAnsi="Book Antiqua" w:cs="Arial"/>
      <w:b/>
      <w:u w:val="single"/>
    </w:rPr>
  </w:style>
  <w:style w:type="paragraph" w:customStyle="1" w:styleId="t">
    <w:name w:val="t"/>
    <w:basedOn w:val="Normal"/>
    <w:rsid w:val="00A83FDE"/>
    <w:pPr>
      <w:jc w:val="both"/>
    </w:pPr>
    <w:rPr>
      <w:rFonts w:ascii="Book Antiqua" w:hAnsi="Book Antiqua" w:cs="Arial"/>
    </w:rPr>
  </w:style>
  <w:style w:type="paragraph" w:styleId="List">
    <w:name w:val="List"/>
    <w:basedOn w:val="Normal"/>
    <w:rsid w:val="00C20409"/>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2018-08-09T14:02:00Z</dcterms:created>
  <dcterms:modified xsi:type="dcterms:W3CDTF">2018-08-09T14:02:00Z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