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A3904" w14:textId="77777777" w:rsidR="00D94AFC" w:rsidRPr="00F97703" w:rsidRDefault="00D94AFC">
      <w:pPr>
        <w:rPr>
          <w:rFonts w:ascii="Book Antiqua" w:hAnsi="Book Antiqua" w:cs="Arial"/>
          <w:color w:val="000000"/>
          <w:sz w:val="16"/>
          <w:szCs w:val="16"/>
        </w:rPr>
      </w:pPr>
    </w:p>
    <w:p w14:paraId="684A4F54" w14:textId="77777777" w:rsidR="00422992" w:rsidRDefault="00422992" w:rsidP="00F97703">
      <w:pPr>
        <w:jc w:val="center"/>
      </w:pPr>
    </w:p>
    <w:p w14:paraId="05D2338B" w14:textId="059CCC9F" w:rsidR="00F97703" w:rsidRDefault="009D3476" w:rsidP="00F97703">
      <w:pPr>
        <w:jc w:val="center"/>
        <w:rPr>
          <w:rFonts w:ascii="Book Antiqua" w:hAnsi="Book Antiqua" w:cs="Arial"/>
          <w:color w:val="000000"/>
        </w:rPr>
      </w:pPr>
      <w:r>
        <w:rPr>
          <w:noProof/>
        </w:rPr>
        <w:drawing>
          <wp:inline distT="0" distB="0" distL="0" distR="0" wp14:anchorId="29799BB6" wp14:editId="17F74EF5">
            <wp:extent cx="1272540" cy="889635"/>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2540" cy="889635"/>
                    </a:xfrm>
                    <a:prstGeom prst="rect">
                      <a:avLst/>
                    </a:prstGeom>
                    <a:noFill/>
                    <a:ln>
                      <a:noFill/>
                    </a:ln>
                  </pic:spPr>
                </pic:pic>
              </a:graphicData>
            </a:graphic>
          </wp:inline>
        </w:drawing>
      </w:r>
    </w:p>
    <w:p w14:paraId="6C100FCB" w14:textId="77777777" w:rsidR="00F97703" w:rsidRPr="00F97703" w:rsidRDefault="0044437D" w:rsidP="000652CE">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14:paraId="3F3AD6B5" w14:textId="77777777" w:rsidR="00E60B0D" w:rsidRDefault="00F97703" w:rsidP="00780F86">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612049">
        <w:rPr>
          <w:rFonts w:ascii="Book Antiqua" w:hAnsi="Book Antiqua" w:cs="Arial"/>
          <w:b/>
          <w:color w:val="000000"/>
        </w:rPr>
        <w:t>Appeal Number</w:t>
      </w:r>
      <w:r w:rsidR="00D53769" w:rsidRPr="00612049">
        <w:rPr>
          <w:rFonts w:ascii="Book Antiqua" w:hAnsi="Book Antiqua" w:cs="Arial"/>
          <w:b/>
          <w:color w:val="000000"/>
        </w:rPr>
        <w:t>:</w:t>
      </w:r>
      <w:r w:rsidR="00B3524D" w:rsidRPr="00612049">
        <w:rPr>
          <w:rFonts w:ascii="Book Antiqua" w:hAnsi="Book Antiqua" w:cs="Arial"/>
          <w:b/>
          <w:color w:val="000000"/>
        </w:rPr>
        <w:t xml:space="preserve"> </w:t>
      </w:r>
      <w:bookmarkStart w:id="0" w:name="_GoBack"/>
      <w:r w:rsidR="00E33708" w:rsidRPr="00612049">
        <w:rPr>
          <w:rFonts w:ascii="Book Antiqua" w:hAnsi="Book Antiqua" w:cs="Arial"/>
          <w:b/>
          <w:caps/>
          <w:color w:val="000000"/>
        </w:rPr>
        <w:t>HU</w:t>
      </w:r>
      <w:r w:rsidR="006E6C96">
        <w:rPr>
          <w:rFonts w:ascii="Book Antiqua" w:hAnsi="Book Antiqua" w:cs="Arial"/>
          <w:b/>
          <w:caps/>
          <w:color w:val="000000"/>
        </w:rPr>
        <w:t>/</w:t>
      </w:r>
      <w:r w:rsidR="00071579">
        <w:rPr>
          <w:rFonts w:ascii="Book Antiqua" w:hAnsi="Book Antiqua" w:cs="Arial"/>
          <w:b/>
          <w:caps/>
          <w:color w:val="000000"/>
        </w:rPr>
        <w:t>14104/2016</w:t>
      </w:r>
      <w:bookmarkEnd w:id="0"/>
    </w:p>
    <w:p w14:paraId="4F4BB040" w14:textId="77777777" w:rsidR="00ED0704" w:rsidRPr="00F97703" w:rsidRDefault="005E0500" w:rsidP="008A6A1D">
      <w:pPr>
        <w:tabs>
          <w:tab w:val="right" w:pos="9720"/>
        </w:tabs>
        <w:ind w:right="-82"/>
        <w:rPr>
          <w:rFonts w:ascii="Book Antiqua" w:hAnsi="Book Antiqua" w:cs="Arial"/>
          <w:color w:val="000000"/>
        </w:rPr>
      </w:pPr>
      <w:r>
        <w:rPr>
          <w:rFonts w:ascii="Book Antiqua" w:hAnsi="Book Antiqua" w:cs="Arial"/>
          <w:caps/>
          <w:color w:val="000000"/>
        </w:rPr>
        <w:tab/>
      </w:r>
    </w:p>
    <w:p w14:paraId="25B56091" w14:textId="77777777" w:rsidR="00842D0E" w:rsidRPr="00F97703" w:rsidRDefault="00842D0E" w:rsidP="00C345E1">
      <w:pPr>
        <w:jc w:val="center"/>
        <w:rPr>
          <w:rFonts w:ascii="Book Antiqua" w:hAnsi="Book Antiqua" w:cs="Arial"/>
          <w:color w:val="000000"/>
        </w:rPr>
      </w:pPr>
    </w:p>
    <w:p w14:paraId="3A4661EF" w14:textId="77777777" w:rsidR="00C345E1" w:rsidRPr="00F97703" w:rsidRDefault="00C345E1" w:rsidP="000652CE">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3927DDB3" w14:textId="77777777" w:rsidR="00ED0704" w:rsidRDefault="00ED0704" w:rsidP="008A6A1D">
      <w:pPr>
        <w:rPr>
          <w:rFonts w:ascii="Book Antiqua" w:hAnsi="Book Antiqua" w:cs="Arial"/>
          <w:b/>
          <w:u w:val="single"/>
        </w:rPr>
      </w:pPr>
    </w:p>
    <w:p w14:paraId="4970E7A1" w14:textId="77777777" w:rsidR="00CD76A9" w:rsidRDefault="00CD76A9" w:rsidP="008A6A1D">
      <w:pPr>
        <w:rPr>
          <w:rFonts w:ascii="Book Antiqua" w:hAnsi="Book Antiqua" w:cs="Arial"/>
          <w:b/>
          <w:u w:val="single"/>
        </w:rPr>
      </w:pPr>
    </w:p>
    <w:tbl>
      <w:tblPr>
        <w:tblW w:w="10450" w:type="dxa"/>
        <w:tblLook w:val="01E0" w:firstRow="1" w:lastRow="1" w:firstColumn="1" w:lastColumn="1" w:noHBand="0" w:noVBand="0"/>
      </w:tblPr>
      <w:tblGrid>
        <w:gridCol w:w="6431"/>
        <w:gridCol w:w="4019"/>
      </w:tblGrid>
      <w:tr w:rsidR="00D22636" w:rsidRPr="00CF2D17" w14:paraId="20CDF26A" w14:textId="77777777" w:rsidTr="009E3FC6">
        <w:trPr>
          <w:trHeight w:val="311"/>
        </w:trPr>
        <w:tc>
          <w:tcPr>
            <w:tcW w:w="6431" w:type="dxa"/>
            <w:shd w:val="clear" w:color="auto" w:fill="auto"/>
          </w:tcPr>
          <w:p w14:paraId="0B72EFE5" w14:textId="77777777" w:rsidR="00D22636" w:rsidRPr="00CF2D17" w:rsidRDefault="00D22636" w:rsidP="00E24E10">
            <w:pPr>
              <w:rPr>
                <w:rFonts w:ascii="Book Antiqua" w:hAnsi="Book Antiqua" w:cs="Arial"/>
                <w:b/>
              </w:rPr>
            </w:pPr>
            <w:r w:rsidRPr="00CF2D17">
              <w:rPr>
                <w:rFonts w:ascii="Book Antiqua" w:hAnsi="Book Antiqua" w:cs="Arial"/>
                <w:b/>
              </w:rPr>
              <w:t xml:space="preserve">Heard </w:t>
            </w:r>
            <w:r w:rsidR="009E3FC6" w:rsidRPr="00CF2D17">
              <w:rPr>
                <w:rFonts w:ascii="Book Antiqua" w:hAnsi="Book Antiqua" w:cs="Arial"/>
                <w:b/>
              </w:rPr>
              <w:t>at:</w:t>
            </w:r>
            <w:r w:rsidR="00952B45" w:rsidRPr="00CF2D17">
              <w:rPr>
                <w:rFonts w:ascii="Book Antiqua" w:hAnsi="Book Antiqua" w:cs="Arial"/>
                <w:b/>
              </w:rPr>
              <w:t xml:space="preserve"> </w:t>
            </w:r>
            <w:r w:rsidR="00544BD3">
              <w:rPr>
                <w:rFonts w:ascii="Book Antiqua" w:hAnsi="Book Antiqua" w:cs="Arial"/>
                <w:b/>
              </w:rPr>
              <w:t>Field House</w:t>
            </w:r>
          </w:p>
        </w:tc>
        <w:tc>
          <w:tcPr>
            <w:tcW w:w="4019" w:type="dxa"/>
            <w:shd w:val="clear" w:color="auto" w:fill="auto"/>
          </w:tcPr>
          <w:p w14:paraId="5369E6F4" w14:textId="77777777" w:rsidR="00D22636" w:rsidRPr="00CF2D17" w:rsidRDefault="00283659" w:rsidP="00CF2D17">
            <w:pPr>
              <w:jc w:val="both"/>
              <w:rPr>
                <w:rFonts w:ascii="Book Antiqua" w:hAnsi="Book Antiqua" w:cs="Arial"/>
                <w:b/>
                <w:color w:val="000000"/>
              </w:rPr>
            </w:pPr>
            <w:r w:rsidRPr="00CF2D17">
              <w:rPr>
                <w:rFonts w:ascii="Book Antiqua" w:hAnsi="Book Antiqua" w:cs="Arial"/>
                <w:b/>
                <w:color w:val="000000"/>
              </w:rPr>
              <w:t>De</w:t>
            </w:r>
            <w:r w:rsidR="008A270E" w:rsidRPr="00CF2D17">
              <w:rPr>
                <w:rFonts w:ascii="Book Antiqua" w:hAnsi="Book Antiqua" w:cs="Arial"/>
                <w:b/>
                <w:color w:val="000000"/>
              </w:rPr>
              <w:t>cis</w:t>
            </w:r>
            <w:r w:rsidRPr="00CF2D17">
              <w:rPr>
                <w:rFonts w:ascii="Book Antiqua" w:hAnsi="Book Antiqua" w:cs="Arial"/>
                <w:b/>
                <w:color w:val="000000"/>
              </w:rPr>
              <w:t>ion Promulgated</w:t>
            </w:r>
          </w:p>
        </w:tc>
      </w:tr>
      <w:tr w:rsidR="00D22636" w:rsidRPr="00CF2D17" w14:paraId="6A8ECD93" w14:textId="77777777" w:rsidTr="009E3FC6">
        <w:trPr>
          <w:trHeight w:val="311"/>
        </w:trPr>
        <w:tc>
          <w:tcPr>
            <w:tcW w:w="6431" w:type="dxa"/>
            <w:shd w:val="clear" w:color="auto" w:fill="auto"/>
          </w:tcPr>
          <w:p w14:paraId="17D982D5" w14:textId="0F490647" w:rsidR="00D22636" w:rsidRPr="00CF2D17" w:rsidRDefault="00D22636" w:rsidP="00E33708">
            <w:pPr>
              <w:jc w:val="both"/>
              <w:rPr>
                <w:rFonts w:ascii="Book Antiqua" w:hAnsi="Book Antiqua" w:cs="Arial"/>
                <w:b/>
              </w:rPr>
            </w:pPr>
            <w:r w:rsidRPr="00CF2D17">
              <w:rPr>
                <w:rFonts w:ascii="Book Antiqua" w:hAnsi="Book Antiqua" w:cs="Arial"/>
                <w:b/>
              </w:rPr>
              <w:t>On</w:t>
            </w:r>
            <w:r w:rsidR="00952B45" w:rsidRPr="00CF2D17">
              <w:rPr>
                <w:rFonts w:ascii="Book Antiqua" w:hAnsi="Book Antiqua" w:cs="Arial"/>
                <w:b/>
              </w:rPr>
              <w:t xml:space="preserve">: </w:t>
            </w:r>
            <w:r w:rsidR="006E6C96">
              <w:rPr>
                <w:rFonts w:ascii="Book Antiqua" w:hAnsi="Book Antiqua" w:cs="Arial"/>
                <w:b/>
              </w:rPr>
              <w:t>23 May</w:t>
            </w:r>
            <w:r w:rsidR="00544BD3">
              <w:rPr>
                <w:rFonts w:ascii="Book Antiqua" w:hAnsi="Book Antiqua" w:cs="Arial"/>
                <w:b/>
              </w:rPr>
              <w:t xml:space="preserve"> 2018</w:t>
            </w:r>
          </w:p>
        </w:tc>
        <w:tc>
          <w:tcPr>
            <w:tcW w:w="4019" w:type="dxa"/>
            <w:shd w:val="clear" w:color="auto" w:fill="auto"/>
          </w:tcPr>
          <w:p w14:paraId="0E7CF34F" w14:textId="77777777" w:rsidR="00D22636" w:rsidRPr="00CF2D17" w:rsidRDefault="009E3FC6" w:rsidP="00CF2D17">
            <w:pPr>
              <w:jc w:val="both"/>
              <w:rPr>
                <w:rFonts w:ascii="Book Antiqua" w:hAnsi="Book Antiqua" w:cs="Arial"/>
                <w:b/>
              </w:rPr>
            </w:pPr>
            <w:r>
              <w:rPr>
                <w:rFonts w:ascii="Book Antiqua" w:hAnsi="Book Antiqua" w:cs="Arial"/>
                <w:b/>
              </w:rPr>
              <w:t>On: 29 May 2018</w:t>
            </w:r>
          </w:p>
        </w:tc>
      </w:tr>
      <w:tr w:rsidR="00D22636" w:rsidRPr="00CF2D17" w14:paraId="642A6FBF" w14:textId="77777777" w:rsidTr="009E3FC6">
        <w:trPr>
          <w:trHeight w:val="311"/>
        </w:trPr>
        <w:tc>
          <w:tcPr>
            <w:tcW w:w="6431" w:type="dxa"/>
            <w:shd w:val="clear" w:color="auto" w:fill="auto"/>
          </w:tcPr>
          <w:p w14:paraId="0371833B" w14:textId="77777777" w:rsidR="00D22636" w:rsidRPr="00CF2D17" w:rsidRDefault="00D22636" w:rsidP="00CF2D17">
            <w:pPr>
              <w:jc w:val="both"/>
              <w:rPr>
                <w:rFonts w:ascii="Book Antiqua" w:hAnsi="Book Antiqua" w:cs="Arial"/>
                <w:b/>
              </w:rPr>
            </w:pPr>
          </w:p>
        </w:tc>
        <w:tc>
          <w:tcPr>
            <w:tcW w:w="4019" w:type="dxa"/>
            <w:shd w:val="clear" w:color="auto" w:fill="auto"/>
          </w:tcPr>
          <w:p w14:paraId="34C42774" w14:textId="77777777" w:rsidR="00D22636" w:rsidRPr="00CF2D17" w:rsidRDefault="00D22636" w:rsidP="00CF2D17">
            <w:pPr>
              <w:jc w:val="both"/>
              <w:rPr>
                <w:rFonts w:ascii="Book Antiqua" w:hAnsi="Book Antiqua" w:cs="Arial"/>
                <w:b/>
              </w:rPr>
            </w:pPr>
          </w:p>
        </w:tc>
      </w:tr>
    </w:tbl>
    <w:p w14:paraId="4B0DCDB9" w14:textId="77777777" w:rsidR="00A15234" w:rsidRPr="00F97703" w:rsidRDefault="00A15234" w:rsidP="00A15234">
      <w:pPr>
        <w:jc w:val="center"/>
        <w:rPr>
          <w:rFonts w:ascii="Book Antiqua" w:hAnsi="Book Antiqua" w:cs="Arial"/>
        </w:rPr>
      </w:pPr>
    </w:p>
    <w:p w14:paraId="1236FE3B" w14:textId="77777777" w:rsidR="00A15234" w:rsidRPr="00F97703" w:rsidRDefault="00207617" w:rsidP="000652CE">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14:paraId="62C3CCDD" w14:textId="77777777" w:rsidR="00A15234" w:rsidRDefault="00A15234" w:rsidP="00A15234">
      <w:pPr>
        <w:jc w:val="center"/>
        <w:rPr>
          <w:rFonts w:ascii="Book Antiqua" w:hAnsi="Book Antiqua" w:cs="Arial"/>
          <w:b/>
        </w:rPr>
      </w:pPr>
    </w:p>
    <w:p w14:paraId="0C97134E" w14:textId="77777777" w:rsidR="00D83B22" w:rsidRDefault="006E6C96" w:rsidP="00A15234">
      <w:pPr>
        <w:jc w:val="center"/>
        <w:rPr>
          <w:rFonts w:ascii="Book Antiqua" w:hAnsi="Book Antiqua" w:cs="Arial"/>
          <w:b/>
        </w:rPr>
      </w:pPr>
      <w:r>
        <w:rPr>
          <w:rFonts w:ascii="Book Antiqua" w:hAnsi="Book Antiqua" w:cs="Arial"/>
          <w:b/>
        </w:rPr>
        <w:t>LORD UIST</w:t>
      </w:r>
      <w:r w:rsidR="005A2CD0">
        <w:rPr>
          <w:rFonts w:ascii="Book Antiqua" w:hAnsi="Book Antiqua" w:cs="Arial"/>
          <w:b/>
        </w:rPr>
        <w:t xml:space="preserve"> (SITTING AS A JUDGE OF THE UPPER TRIBUNAL)</w:t>
      </w:r>
    </w:p>
    <w:p w14:paraId="1ACC42B9" w14:textId="77777777" w:rsidR="001B186A" w:rsidRPr="00F97703" w:rsidRDefault="00667698" w:rsidP="008A6A1D">
      <w:pPr>
        <w:jc w:val="center"/>
        <w:outlineLvl w:val="0"/>
        <w:rPr>
          <w:rFonts w:ascii="Book Antiqua" w:hAnsi="Book Antiqua" w:cs="Arial"/>
          <w:b/>
          <w:color w:val="000000"/>
        </w:rPr>
      </w:pPr>
      <w:r>
        <w:rPr>
          <w:rFonts w:ascii="Book Antiqua" w:hAnsi="Book Antiqua" w:cs="Arial"/>
          <w:b/>
          <w:color w:val="000000"/>
        </w:rPr>
        <w:t>UPPER TRIBUNAL JUDGE KEBEDE</w:t>
      </w:r>
    </w:p>
    <w:p w14:paraId="29286D34" w14:textId="77777777" w:rsidR="0053164F" w:rsidRDefault="0053164F" w:rsidP="00E177AA">
      <w:pPr>
        <w:rPr>
          <w:rFonts w:ascii="Book Antiqua" w:hAnsi="Book Antiqua" w:cs="Arial"/>
          <w:b/>
        </w:rPr>
      </w:pPr>
    </w:p>
    <w:p w14:paraId="0EF22DFF" w14:textId="77777777" w:rsidR="008A6A1D" w:rsidRPr="00F97703" w:rsidRDefault="008A6A1D" w:rsidP="00E177AA">
      <w:pPr>
        <w:rPr>
          <w:rFonts w:ascii="Book Antiqua" w:hAnsi="Book Antiqua" w:cs="Arial"/>
          <w:b/>
        </w:rPr>
      </w:pPr>
    </w:p>
    <w:p w14:paraId="7BDB5BC3" w14:textId="77777777" w:rsidR="00A845DC" w:rsidRDefault="00A845DC" w:rsidP="000652CE">
      <w:pPr>
        <w:jc w:val="center"/>
        <w:outlineLvl w:val="0"/>
        <w:rPr>
          <w:rFonts w:ascii="Book Antiqua" w:hAnsi="Book Antiqua" w:cs="Arial"/>
          <w:b/>
        </w:rPr>
      </w:pPr>
      <w:r w:rsidRPr="00F97703">
        <w:rPr>
          <w:rFonts w:ascii="Book Antiqua" w:hAnsi="Book Antiqua" w:cs="Arial"/>
          <w:b/>
        </w:rPr>
        <w:t>Between</w:t>
      </w:r>
    </w:p>
    <w:p w14:paraId="295C36A9" w14:textId="77777777" w:rsidR="00943606" w:rsidRPr="00F97703" w:rsidRDefault="00943606" w:rsidP="000652CE">
      <w:pPr>
        <w:jc w:val="center"/>
        <w:outlineLvl w:val="0"/>
        <w:rPr>
          <w:rFonts w:ascii="Book Antiqua" w:hAnsi="Book Antiqua" w:cs="Arial"/>
          <w:b/>
        </w:rPr>
      </w:pPr>
    </w:p>
    <w:p w14:paraId="51A9BDBF" w14:textId="6961752D" w:rsidR="00E230DB" w:rsidRDefault="006E6C96" w:rsidP="004B1F6E">
      <w:pPr>
        <w:jc w:val="center"/>
        <w:outlineLvl w:val="0"/>
        <w:rPr>
          <w:rFonts w:ascii="Book Antiqua" w:hAnsi="Book Antiqua" w:cs="Arial"/>
          <w:b/>
          <w:caps/>
        </w:rPr>
      </w:pPr>
      <w:r>
        <w:rPr>
          <w:rFonts w:ascii="Book Antiqua" w:hAnsi="Book Antiqua" w:cs="Arial"/>
          <w:b/>
          <w:caps/>
        </w:rPr>
        <w:t>p</w:t>
      </w:r>
      <w:r w:rsidR="00DA3A2A">
        <w:rPr>
          <w:rFonts w:ascii="Book Antiqua" w:hAnsi="Book Antiqua" w:cs="Arial"/>
          <w:b/>
          <w:caps/>
        </w:rPr>
        <w:t xml:space="preserve">eter </w:t>
      </w:r>
      <w:r w:rsidR="0035116E">
        <w:rPr>
          <w:rFonts w:ascii="Book Antiqua" w:hAnsi="Book Antiqua" w:cs="Arial"/>
          <w:b/>
          <w:caps/>
        </w:rPr>
        <w:t>[</w:t>
      </w:r>
      <w:r w:rsidR="00DA3A2A">
        <w:rPr>
          <w:rFonts w:ascii="Book Antiqua" w:hAnsi="Book Antiqua" w:cs="Arial"/>
          <w:b/>
          <w:caps/>
        </w:rPr>
        <w:t>o</w:t>
      </w:r>
      <w:r w:rsidR="0035116E">
        <w:rPr>
          <w:rFonts w:ascii="Book Antiqua" w:hAnsi="Book Antiqua" w:cs="Arial"/>
          <w:b/>
          <w:caps/>
        </w:rPr>
        <w:t>]</w:t>
      </w:r>
    </w:p>
    <w:p w14:paraId="1371F6AB" w14:textId="77777777" w:rsidR="00704B61" w:rsidRPr="00F97703" w:rsidRDefault="00704B61" w:rsidP="000652CE">
      <w:pPr>
        <w:jc w:val="right"/>
        <w:outlineLvl w:val="0"/>
        <w:rPr>
          <w:rFonts w:ascii="Book Antiqua" w:hAnsi="Book Antiqua" w:cs="Arial"/>
          <w:u w:val="single"/>
        </w:rPr>
      </w:pPr>
      <w:r w:rsidRPr="00F97703">
        <w:rPr>
          <w:rFonts w:ascii="Book Antiqua" w:hAnsi="Book Antiqua" w:cs="Arial"/>
          <w:u w:val="single"/>
        </w:rPr>
        <w:t>Appellant</w:t>
      </w:r>
    </w:p>
    <w:p w14:paraId="1610AF5A" w14:textId="77777777" w:rsidR="00704B61" w:rsidRPr="00F97703" w:rsidRDefault="00DD5071" w:rsidP="00704B61">
      <w:pPr>
        <w:jc w:val="center"/>
        <w:rPr>
          <w:rFonts w:ascii="Book Antiqua" w:hAnsi="Book Antiqua" w:cs="Arial"/>
          <w:b/>
        </w:rPr>
      </w:pPr>
      <w:r w:rsidRPr="00F97703">
        <w:rPr>
          <w:rFonts w:ascii="Book Antiqua" w:hAnsi="Book Antiqua" w:cs="Arial"/>
          <w:b/>
        </w:rPr>
        <w:t>and</w:t>
      </w:r>
    </w:p>
    <w:p w14:paraId="1923D023" w14:textId="77777777" w:rsidR="00AC5900" w:rsidRPr="00F97703" w:rsidRDefault="00AC5900" w:rsidP="00704B61">
      <w:pPr>
        <w:jc w:val="center"/>
        <w:rPr>
          <w:rFonts w:ascii="Book Antiqua" w:hAnsi="Book Antiqua" w:cs="Arial"/>
          <w:b/>
        </w:rPr>
      </w:pPr>
    </w:p>
    <w:p w14:paraId="0DF48A49" w14:textId="77777777" w:rsidR="00667698" w:rsidRDefault="001D227D" w:rsidP="001D227D">
      <w:pPr>
        <w:jc w:val="center"/>
        <w:outlineLvl w:val="0"/>
        <w:rPr>
          <w:rFonts w:ascii="Book Antiqua" w:hAnsi="Book Antiqua" w:cs="Arial"/>
          <w:u w:val="single"/>
        </w:rPr>
      </w:pPr>
      <w:r>
        <w:rPr>
          <w:rFonts w:ascii="Book Antiqua" w:hAnsi="Book Antiqua" w:cs="Arial"/>
          <w:b/>
        </w:rPr>
        <w:t>SECRETARY OF STATE FOR THE HOME DEPARTMENT</w:t>
      </w:r>
    </w:p>
    <w:p w14:paraId="7969D581" w14:textId="77777777" w:rsidR="00E230DB" w:rsidRPr="00842D0E" w:rsidRDefault="00DD5071" w:rsidP="00842D0E">
      <w:pPr>
        <w:jc w:val="right"/>
        <w:outlineLvl w:val="0"/>
        <w:rPr>
          <w:rFonts w:ascii="Book Antiqua" w:hAnsi="Book Antiqua" w:cs="Arial"/>
          <w:u w:val="single"/>
        </w:rPr>
      </w:pPr>
      <w:r w:rsidRPr="00F97703">
        <w:rPr>
          <w:rFonts w:ascii="Book Antiqua" w:hAnsi="Book Antiqua" w:cs="Arial"/>
          <w:u w:val="single"/>
        </w:rPr>
        <w:t>Respondent</w:t>
      </w:r>
    </w:p>
    <w:p w14:paraId="6C309E89" w14:textId="77777777" w:rsidR="00ED0704" w:rsidRDefault="00ED0704" w:rsidP="000652CE">
      <w:pPr>
        <w:outlineLvl w:val="0"/>
        <w:rPr>
          <w:rFonts w:ascii="Book Antiqua" w:hAnsi="Book Antiqua" w:cs="Arial"/>
          <w:b/>
          <w:u w:val="single"/>
        </w:rPr>
      </w:pPr>
    </w:p>
    <w:p w14:paraId="203EE488" w14:textId="77777777" w:rsidR="006E6C96" w:rsidRDefault="006E6C96" w:rsidP="000652CE">
      <w:pPr>
        <w:outlineLvl w:val="0"/>
        <w:rPr>
          <w:rFonts w:ascii="Book Antiqua" w:hAnsi="Book Antiqua" w:cs="Arial"/>
          <w:b/>
          <w:u w:val="single"/>
        </w:rPr>
      </w:pPr>
    </w:p>
    <w:p w14:paraId="27D20B80" w14:textId="77777777" w:rsidR="00DD5071" w:rsidRPr="00F97703" w:rsidRDefault="00DE7DB7" w:rsidP="000652CE">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404459CE" w14:textId="77777777" w:rsidR="00B56079" w:rsidRPr="00F97703" w:rsidRDefault="00B56079" w:rsidP="00B56079">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CB43B2">
        <w:rPr>
          <w:rFonts w:ascii="Book Antiqua" w:hAnsi="Book Antiqua" w:cs="Arial"/>
        </w:rPr>
        <w:t>Mr A Pipe</w:t>
      </w:r>
      <w:r w:rsidR="00BE3C66">
        <w:rPr>
          <w:rFonts w:ascii="Book Antiqua" w:hAnsi="Book Antiqua" w:cs="Arial"/>
        </w:rPr>
        <w:t xml:space="preserve">, </w:t>
      </w:r>
      <w:r w:rsidR="006E6C96">
        <w:rPr>
          <w:rFonts w:ascii="Book Antiqua" w:hAnsi="Book Antiqua" w:cs="Arial"/>
        </w:rPr>
        <w:t>Counsel</w:t>
      </w:r>
    </w:p>
    <w:p w14:paraId="193615B2" w14:textId="77777777" w:rsidR="00B56079" w:rsidRPr="00F97703" w:rsidRDefault="00B56079" w:rsidP="00B56079">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FF2BF9">
        <w:rPr>
          <w:rFonts w:ascii="Book Antiqua" w:hAnsi="Book Antiqua" w:cs="Arial"/>
        </w:rPr>
        <w:t xml:space="preserve">Mr </w:t>
      </w:r>
      <w:r w:rsidR="00CB43B2">
        <w:rPr>
          <w:rFonts w:ascii="Book Antiqua" w:hAnsi="Book Antiqua" w:cs="Arial"/>
        </w:rPr>
        <w:t>T Wilding</w:t>
      </w:r>
      <w:r>
        <w:rPr>
          <w:rFonts w:ascii="Book Antiqua" w:hAnsi="Book Antiqua" w:cs="Arial"/>
        </w:rPr>
        <w:t>, Senior Home Office Presenting Officer</w:t>
      </w:r>
    </w:p>
    <w:p w14:paraId="4AEB09AE" w14:textId="77777777" w:rsidR="00DE7DB7" w:rsidRPr="00F97703" w:rsidRDefault="00DE7DB7" w:rsidP="00402B9E">
      <w:pPr>
        <w:tabs>
          <w:tab w:val="left" w:pos="2520"/>
        </w:tabs>
        <w:jc w:val="center"/>
        <w:rPr>
          <w:rFonts w:ascii="Book Antiqua" w:hAnsi="Book Antiqua" w:cs="Arial"/>
        </w:rPr>
      </w:pPr>
    </w:p>
    <w:p w14:paraId="35DF4502" w14:textId="77777777" w:rsidR="00DE7DB7" w:rsidRPr="00F97703" w:rsidRDefault="00DE7DB7" w:rsidP="00402B9E">
      <w:pPr>
        <w:tabs>
          <w:tab w:val="left" w:pos="2520"/>
        </w:tabs>
        <w:jc w:val="center"/>
        <w:rPr>
          <w:rFonts w:ascii="Book Antiqua" w:hAnsi="Book Antiqua" w:cs="Arial"/>
        </w:rPr>
      </w:pPr>
    </w:p>
    <w:p w14:paraId="51672DAD" w14:textId="77777777" w:rsidR="00BA580B" w:rsidRPr="00BA580B" w:rsidRDefault="00402B9E" w:rsidP="00BA580B">
      <w:pPr>
        <w:tabs>
          <w:tab w:val="left" w:pos="2520"/>
        </w:tabs>
        <w:jc w:val="center"/>
        <w:outlineLvl w:val="0"/>
        <w:rPr>
          <w:rFonts w:ascii="Book Antiqua" w:hAnsi="Book Antiqua" w:cs="Arial"/>
        </w:rPr>
      </w:pPr>
      <w:r w:rsidRPr="00F97703">
        <w:rPr>
          <w:rFonts w:ascii="Book Antiqua" w:hAnsi="Book Antiqua" w:cs="Arial"/>
          <w:b/>
          <w:u w:val="single"/>
        </w:rPr>
        <w:t>DE</w:t>
      </w:r>
      <w:r w:rsidR="00E33708">
        <w:rPr>
          <w:rFonts w:ascii="Book Antiqua" w:hAnsi="Book Antiqua" w:cs="Arial"/>
          <w:b/>
          <w:u w:val="single"/>
        </w:rPr>
        <w:t>CISI</w:t>
      </w:r>
      <w:r w:rsidRPr="00F97703">
        <w:rPr>
          <w:rFonts w:ascii="Book Antiqua" w:hAnsi="Book Antiqua" w:cs="Arial"/>
          <w:b/>
          <w:u w:val="single"/>
        </w:rPr>
        <w:t>ON AND REASONS</w:t>
      </w:r>
    </w:p>
    <w:p w14:paraId="61C5A127" w14:textId="3CD954C6" w:rsidR="00F966BD" w:rsidRDefault="0035116E"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066AB9">
        <w:rPr>
          <w:rFonts w:ascii="Book Antiqua" w:hAnsi="Book Antiqua"/>
        </w:rPr>
        <w:t>The appellant</w:t>
      </w:r>
      <w:r w:rsidR="00F966BD">
        <w:rPr>
          <w:rFonts w:ascii="Book Antiqua" w:hAnsi="Book Antiqua"/>
        </w:rPr>
        <w:t xml:space="preserve"> is a</w:t>
      </w:r>
      <w:r w:rsidR="00066AB9">
        <w:rPr>
          <w:rFonts w:ascii="Book Antiqua" w:hAnsi="Book Antiqua"/>
        </w:rPr>
        <w:t xml:space="preserve"> citizen</w:t>
      </w:r>
      <w:r w:rsidR="00066AB9" w:rsidRPr="00CD0A71">
        <w:rPr>
          <w:rFonts w:ascii="Book Antiqua" w:hAnsi="Book Antiqua"/>
        </w:rPr>
        <w:t xml:space="preserve"> of </w:t>
      </w:r>
      <w:r w:rsidR="006E6C96">
        <w:rPr>
          <w:rFonts w:ascii="Book Antiqua" w:hAnsi="Book Antiqua"/>
        </w:rPr>
        <w:t>Nigeri</w:t>
      </w:r>
      <w:r w:rsidR="00544BD3">
        <w:rPr>
          <w:rFonts w:ascii="Book Antiqua" w:hAnsi="Book Antiqua"/>
        </w:rPr>
        <w:t>a</w:t>
      </w:r>
      <w:r w:rsidR="00155B80">
        <w:rPr>
          <w:rFonts w:ascii="Book Antiqua" w:hAnsi="Book Antiqua"/>
        </w:rPr>
        <w:t xml:space="preserve"> born on </w:t>
      </w:r>
      <w:r w:rsidR="00CB43B2">
        <w:rPr>
          <w:rFonts w:ascii="Book Antiqua" w:hAnsi="Book Antiqua"/>
        </w:rPr>
        <w:t>4 June 1986</w:t>
      </w:r>
      <w:r w:rsidR="00066AB9" w:rsidRPr="00CD0A71">
        <w:rPr>
          <w:rFonts w:ascii="Book Antiqua" w:hAnsi="Book Antiqua"/>
        </w:rPr>
        <w:t xml:space="preserve">. </w:t>
      </w:r>
      <w:r w:rsidR="00FF2BF9">
        <w:rPr>
          <w:rFonts w:ascii="Book Antiqua" w:hAnsi="Book Antiqua"/>
        </w:rPr>
        <w:t>H</w:t>
      </w:r>
      <w:r w:rsidR="00E24E10">
        <w:rPr>
          <w:rFonts w:ascii="Book Antiqua" w:hAnsi="Book Antiqua"/>
        </w:rPr>
        <w:t>e</w:t>
      </w:r>
      <w:r w:rsidR="00F966BD">
        <w:rPr>
          <w:rFonts w:ascii="Book Antiqua" w:hAnsi="Book Antiqua"/>
        </w:rPr>
        <w:t xml:space="preserve"> has been given permission to appeal against the de</w:t>
      </w:r>
      <w:r w:rsidR="00D436C2">
        <w:rPr>
          <w:rFonts w:ascii="Book Antiqua" w:hAnsi="Book Antiqua"/>
        </w:rPr>
        <w:t>cis</w:t>
      </w:r>
      <w:r w:rsidR="00F966BD">
        <w:rPr>
          <w:rFonts w:ascii="Book Antiqua" w:hAnsi="Book Antiqua"/>
        </w:rPr>
        <w:t xml:space="preserve">ion of First-tier Tribunal Judge </w:t>
      </w:r>
      <w:r w:rsidR="00CB43B2">
        <w:rPr>
          <w:rFonts w:ascii="Book Antiqua" w:hAnsi="Book Antiqua"/>
        </w:rPr>
        <w:t>Miller</w:t>
      </w:r>
      <w:r w:rsidR="00F966BD">
        <w:rPr>
          <w:rFonts w:ascii="Book Antiqua" w:hAnsi="Book Antiqua"/>
        </w:rPr>
        <w:t xml:space="preserve"> dismissing h</w:t>
      </w:r>
      <w:r w:rsidR="00FF2BF9">
        <w:rPr>
          <w:rFonts w:ascii="Book Antiqua" w:hAnsi="Book Antiqua"/>
        </w:rPr>
        <w:t>is</w:t>
      </w:r>
      <w:r w:rsidR="00F966BD">
        <w:rPr>
          <w:rFonts w:ascii="Book Antiqua" w:hAnsi="Book Antiqua"/>
        </w:rPr>
        <w:t xml:space="preserve"> appeal</w:t>
      </w:r>
      <w:r w:rsidR="00544BD3">
        <w:rPr>
          <w:rFonts w:ascii="Book Antiqua" w:hAnsi="Book Antiqua"/>
        </w:rPr>
        <w:t>, from outside the UK,</w:t>
      </w:r>
      <w:r w:rsidR="00F966BD">
        <w:rPr>
          <w:rFonts w:ascii="Book Antiqua" w:hAnsi="Book Antiqua"/>
        </w:rPr>
        <w:t xml:space="preserve"> against the respondent’s decision </w:t>
      </w:r>
      <w:r w:rsidR="00AD241A">
        <w:rPr>
          <w:rFonts w:ascii="Book Antiqua" w:hAnsi="Book Antiqua"/>
        </w:rPr>
        <w:t xml:space="preserve">to </w:t>
      </w:r>
      <w:r w:rsidR="006E6C96">
        <w:rPr>
          <w:rFonts w:ascii="Book Antiqua" w:hAnsi="Book Antiqua"/>
        </w:rPr>
        <w:t>deport him and to refuse his human rights claim and certify the claim</w:t>
      </w:r>
      <w:r w:rsidR="006101E4">
        <w:rPr>
          <w:rFonts w:ascii="Book Antiqua" w:hAnsi="Book Antiqua"/>
        </w:rPr>
        <w:t xml:space="preserve"> </w:t>
      </w:r>
      <w:r w:rsidR="00544BD3">
        <w:rPr>
          <w:rFonts w:ascii="Book Antiqua" w:hAnsi="Book Antiqua"/>
        </w:rPr>
        <w:t>under section 94</w:t>
      </w:r>
      <w:r w:rsidR="006101E4">
        <w:rPr>
          <w:rFonts w:ascii="Book Antiqua" w:hAnsi="Book Antiqua"/>
        </w:rPr>
        <w:t>B</w:t>
      </w:r>
      <w:r w:rsidR="00544BD3">
        <w:rPr>
          <w:rFonts w:ascii="Book Antiqua" w:hAnsi="Book Antiqua"/>
        </w:rPr>
        <w:t xml:space="preserve"> of the Nationality, Immigration and Asylum Act 2002</w:t>
      </w:r>
      <w:r w:rsidR="00F966BD">
        <w:rPr>
          <w:rFonts w:ascii="Book Antiqua" w:hAnsi="Book Antiqua"/>
        </w:rPr>
        <w:t>.</w:t>
      </w:r>
    </w:p>
    <w:p w14:paraId="04A7D63E" w14:textId="406782BB" w:rsidR="00ED18A5" w:rsidRDefault="0035116E"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lastRenderedPageBreak/>
        <w:tab/>
      </w:r>
      <w:r w:rsidR="00E33708" w:rsidRPr="00810AEB">
        <w:rPr>
          <w:rFonts w:ascii="Book Antiqua" w:hAnsi="Book Antiqua"/>
        </w:rPr>
        <w:t xml:space="preserve">The </w:t>
      </w:r>
      <w:r w:rsidR="00E24E10" w:rsidRPr="00810AEB">
        <w:rPr>
          <w:rFonts w:ascii="Book Antiqua" w:hAnsi="Book Antiqua"/>
        </w:rPr>
        <w:t xml:space="preserve">appellant </w:t>
      </w:r>
      <w:r w:rsidR="00544BD3" w:rsidRPr="00810AEB">
        <w:rPr>
          <w:rFonts w:ascii="Book Antiqua" w:hAnsi="Book Antiqua"/>
        </w:rPr>
        <w:t xml:space="preserve">entered the UK </w:t>
      </w:r>
      <w:r w:rsidR="00BB3A4F" w:rsidRPr="00810AEB">
        <w:rPr>
          <w:rFonts w:ascii="Book Antiqua" w:hAnsi="Book Antiqua"/>
        </w:rPr>
        <w:t xml:space="preserve">on </w:t>
      </w:r>
      <w:r w:rsidR="00FC097A" w:rsidRPr="00810AEB">
        <w:rPr>
          <w:rFonts w:ascii="Book Antiqua" w:hAnsi="Book Antiqua"/>
        </w:rPr>
        <w:t>3 April 20</w:t>
      </w:r>
      <w:r w:rsidR="00810AEB" w:rsidRPr="00810AEB">
        <w:rPr>
          <w:rFonts w:ascii="Book Antiqua" w:hAnsi="Book Antiqua"/>
        </w:rPr>
        <w:t>0</w:t>
      </w:r>
      <w:r w:rsidR="00FC097A" w:rsidRPr="00810AEB">
        <w:rPr>
          <w:rFonts w:ascii="Book Antiqua" w:hAnsi="Book Antiqua"/>
        </w:rPr>
        <w:t>8</w:t>
      </w:r>
      <w:r w:rsidR="00810AEB" w:rsidRPr="00810AEB">
        <w:rPr>
          <w:rFonts w:ascii="Book Antiqua" w:hAnsi="Book Antiqua"/>
        </w:rPr>
        <w:t xml:space="preserve"> with a student visa and was subsequently granted leave to remain until 31 July 2015 on the grounds of his family life with his </w:t>
      </w:r>
      <w:r w:rsidR="00810AEB">
        <w:rPr>
          <w:rFonts w:ascii="Book Antiqua" w:hAnsi="Book Antiqua"/>
        </w:rPr>
        <w:t xml:space="preserve">British </w:t>
      </w:r>
      <w:r w:rsidR="003E576C">
        <w:rPr>
          <w:rFonts w:ascii="Book Antiqua" w:hAnsi="Book Antiqua"/>
        </w:rPr>
        <w:t>partner</w:t>
      </w:r>
      <w:r w:rsidR="00810AEB" w:rsidRPr="00810AEB">
        <w:rPr>
          <w:rFonts w:ascii="Book Antiqua" w:hAnsi="Book Antiqua"/>
        </w:rPr>
        <w:t xml:space="preserve"> </w:t>
      </w:r>
      <w:r w:rsidR="00810AEB">
        <w:rPr>
          <w:rFonts w:ascii="Book Antiqua" w:hAnsi="Book Antiqua"/>
        </w:rPr>
        <w:t>and</w:t>
      </w:r>
      <w:r w:rsidR="00810AEB" w:rsidRPr="00810AEB">
        <w:rPr>
          <w:rFonts w:ascii="Book Antiqua" w:hAnsi="Book Antiqua"/>
        </w:rPr>
        <w:t xml:space="preserve"> child.</w:t>
      </w:r>
      <w:r w:rsidR="00E57DCB">
        <w:rPr>
          <w:rFonts w:ascii="Book Antiqua" w:hAnsi="Book Antiqua"/>
        </w:rPr>
        <w:t xml:space="preserve"> On 28 July 2015 he submitted an application for further leave to remain on the basis of his family life.</w:t>
      </w:r>
    </w:p>
    <w:p w14:paraId="72FB8138" w14:textId="00D770CD" w:rsidR="00810AEB" w:rsidRDefault="00810AEB"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sidRPr="00810AEB">
        <w:rPr>
          <w:rFonts w:ascii="Book Antiqua" w:hAnsi="Book Antiqua"/>
        </w:rPr>
        <w:t xml:space="preserve"> </w:t>
      </w:r>
      <w:r w:rsidR="0035116E">
        <w:rPr>
          <w:rFonts w:ascii="Book Antiqua" w:hAnsi="Book Antiqua"/>
        </w:rPr>
        <w:tab/>
      </w:r>
      <w:r w:rsidRPr="00810AEB">
        <w:rPr>
          <w:rFonts w:ascii="Book Antiqua" w:hAnsi="Book Antiqua"/>
        </w:rPr>
        <w:t xml:space="preserve">On 9 September 2015 </w:t>
      </w:r>
      <w:r w:rsidR="00ED18A5">
        <w:rPr>
          <w:rFonts w:ascii="Book Antiqua" w:hAnsi="Book Antiqua"/>
        </w:rPr>
        <w:t>the appellant</w:t>
      </w:r>
      <w:r w:rsidRPr="00810AEB">
        <w:rPr>
          <w:rFonts w:ascii="Book Antiqua" w:hAnsi="Book Antiqua"/>
        </w:rPr>
        <w:t xml:space="preserve"> </w:t>
      </w:r>
      <w:r w:rsidR="000E2DF4" w:rsidRPr="00810AEB">
        <w:rPr>
          <w:rFonts w:ascii="Book Antiqua" w:hAnsi="Book Antiqua"/>
        </w:rPr>
        <w:t xml:space="preserve">was convicted </w:t>
      </w:r>
      <w:r w:rsidRPr="00810AEB">
        <w:rPr>
          <w:rFonts w:ascii="Book Antiqua" w:hAnsi="Book Antiqua"/>
        </w:rPr>
        <w:t>of six</w:t>
      </w:r>
      <w:r w:rsidR="00FB05EB" w:rsidRPr="00810AEB">
        <w:rPr>
          <w:rFonts w:ascii="Book Antiqua" w:hAnsi="Book Antiqua"/>
        </w:rPr>
        <w:t xml:space="preserve"> counts</w:t>
      </w:r>
      <w:r w:rsidR="000E2DF4" w:rsidRPr="00810AEB">
        <w:rPr>
          <w:rFonts w:ascii="Book Antiqua" w:hAnsi="Book Antiqua"/>
        </w:rPr>
        <w:t xml:space="preserve"> involving </w:t>
      </w:r>
      <w:r w:rsidR="00FB05EB" w:rsidRPr="00810AEB">
        <w:rPr>
          <w:rFonts w:ascii="Book Antiqua" w:hAnsi="Book Antiqua"/>
        </w:rPr>
        <w:t xml:space="preserve">offences of </w:t>
      </w:r>
      <w:r w:rsidR="000E2DF4" w:rsidRPr="00810AEB">
        <w:rPr>
          <w:rFonts w:ascii="Book Antiqua" w:hAnsi="Book Antiqua"/>
        </w:rPr>
        <w:t xml:space="preserve">dishonesty, </w:t>
      </w:r>
      <w:r w:rsidRPr="00810AEB">
        <w:rPr>
          <w:rFonts w:ascii="Book Antiqua" w:hAnsi="Book Antiqua"/>
        </w:rPr>
        <w:t>fraud and</w:t>
      </w:r>
      <w:r w:rsidR="000E2DF4" w:rsidRPr="00810AEB">
        <w:rPr>
          <w:rFonts w:ascii="Book Antiqua" w:hAnsi="Book Antiqua"/>
        </w:rPr>
        <w:t xml:space="preserve"> making false representations </w:t>
      </w:r>
      <w:r w:rsidR="00FB05EB" w:rsidRPr="00810AEB">
        <w:rPr>
          <w:rFonts w:ascii="Book Antiqua" w:hAnsi="Book Antiqua"/>
        </w:rPr>
        <w:t>and he was sentenced to a total of 2</w:t>
      </w:r>
      <w:r w:rsidRPr="00810AEB">
        <w:rPr>
          <w:rFonts w:ascii="Book Antiqua" w:hAnsi="Book Antiqua"/>
        </w:rPr>
        <w:t>0</w:t>
      </w:r>
      <w:r w:rsidR="00FB05EB" w:rsidRPr="00810AEB">
        <w:rPr>
          <w:rFonts w:ascii="Book Antiqua" w:hAnsi="Book Antiqua"/>
        </w:rPr>
        <w:t xml:space="preserve"> months’ imprisonment.</w:t>
      </w:r>
      <w:r w:rsidR="00ED18A5">
        <w:rPr>
          <w:rFonts w:ascii="Book Antiqua" w:hAnsi="Book Antiqua"/>
        </w:rPr>
        <w:t xml:space="preserve"> The appellant was convicted together with a woman, </w:t>
      </w:r>
      <w:r w:rsidR="0035116E">
        <w:rPr>
          <w:rFonts w:ascii="Book Antiqua" w:hAnsi="Book Antiqua"/>
        </w:rPr>
        <w:t>[</w:t>
      </w:r>
      <w:r w:rsidR="00ED18A5">
        <w:rPr>
          <w:rFonts w:ascii="Book Antiqua" w:hAnsi="Book Antiqua"/>
        </w:rPr>
        <w:t>AK</w:t>
      </w:r>
      <w:r w:rsidR="0035116E">
        <w:rPr>
          <w:rFonts w:ascii="Book Antiqua" w:hAnsi="Book Antiqua"/>
        </w:rPr>
        <w:t>]</w:t>
      </w:r>
      <w:r w:rsidR="00ED18A5">
        <w:rPr>
          <w:rFonts w:ascii="Book Antiqua" w:hAnsi="Book Antiqua"/>
        </w:rPr>
        <w:t>, with whom he had acted in obtaining false bank cards and using the cards to make various purchases.</w:t>
      </w:r>
    </w:p>
    <w:p w14:paraId="4FBFD448" w14:textId="293BAB60" w:rsidR="00306A6C" w:rsidRPr="003E576C" w:rsidRDefault="00FB05EB"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sidRPr="003E576C">
        <w:rPr>
          <w:rFonts w:ascii="Book Antiqua" w:hAnsi="Book Antiqua"/>
        </w:rPr>
        <w:t xml:space="preserve"> </w:t>
      </w:r>
      <w:r w:rsidR="0035116E">
        <w:rPr>
          <w:rFonts w:ascii="Book Antiqua" w:hAnsi="Book Antiqua"/>
        </w:rPr>
        <w:tab/>
      </w:r>
      <w:r w:rsidRPr="003E576C">
        <w:rPr>
          <w:rFonts w:ascii="Book Antiqua" w:hAnsi="Book Antiqua"/>
        </w:rPr>
        <w:t xml:space="preserve">On </w:t>
      </w:r>
      <w:r w:rsidR="00810AEB" w:rsidRPr="003E576C">
        <w:rPr>
          <w:rFonts w:ascii="Book Antiqua" w:hAnsi="Book Antiqua"/>
        </w:rPr>
        <w:t>25 January 2016</w:t>
      </w:r>
      <w:r w:rsidRPr="003E576C">
        <w:rPr>
          <w:rFonts w:ascii="Book Antiqua" w:hAnsi="Book Antiqua"/>
        </w:rPr>
        <w:t xml:space="preserve"> </w:t>
      </w:r>
      <w:r w:rsidR="00810AEB" w:rsidRPr="003E576C">
        <w:rPr>
          <w:rFonts w:ascii="Book Antiqua" w:hAnsi="Book Antiqua"/>
        </w:rPr>
        <w:t>the appellant</w:t>
      </w:r>
      <w:r w:rsidRPr="003E576C">
        <w:rPr>
          <w:rFonts w:ascii="Book Antiqua" w:hAnsi="Book Antiqua"/>
        </w:rPr>
        <w:t xml:space="preserve"> was served with a </w:t>
      </w:r>
      <w:r w:rsidR="009E7FED" w:rsidRPr="003E576C">
        <w:rPr>
          <w:rFonts w:ascii="Book Antiqua" w:hAnsi="Book Antiqua"/>
        </w:rPr>
        <w:t xml:space="preserve">decision to deport </w:t>
      </w:r>
      <w:r w:rsidR="00810AEB" w:rsidRPr="003E576C">
        <w:rPr>
          <w:rFonts w:ascii="Book Antiqua" w:hAnsi="Book Antiqua"/>
        </w:rPr>
        <w:t xml:space="preserve">him. His solicitors made written representations in response dated 18 February 2018 referring to his </w:t>
      </w:r>
      <w:r w:rsidR="00E57DCB">
        <w:rPr>
          <w:rFonts w:ascii="Book Antiqua" w:hAnsi="Book Antiqua"/>
        </w:rPr>
        <w:t xml:space="preserve">outstanding application for leave to remain on the basis of his </w:t>
      </w:r>
      <w:r w:rsidR="00810AEB" w:rsidRPr="003E576C">
        <w:rPr>
          <w:rFonts w:ascii="Book Antiqua" w:hAnsi="Book Antiqua"/>
        </w:rPr>
        <w:t xml:space="preserve">family life with his </w:t>
      </w:r>
      <w:r w:rsidR="003E576C">
        <w:rPr>
          <w:rFonts w:ascii="Book Antiqua" w:hAnsi="Book Antiqua"/>
        </w:rPr>
        <w:t>partner</w:t>
      </w:r>
      <w:r w:rsidR="00810AEB" w:rsidRPr="003E576C">
        <w:rPr>
          <w:rFonts w:ascii="Book Antiqua" w:hAnsi="Book Antiqua"/>
        </w:rPr>
        <w:t xml:space="preserve"> and their child </w:t>
      </w:r>
      <w:r w:rsidR="0035116E">
        <w:rPr>
          <w:rFonts w:ascii="Book Antiqua" w:hAnsi="Book Antiqua"/>
        </w:rPr>
        <w:t>[</w:t>
      </w:r>
      <w:r w:rsidR="00810AEB" w:rsidRPr="003E576C">
        <w:rPr>
          <w:rFonts w:ascii="Book Antiqua" w:hAnsi="Book Antiqua"/>
        </w:rPr>
        <w:t>D</w:t>
      </w:r>
      <w:r w:rsidR="0035116E">
        <w:rPr>
          <w:rFonts w:ascii="Book Antiqua" w:hAnsi="Book Antiqua"/>
        </w:rPr>
        <w:t>]</w:t>
      </w:r>
      <w:r w:rsidR="00810AEB" w:rsidRPr="003E576C">
        <w:rPr>
          <w:rFonts w:ascii="Book Antiqua" w:hAnsi="Book Antiqua"/>
        </w:rPr>
        <w:t>, and his wife’s three children from a previous relationship, as well as his wife’s recent stillbirth.</w:t>
      </w:r>
      <w:r w:rsidR="003E576C" w:rsidRPr="003E576C">
        <w:rPr>
          <w:rFonts w:ascii="Book Antiqua" w:hAnsi="Book Antiqua"/>
        </w:rPr>
        <w:t xml:space="preserve"> The written representations were considered as </w:t>
      </w:r>
      <w:proofErr w:type="gramStart"/>
      <w:r w:rsidR="003E576C" w:rsidRPr="003E576C">
        <w:rPr>
          <w:rFonts w:ascii="Book Antiqua" w:hAnsi="Book Antiqua"/>
        </w:rPr>
        <w:t>a human rights</w:t>
      </w:r>
      <w:proofErr w:type="gramEnd"/>
      <w:r w:rsidR="003E576C" w:rsidRPr="003E576C">
        <w:rPr>
          <w:rFonts w:ascii="Book Antiqua" w:hAnsi="Book Antiqua"/>
        </w:rPr>
        <w:t xml:space="preserve"> claim which was then refused in a decision dated 13 May 2016 and certified </w:t>
      </w:r>
      <w:r w:rsidR="009E7FED" w:rsidRPr="003E576C">
        <w:rPr>
          <w:rFonts w:ascii="Book Antiqua" w:hAnsi="Book Antiqua"/>
        </w:rPr>
        <w:t xml:space="preserve">under section 94B of the 2002 Act. A deportation order was signed against </w:t>
      </w:r>
      <w:r w:rsidR="003E576C">
        <w:rPr>
          <w:rFonts w:ascii="Book Antiqua" w:hAnsi="Book Antiqua"/>
        </w:rPr>
        <w:t>the appellant</w:t>
      </w:r>
      <w:r w:rsidR="009E7FED" w:rsidRPr="003E576C">
        <w:rPr>
          <w:rFonts w:ascii="Book Antiqua" w:hAnsi="Book Antiqua"/>
        </w:rPr>
        <w:t xml:space="preserve"> the same day</w:t>
      </w:r>
      <w:r w:rsidR="00306A6C" w:rsidRPr="003E576C">
        <w:rPr>
          <w:rFonts w:ascii="Book Antiqua" w:hAnsi="Book Antiqua"/>
        </w:rPr>
        <w:t xml:space="preserve"> under section 32(5) of the UK Borders Act 2007</w:t>
      </w:r>
      <w:r w:rsidR="009E7FED" w:rsidRPr="003E576C">
        <w:rPr>
          <w:rFonts w:ascii="Book Antiqua" w:hAnsi="Book Antiqua"/>
        </w:rPr>
        <w:t>.</w:t>
      </w:r>
      <w:r w:rsidR="0029399E" w:rsidRPr="003E576C">
        <w:rPr>
          <w:rFonts w:ascii="Book Antiqua" w:hAnsi="Book Antiqua"/>
        </w:rPr>
        <w:t xml:space="preserve"> </w:t>
      </w:r>
    </w:p>
    <w:p w14:paraId="61ABEA4F" w14:textId="6B7A2DB3" w:rsidR="00FB05EB" w:rsidRDefault="0035116E"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29399E" w:rsidRPr="0029399E">
        <w:rPr>
          <w:rFonts w:ascii="Book Antiqua" w:hAnsi="Book Antiqua"/>
        </w:rPr>
        <w:t>In the decision</w:t>
      </w:r>
      <w:r w:rsidR="009E7FED" w:rsidRPr="0029399E">
        <w:rPr>
          <w:rFonts w:ascii="Book Antiqua" w:hAnsi="Book Antiqua"/>
        </w:rPr>
        <w:t xml:space="preserve"> refusing his human rights claim the respondent </w:t>
      </w:r>
      <w:r w:rsidR="00A71121">
        <w:rPr>
          <w:rFonts w:ascii="Book Antiqua" w:hAnsi="Book Antiqua"/>
        </w:rPr>
        <w:t xml:space="preserve">accepted that the appellant had a genuine and subsisting relationship with his partner and </w:t>
      </w:r>
      <w:r w:rsidR="0029399E">
        <w:rPr>
          <w:rFonts w:ascii="Book Antiqua" w:hAnsi="Book Antiqua"/>
        </w:rPr>
        <w:t xml:space="preserve">considered that it would not be unduly harsh for </w:t>
      </w:r>
      <w:r w:rsidR="00A71121">
        <w:rPr>
          <w:rFonts w:ascii="Book Antiqua" w:hAnsi="Book Antiqua"/>
        </w:rPr>
        <w:t>his</w:t>
      </w:r>
      <w:r w:rsidR="003E576C">
        <w:rPr>
          <w:rFonts w:ascii="Book Antiqua" w:hAnsi="Book Antiqua"/>
        </w:rPr>
        <w:t xml:space="preserve"> child and step-children</w:t>
      </w:r>
      <w:r w:rsidR="0029399E">
        <w:rPr>
          <w:rFonts w:ascii="Book Antiqua" w:hAnsi="Book Antiqua"/>
        </w:rPr>
        <w:t xml:space="preserve"> </w:t>
      </w:r>
      <w:r w:rsidR="00E0231B">
        <w:rPr>
          <w:rFonts w:ascii="Book Antiqua" w:hAnsi="Book Antiqua"/>
        </w:rPr>
        <w:t xml:space="preserve">and his partner </w:t>
      </w:r>
      <w:r w:rsidR="0029399E">
        <w:rPr>
          <w:rFonts w:ascii="Book Antiqua" w:hAnsi="Book Antiqua"/>
        </w:rPr>
        <w:t xml:space="preserve">to live in Nigeria or </w:t>
      </w:r>
      <w:r w:rsidR="00A71121">
        <w:rPr>
          <w:rFonts w:ascii="Book Antiqua" w:hAnsi="Book Antiqua"/>
        </w:rPr>
        <w:t xml:space="preserve">Ghana, from where his partner originated, or </w:t>
      </w:r>
      <w:r w:rsidR="0029399E">
        <w:rPr>
          <w:rFonts w:ascii="Book Antiqua" w:hAnsi="Book Antiqua"/>
        </w:rPr>
        <w:t>for them to remain in the UK whilst he was deported. The respondent considered that the appellant could not, therefore, meet the requirements of the exceptions in paragraph 399(a) and (b) of the immigration rules. With regard to paragraph 399A the respondent considered that the appe</w:t>
      </w:r>
      <w:r w:rsidR="00306A6C">
        <w:rPr>
          <w:rFonts w:ascii="Book Antiqua" w:hAnsi="Book Antiqua"/>
        </w:rPr>
        <w:t>llan</w:t>
      </w:r>
      <w:r w:rsidR="0029399E">
        <w:rPr>
          <w:rFonts w:ascii="Book Antiqua" w:hAnsi="Book Antiqua"/>
        </w:rPr>
        <w:t xml:space="preserve">t had not </w:t>
      </w:r>
      <w:r w:rsidR="00306A6C">
        <w:rPr>
          <w:rFonts w:ascii="Book Antiqua" w:hAnsi="Book Antiqua"/>
        </w:rPr>
        <w:t>be</w:t>
      </w:r>
      <w:r w:rsidR="0029399E">
        <w:rPr>
          <w:rFonts w:ascii="Book Antiqua" w:hAnsi="Book Antiqua"/>
        </w:rPr>
        <w:t xml:space="preserve">en </w:t>
      </w:r>
      <w:r w:rsidR="00306A6C">
        <w:rPr>
          <w:rFonts w:ascii="Book Antiqua" w:hAnsi="Book Antiqua"/>
        </w:rPr>
        <w:t>la</w:t>
      </w:r>
      <w:r w:rsidR="0029399E">
        <w:rPr>
          <w:rFonts w:ascii="Book Antiqua" w:hAnsi="Book Antiqua"/>
        </w:rPr>
        <w:t>wfully in the U</w:t>
      </w:r>
      <w:r w:rsidR="00306A6C">
        <w:rPr>
          <w:rFonts w:ascii="Book Antiqua" w:hAnsi="Book Antiqua"/>
        </w:rPr>
        <w:t>K</w:t>
      </w:r>
      <w:r w:rsidR="0029399E">
        <w:rPr>
          <w:rFonts w:ascii="Book Antiqua" w:hAnsi="Book Antiqua"/>
        </w:rPr>
        <w:t xml:space="preserve"> for most of his life, that he was not socially and culturally integrated in the UK</w:t>
      </w:r>
      <w:r w:rsidR="00306A6C">
        <w:rPr>
          <w:rFonts w:ascii="Book Antiqua" w:hAnsi="Book Antiqua"/>
        </w:rPr>
        <w:t xml:space="preserve"> and that there were no very significant obstacles to his integration into Nigeria. </w:t>
      </w:r>
      <w:proofErr w:type="gramStart"/>
      <w:r w:rsidR="00306A6C">
        <w:rPr>
          <w:rFonts w:ascii="Book Antiqua" w:hAnsi="Book Antiqua"/>
        </w:rPr>
        <w:t>Accordingly</w:t>
      </w:r>
      <w:proofErr w:type="gramEnd"/>
      <w:r w:rsidR="00306A6C">
        <w:rPr>
          <w:rFonts w:ascii="Book Antiqua" w:hAnsi="Book Antiqua"/>
        </w:rPr>
        <w:t xml:space="preserve"> he could not meet the private life exceptions to deportation. The respondent concluded that there were no very compelling circumstances outweighing the public interest in his deportation and that his deportation would not, therefore, be in breach of Article 8. The respondent went on to certify the appellant’s human rights claim under section 94B of the 2002 Act on the basis that there was no risk of serious irreversible harm if he was removed pending the outcome of any appeal and that his removal pending an appeal would not be unlawful under section 6 of the Human Rights Act 1998.</w:t>
      </w:r>
    </w:p>
    <w:p w14:paraId="54570BDB" w14:textId="5405ED51" w:rsidR="0029399E" w:rsidRPr="0076328E" w:rsidRDefault="0035116E"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FB79C5">
        <w:rPr>
          <w:rFonts w:ascii="Book Antiqua" w:hAnsi="Book Antiqua"/>
        </w:rPr>
        <w:t>We are informed that t</w:t>
      </w:r>
      <w:r w:rsidR="0076328E" w:rsidRPr="0076328E">
        <w:rPr>
          <w:rFonts w:ascii="Book Antiqua" w:hAnsi="Book Antiqua"/>
        </w:rPr>
        <w:t>he appellant sought permission to judicially review the certification of his claim but permission was refused</w:t>
      </w:r>
      <w:r w:rsidR="00FB79C5">
        <w:rPr>
          <w:rFonts w:ascii="Book Antiqua" w:hAnsi="Book Antiqua"/>
        </w:rPr>
        <w:t>. H</w:t>
      </w:r>
      <w:r w:rsidR="0076328E" w:rsidRPr="0076328E">
        <w:rPr>
          <w:rFonts w:ascii="Book Antiqua" w:hAnsi="Book Antiqua"/>
        </w:rPr>
        <w:t>e</w:t>
      </w:r>
      <w:r w:rsidR="0029399E" w:rsidRPr="0076328E">
        <w:rPr>
          <w:rFonts w:ascii="Book Antiqua" w:hAnsi="Book Antiqua"/>
        </w:rPr>
        <w:t xml:space="preserve"> was duly deported from the UK on 24 </w:t>
      </w:r>
      <w:r w:rsidR="00ED18A5" w:rsidRPr="0076328E">
        <w:rPr>
          <w:rFonts w:ascii="Book Antiqua" w:hAnsi="Book Antiqua"/>
        </w:rPr>
        <w:t>May 2016</w:t>
      </w:r>
      <w:r w:rsidR="0029399E" w:rsidRPr="0076328E">
        <w:rPr>
          <w:rFonts w:ascii="Book Antiqua" w:hAnsi="Book Antiqua"/>
        </w:rPr>
        <w:t xml:space="preserve">. </w:t>
      </w:r>
      <w:r w:rsidR="00306A6C" w:rsidRPr="0076328E">
        <w:rPr>
          <w:rFonts w:ascii="Book Antiqua" w:hAnsi="Book Antiqua"/>
        </w:rPr>
        <w:t xml:space="preserve">On </w:t>
      </w:r>
      <w:r w:rsidR="00ED18A5" w:rsidRPr="0076328E">
        <w:rPr>
          <w:rFonts w:ascii="Book Antiqua" w:hAnsi="Book Antiqua"/>
        </w:rPr>
        <w:t>7 June</w:t>
      </w:r>
      <w:r w:rsidR="00306A6C" w:rsidRPr="0076328E">
        <w:rPr>
          <w:rFonts w:ascii="Book Antiqua" w:hAnsi="Book Antiqua"/>
        </w:rPr>
        <w:t xml:space="preserve"> 201</w:t>
      </w:r>
      <w:r w:rsidR="00ED18A5" w:rsidRPr="0076328E">
        <w:rPr>
          <w:rFonts w:ascii="Book Antiqua" w:hAnsi="Book Antiqua"/>
        </w:rPr>
        <w:t>6</w:t>
      </w:r>
      <w:r w:rsidR="00306A6C" w:rsidRPr="0076328E">
        <w:rPr>
          <w:rFonts w:ascii="Book Antiqua" w:hAnsi="Book Antiqua"/>
        </w:rPr>
        <w:t xml:space="preserve"> he lodged a Notice of Appeal against the refusal of his human rights claim. </w:t>
      </w:r>
    </w:p>
    <w:p w14:paraId="759C996B" w14:textId="23518CFC" w:rsidR="00932205" w:rsidRPr="00FE03F4" w:rsidRDefault="0035116E"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306A6C" w:rsidRPr="00FE03F4">
        <w:rPr>
          <w:rFonts w:ascii="Book Antiqua" w:hAnsi="Book Antiqua"/>
        </w:rPr>
        <w:t xml:space="preserve">The appellant’s appeal came before the First-tier Tribunal on </w:t>
      </w:r>
      <w:r w:rsidR="00ED18A5">
        <w:rPr>
          <w:rFonts w:ascii="Book Antiqua" w:hAnsi="Book Antiqua"/>
        </w:rPr>
        <w:t>15 March 2017</w:t>
      </w:r>
      <w:r w:rsidR="00306A6C" w:rsidRPr="00FE03F4">
        <w:rPr>
          <w:rFonts w:ascii="Book Antiqua" w:hAnsi="Book Antiqua"/>
        </w:rPr>
        <w:t xml:space="preserve">. </w:t>
      </w:r>
      <w:r w:rsidR="009B1298" w:rsidRPr="00FE03F4">
        <w:rPr>
          <w:rFonts w:ascii="Book Antiqua" w:hAnsi="Book Antiqua"/>
        </w:rPr>
        <w:t xml:space="preserve">The appellant was represented by </w:t>
      </w:r>
      <w:r w:rsidR="00ED18A5">
        <w:rPr>
          <w:rFonts w:ascii="Book Antiqua" w:hAnsi="Book Antiqua"/>
        </w:rPr>
        <w:t xml:space="preserve">a legal representative at the hearing. His wife attended and gave oral evidence. </w:t>
      </w:r>
      <w:r w:rsidR="009B1298" w:rsidRPr="00FE03F4">
        <w:rPr>
          <w:rFonts w:ascii="Book Antiqua" w:hAnsi="Book Antiqua"/>
        </w:rPr>
        <w:t>The judge</w:t>
      </w:r>
      <w:r w:rsidR="00FE03F4" w:rsidRPr="00FE03F4">
        <w:rPr>
          <w:rFonts w:ascii="Book Antiqua" w:hAnsi="Book Antiqua"/>
        </w:rPr>
        <w:t xml:space="preserve"> </w:t>
      </w:r>
      <w:r w:rsidR="003F0992">
        <w:rPr>
          <w:rFonts w:ascii="Book Antiqua" w:hAnsi="Book Antiqua"/>
        </w:rPr>
        <w:t xml:space="preserve">had before him </w:t>
      </w:r>
      <w:r w:rsidR="00FB79C5">
        <w:rPr>
          <w:rFonts w:ascii="Book Antiqua" w:hAnsi="Book Antiqua"/>
        </w:rPr>
        <w:t xml:space="preserve">a </w:t>
      </w:r>
      <w:r w:rsidR="003F0992">
        <w:rPr>
          <w:rFonts w:ascii="Book Antiqua" w:hAnsi="Book Antiqua"/>
        </w:rPr>
        <w:t xml:space="preserve">small bundle of evidence and statements from the appellant and his </w:t>
      </w:r>
      <w:r w:rsidR="00FB79C5">
        <w:rPr>
          <w:rFonts w:ascii="Book Antiqua" w:hAnsi="Book Antiqua"/>
        </w:rPr>
        <w:t>wife</w:t>
      </w:r>
      <w:r w:rsidR="003F0992">
        <w:rPr>
          <w:rFonts w:ascii="Book Antiqua" w:hAnsi="Book Antiqua"/>
        </w:rPr>
        <w:t xml:space="preserve"> together with letters from the children and their schools and a letter from his </w:t>
      </w:r>
      <w:r w:rsidR="00FB79C5">
        <w:rPr>
          <w:rFonts w:ascii="Book Antiqua" w:hAnsi="Book Antiqua"/>
        </w:rPr>
        <w:t>wife’</w:t>
      </w:r>
      <w:r w:rsidR="003F0992">
        <w:rPr>
          <w:rFonts w:ascii="Book Antiqua" w:hAnsi="Book Antiqua"/>
        </w:rPr>
        <w:t xml:space="preserve">s GP. The appellant’s </w:t>
      </w:r>
      <w:r w:rsidR="00FB79C5">
        <w:rPr>
          <w:rFonts w:ascii="Book Antiqua" w:hAnsi="Book Antiqua"/>
        </w:rPr>
        <w:t>wife</w:t>
      </w:r>
      <w:r w:rsidR="003F0992">
        <w:rPr>
          <w:rFonts w:ascii="Book Antiqua" w:hAnsi="Book Antiqua"/>
        </w:rPr>
        <w:t xml:space="preserve"> gave evidence that she had not seen him since his deportation owing to the expense of travelling. She said that she did not know the appellant’s co-accused </w:t>
      </w:r>
      <w:r>
        <w:rPr>
          <w:rFonts w:ascii="Book Antiqua" w:hAnsi="Book Antiqua"/>
        </w:rPr>
        <w:t>[</w:t>
      </w:r>
      <w:r w:rsidR="00FB79C5">
        <w:rPr>
          <w:rFonts w:ascii="Book Antiqua" w:hAnsi="Book Antiqua"/>
        </w:rPr>
        <w:t>AK</w:t>
      </w:r>
      <w:r>
        <w:rPr>
          <w:rFonts w:ascii="Book Antiqua" w:hAnsi="Book Antiqua"/>
        </w:rPr>
        <w:t xml:space="preserve">] </w:t>
      </w:r>
      <w:r w:rsidR="003F0992">
        <w:rPr>
          <w:rFonts w:ascii="Book Antiqua" w:hAnsi="Book Antiqua"/>
        </w:rPr>
        <w:t xml:space="preserve">and did not know they were going to commit fraud. The judge </w:t>
      </w:r>
      <w:r w:rsidR="003F0992">
        <w:rPr>
          <w:rFonts w:ascii="Book Antiqua" w:hAnsi="Book Antiqua"/>
        </w:rPr>
        <w:lastRenderedPageBreak/>
        <w:t xml:space="preserve">accepted that the children had high regard for the appellant. He considered that the evidence suggested that the appellant was engaged in a close relationship of some kind with his co-accused and that his partner and children’s loyalties were not reciprocated to the same extent by him. The judge concluded that it would not be unduly harsh for the appellant’s </w:t>
      </w:r>
      <w:r w:rsidR="00FB79C5">
        <w:rPr>
          <w:rFonts w:ascii="Book Antiqua" w:hAnsi="Book Antiqua"/>
        </w:rPr>
        <w:t>wife</w:t>
      </w:r>
      <w:r w:rsidR="003F0992">
        <w:rPr>
          <w:rFonts w:ascii="Book Antiqua" w:hAnsi="Book Antiqua"/>
        </w:rPr>
        <w:t xml:space="preserve"> and children to live in Nigeria with him or to remain in the UK without him and that there were no very compelling circumstances outweighing the public interest in his deportation. He</w:t>
      </w:r>
      <w:r w:rsidR="00FE03F4" w:rsidRPr="00FE03F4">
        <w:rPr>
          <w:rFonts w:ascii="Book Antiqua" w:hAnsi="Book Antiqua"/>
        </w:rPr>
        <w:t xml:space="preserve"> dismissed the appeal on all grounds.</w:t>
      </w:r>
    </w:p>
    <w:p w14:paraId="5DE9C719" w14:textId="3D79D2D8" w:rsidR="00DE6225" w:rsidRDefault="0035116E"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B20325">
        <w:rPr>
          <w:rFonts w:ascii="Book Antiqua" w:hAnsi="Book Antiqua"/>
        </w:rPr>
        <w:t xml:space="preserve">Permission to appeal to the Upper Tribunal was </w:t>
      </w:r>
      <w:r w:rsidR="00F10896">
        <w:rPr>
          <w:rFonts w:ascii="Book Antiqua" w:hAnsi="Book Antiqua"/>
        </w:rPr>
        <w:t>sought by the</w:t>
      </w:r>
      <w:r w:rsidR="00B20325">
        <w:rPr>
          <w:rFonts w:ascii="Book Antiqua" w:hAnsi="Book Antiqua"/>
        </w:rPr>
        <w:t xml:space="preserve"> appellant</w:t>
      </w:r>
      <w:r w:rsidR="00FE03F4">
        <w:rPr>
          <w:rFonts w:ascii="Book Antiqua" w:hAnsi="Book Antiqua"/>
        </w:rPr>
        <w:t xml:space="preserve"> on</w:t>
      </w:r>
      <w:r w:rsidR="00981BC8">
        <w:rPr>
          <w:rFonts w:ascii="Book Antiqua" w:hAnsi="Book Antiqua"/>
        </w:rPr>
        <w:t xml:space="preserve"> the</w:t>
      </w:r>
      <w:r w:rsidR="00FE03F4">
        <w:rPr>
          <w:rFonts w:ascii="Book Antiqua" w:hAnsi="Book Antiqua"/>
        </w:rPr>
        <w:t xml:space="preserve"> </w:t>
      </w:r>
      <w:r w:rsidR="00981BC8">
        <w:rPr>
          <w:rFonts w:ascii="Book Antiqua" w:hAnsi="Book Antiqua"/>
        </w:rPr>
        <w:t>ground</w:t>
      </w:r>
      <w:r w:rsidR="00DE6225">
        <w:rPr>
          <w:rFonts w:ascii="Book Antiqua" w:hAnsi="Book Antiqua"/>
        </w:rPr>
        <w:t>s</w:t>
      </w:r>
      <w:r w:rsidR="00981BC8">
        <w:rPr>
          <w:rFonts w:ascii="Book Antiqua" w:hAnsi="Book Antiqua"/>
        </w:rPr>
        <w:t xml:space="preserve"> that the judge had </w:t>
      </w:r>
      <w:r w:rsidR="003F0992">
        <w:rPr>
          <w:rFonts w:ascii="Book Antiqua" w:hAnsi="Book Antiqua"/>
        </w:rPr>
        <w:t>failed to give full and proper consideration to the best interests of the children</w:t>
      </w:r>
      <w:r w:rsidR="00FE03F4">
        <w:rPr>
          <w:rFonts w:ascii="Book Antiqua" w:hAnsi="Book Antiqua"/>
        </w:rPr>
        <w:t xml:space="preserve">, </w:t>
      </w:r>
      <w:r w:rsidR="00DE6225">
        <w:rPr>
          <w:rFonts w:ascii="Book Antiqua" w:hAnsi="Book Antiqua"/>
        </w:rPr>
        <w:t xml:space="preserve">that the judge had erred by finding that it would not be unduly harsh for his </w:t>
      </w:r>
      <w:r w:rsidR="00FB79C5">
        <w:rPr>
          <w:rFonts w:ascii="Book Antiqua" w:hAnsi="Book Antiqua"/>
        </w:rPr>
        <w:t>wife</w:t>
      </w:r>
      <w:r w:rsidR="00DE6225">
        <w:rPr>
          <w:rFonts w:ascii="Book Antiqua" w:hAnsi="Book Antiqua"/>
        </w:rPr>
        <w:t xml:space="preserve"> and the children to move to Nigeria when they were not Nigerian and that the judge had erred by giving weight to immaterial matters such as the nature of his relationship with his co-accused.</w:t>
      </w:r>
    </w:p>
    <w:p w14:paraId="33E0CAAD" w14:textId="45A603A3" w:rsidR="00FE03F4" w:rsidRDefault="0035116E"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DE6225">
        <w:rPr>
          <w:rFonts w:ascii="Book Antiqua" w:hAnsi="Book Antiqua"/>
        </w:rPr>
        <w:t>Permission was granted in the First-tier Tribunal on 19 June 2017 on the basis that the guidance</w:t>
      </w:r>
      <w:r w:rsidR="00FE03F4">
        <w:rPr>
          <w:rFonts w:ascii="Book Antiqua" w:hAnsi="Book Antiqua"/>
        </w:rPr>
        <w:t xml:space="preserve"> in </w:t>
      </w:r>
      <w:proofErr w:type="spellStart"/>
      <w:r w:rsidR="00FE03F4" w:rsidRPr="00C2793E">
        <w:rPr>
          <w:rFonts w:ascii="Book Antiqua" w:hAnsi="Book Antiqua"/>
          <w:u w:val="single"/>
        </w:rPr>
        <w:t>Kiarie</w:t>
      </w:r>
      <w:proofErr w:type="spellEnd"/>
      <w:r w:rsidR="00FE03F4" w:rsidRPr="00C2793E">
        <w:rPr>
          <w:rFonts w:ascii="Book Antiqua" w:hAnsi="Book Antiqua"/>
          <w:u w:val="single"/>
        </w:rPr>
        <w:t xml:space="preserve"> and </w:t>
      </w:r>
      <w:proofErr w:type="spellStart"/>
      <w:r w:rsidR="00FE03F4" w:rsidRPr="00C2793E">
        <w:rPr>
          <w:rFonts w:ascii="Book Antiqua" w:hAnsi="Book Antiqua"/>
          <w:u w:val="single"/>
        </w:rPr>
        <w:t>Byndloss</w:t>
      </w:r>
      <w:proofErr w:type="spellEnd"/>
      <w:r w:rsidR="00FE03F4" w:rsidRPr="00C2793E">
        <w:rPr>
          <w:rFonts w:ascii="Book Antiqua" w:hAnsi="Book Antiqua"/>
          <w:u w:val="single"/>
        </w:rPr>
        <w:t>, R (on the applications of) v Secretary of State for the Home Department [2017] UKSC 42</w:t>
      </w:r>
      <w:r w:rsidR="00FE03F4">
        <w:rPr>
          <w:rFonts w:ascii="Book Antiqua" w:hAnsi="Book Antiqua"/>
        </w:rPr>
        <w:t xml:space="preserve"> </w:t>
      </w:r>
      <w:r w:rsidR="00DE6225">
        <w:rPr>
          <w:rFonts w:ascii="Book Antiqua" w:hAnsi="Book Antiqua"/>
        </w:rPr>
        <w:t>rendered arguable the appellant’s claim that his deportation was unlawful by reference to section 6 of the Human Rights Act 1998 and that his approach to the best interests of the children was deficient</w:t>
      </w:r>
      <w:r w:rsidR="003D1DBC">
        <w:rPr>
          <w:rFonts w:ascii="Book Antiqua" w:hAnsi="Book Antiqua"/>
        </w:rPr>
        <w:t>.</w:t>
      </w:r>
    </w:p>
    <w:p w14:paraId="1D959864" w14:textId="77777777" w:rsidR="0053292B" w:rsidRDefault="0053292B" w:rsidP="002C255A">
      <w:pPr>
        <w:pStyle w:val="ListParagraph"/>
        <w:tabs>
          <w:tab w:val="left" w:pos="3190"/>
        </w:tabs>
        <w:spacing w:before="160"/>
        <w:ind w:left="0"/>
        <w:rPr>
          <w:rFonts w:ascii="Book Antiqua" w:hAnsi="Book Antiqua"/>
          <w:b/>
        </w:rPr>
      </w:pPr>
      <w:r>
        <w:rPr>
          <w:rFonts w:ascii="Book Antiqua" w:hAnsi="Book Antiqua"/>
          <w:b/>
        </w:rPr>
        <w:t>Appeal Hearing</w:t>
      </w:r>
    </w:p>
    <w:p w14:paraId="2710F6C8" w14:textId="51F3FDBA" w:rsidR="00C82FE3" w:rsidRDefault="0035116E"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3D1DBC">
        <w:rPr>
          <w:rFonts w:ascii="Book Antiqua" w:hAnsi="Book Antiqua"/>
        </w:rPr>
        <w:t>At the hearing</w:t>
      </w:r>
      <w:r w:rsidR="00810321">
        <w:rPr>
          <w:rFonts w:ascii="Book Antiqua" w:hAnsi="Book Antiqua"/>
        </w:rPr>
        <w:t xml:space="preserve"> before </w:t>
      </w:r>
      <w:r w:rsidR="00C82FE3">
        <w:rPr>
          <w:rFonts w:ascii="Book Antiqua" w:hAnsi="Book Antiqua"/>
        </w:rPr>
        <w:t>us</w:t>
      </w:r>
      <w:r w:rsidR="003D1DBC">
        <w:rPr>
          <w:rFonts w:ascii="Book Antiqua" w:hAnsi="Book Antiqua"/>
        </w:rPr>
        <w:t xml:space="preserve">, </w:t>
      </w:r>
      <w:r w:rsidR="002B6816">
        <w:rPr>
          <w:rFonts w:ascii="Book Antiqua" w:hAnsi="Book Antiqua"/>
        </w:rPr>
        <w:t>both representatives</w:t>
      </w:r>
      <w:r w:rsidR="00C2793E">
        <w:rPr>
          <w:rFonts w:ascii="Book Antiqua" w:hAnsi="Book Antiqua"/>
        </w:rPr>
        <w:t xml:space="preserve"> made submissions</w:t>
      </w:r>
      <w:r w:rsidR="00C82FE3">
        <w:rPr>
          <w:rFonts w:ascii="Book Antiqua" w:hAnsi="Book Antiqua"/>
        </w:rPr>
        <w:t>.</w:t>
      </w:r>
    </w:p>
    <w:p w14:paraId="0DCCAC36" w14:textId="4F8E275A" w:rsidR="00E93E7F" w:rsidRDefault="0035116E"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color w:val="000000"/>
        </w:rPr>
        <w:tab/>
      </w:r>
      <w:r w:rsidR="00DE6225" w:rsidRPr="00DE6225">
        <w:rPr>
          <w:rFonts w:ascii="Book Antiqua" w:hAnsi="Book Antiqua"/>
          <w:color w:val="000000"/>
        </w:rPr>
        <w:t xml:space="preserve">Mr Pipe </w:t>
      </w:r>
      <w:r w:rsidR="003F4524">
        <w:rPr>
          <w:rFonts w:ascii="Book Antiqua" w:hAnsi="Book Antiqua"/>
          <w:color w:val="000000"/>
        </w:rPr>
        <w:t xml:space="preserve">accepted that </w:t>
      </w:r>
      <w:r w:rsidR="003F4524">
        <w:rPr>
          <w:rFonts w:ascii="Book Antiqua" w:hAnsi="Book Antiqua"/>
        </w:rPr>
        <w:t xml:space="preserve">the appellant had had full access to legal representation and had </w:t>
      </w:r>
      <w:r w:rsidR="0076328E">
        <w:rPr>
          <w:rFonts w:ascii="Book Antiqua" w:hAnsi="Book Antiqua"/>
        </w:rPr>
        <w:t>not previously raised the issue of obtaining</w:t>
      </w:r>
      <w:r w:rsidR="003F4524">
        <w:rPr>
          <w:rFonts w:ascii="Book Antiqua" w:hAnsi="Book Antiqua"/>
        </w:rPr>
        <w:t xml:space="preserve"> expert evidence, so that it was only the third question </w:t>
      </w:r>
      <w:r w:rsidR="0076328E">
        <w:rPr>
          <w:rFonts w:ascii="Book Antiqua" w:hAnsi="Book Antiqua"/>
        </w:rPr>
        <w:t xml:space="preserve">in </w:t>
      </w:r>
      <w:r w:rsidR="00DE6225" w:rsidRPr="00601186">
        <w:rPr>
          <w:rFonts w:ascii="Book Antiqua" w:hAnsi="Book Antiqua"/>
          <w:color w:val="000000"/>
          <w:u w:val="single"/>
        </w:rPr>
        <w:t xml:space="preserve">AJ (s 94B: </w:t>
      </w:r>
      <w:proofErr w:type="spellStart"/>
      <w:r w:rsidR="00DE6225" w:rsidRPr="00601186">
        <w:rPr>
          <w:rFonts w:ascii="Book Antiqua" w:hAnsi="Book Antiqua"/>
          <w:color w:val="000000"/>
          <w:u w:val="single"/>
        </w:rPr>
        <w:t>Kiarie</w:t>
      </w:r>
      <w:proofErr w:type="spellEnd"/>
      <w:r w:rsidR="00DE6225" w:rsidRPr="00601186">
        <w:rPr>
          <w:rFonts w:ascii="Book Antiqua" w:hAnsi="Book Antiqua"/>
          <w:color w:val="000000"/>
          <w:u w:val="single"/>
        </w:rPr>
        <w:t xml:space="preserve"> and </w:t>
      </w:r>
      <w:proofErr w:type="spellStart"/>
      <w:r w:rsidR="00DE6225" w:rsidRPr="00601186">
        <w:rPr>
          <w:rFonts w:ascii="Book Antiqua" w:hAnsi="Book Antiqua"/>
          <w:color w:val="000000"/>
          <w:u w:val="single"/>
        </w:rPr>
        <w:t>Byndloss</w:t>
      </w:r>
      <w:proofErr w:type="spellEnd"/>
      <w:r w:rsidR="00DE6225" w:rsidRPr="00601186">
        <w:rPr>
          <w:rFonts w:ascii="Book Antiqua" w:hAnsi="Book Antiqua"/>
          <w:color w:val="000000"/>
          <w:u w:val="single"/>
        </w:rPr>
        <w:t xml:space="preserve"> questions) Nigeria [2018] UKUT 115</w:t>
      </w:r>
      <w:r w:rsidR="0076328E">
        <w:rPr>
          <w:rFonts w:ascii="Book Antiqua" w:hAnsi="Book Antiqua"/>
          <w:color w:val="000000"/>
        </w:rPr>
        <w:t xml:space="preserve"> that was </w:t>
      </w:r>
      <w:r w:rsidR="0076328E">
        <w:rPr>
          <w:rFonts w:ascii="Book Antiqua" w:hAnsi="Book Antiqua"/>
        </w:rPr>
        <w:t xml:space="preserve">relevant in this case, namely the matter of live oral evidence from the appellant. He submitted that there were credibility issues in this case, in particular in regard to the judge’s speculation about the appellant’s relationship with his co-accused which was a matter not previously raised by </w:t>
      </w:r>
      <w:r w:rsidR="00B42A76">
        <w:rPr>
          <w:rFonts w:ascii="Book Antiqua" w:hAnsi="Book Antiqua"/>
        </w:rPr>
        <w:t>t</w:t>
      </w:r>
      <w:r w:rsidR="0076328E">
        <w:rPr>
          <w:rFonts w:ascii="Book Antiqua" w:hAnsi="Book Antiqua"/>
        </w:rPr>
        <w:t>he respondent</w:t>
      </w:r>
      <w:r w:rsidR="00E93E7F">
        <w:rPr>
          <w:rFonts w:ascii="Book Antiqua" w:hAnsi="Book Antiqua"/>
        </w:rPr>
        <w:t xml:space="preserve">. The questions raised about the strength of the appellant’s relationship with his </w:t>
      </w:r>
      <w:r w:rsidR="00FB79C5">
        <w:rPr>
          <w:rFonts w:ascii="Book Antiqua" w:hAnsi="Book Antiqua"/>
        </w:rPr>
        <w:t>wife</w:t>
      </w:r>
      <w:r w:rsidR="00E93E7F">
        <w:rPr>
          <w:rFonts w:ascii="Book Antiqua" w:hAnsi="Book Antiqua"/>
        </w:rPr>
        <w:t xml:space="preserve"> required him to provide an explanation since that impacted on the question of undue harshness. This case did not fall within the exception referred to at [51] of </w:t>
      </w:r>
      <w:r w:rsidR="00E93E7F" w:rsidRPr="00E93E7F">
        <w:rPr>
          <w:rFonts w:ascii="Book Antiqua" w:hAnsi="Book Antiqua"/>
          <w:u w:val="single"/>
        </w:rPr>
        <w:t>AJ</w:t>
      </w:r>
      <w:r w:rsidR="00E93E7F">
        <w:rPr>
          <w:rFonts w:ascii="Book Antiqua" w:hAnsi="Book Antiqua"/>
        </w:rPr>
        <w:t xml:space="preserve">. In any event, Mr Pipe submitted, there were substantive flaws in the judge’s decision as there had not been a careful analysis of the best interests of the children and the judge had erred by speculating on the appellant’s relationship with his co-accused and had gone behind the respondent’s concession on the genuineness of his relationship with his </w:t>
      </w:r>
      <w:r w:rsidR="00FB79C5">
        <w:rPr>
          <w:rFonts w:ascii="Book Antiqua" w:hAnsi="Book Antiqua"/>
        </w:rPr>
        <w:t>wife</w:t>
      </w:r>
      <w:r w:rsidR="00E93E7F">
        <w:rPr>
          <w:rFonts w:ascii="Book Antiqua" w:hAnsi="Book Antiqua"/>
        </w:rPr>
        <w:t>.</w:t>
      </w:r>
    </w:p>
    <w:p w14:paraId="4FAB1025" w14:textId="6742AF00" w:rsidR="0076328E" w:rsidRDefault="0035116E"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E93E7F">
        <w:rPr>
          <w:rFonts w:ascii="Book Antiqua" w:hAnsi="Book Antiqua"/>
        </w:rPr>
        <w:t>Mr Wilding submitted that the</w:t>
      </w:r>
      <w:r w:rsidR="00161399">
        <w:rPr>
          <w:rFonts w:ascii="Book Antiqua" w:hAnsi="Book Antiqua"/>
        </w:rPr>
        <w:t>re was a</w:t>
      </w:r>
      <w:r w:rsidR="00E93E7F">
        <w:rPr>
          <w:rFonts w:ascii="Book Antiqua" w:hAnsi="Book Antiqua"/>
        </w:rPr>
        <w:t xml:space="preserve"> remarkable lack of evidence generally from the appellant </w:t>
      </w:r>
      <w:r w:rsidR="00161399">
        <w:rPr>
          <w:rFonts w:ascii="Book Antiqua" w:hAnsi="Book Antiqua"/>
        </w:rPr>
        <w:t xml:space="preserve">and the very limited evidence which was available did not go very far in establishing unduly harsh consequences arising from his deportation. He submitted that this was a type of case identified at [51] of </w:t>
      </w:r>
      <w:r w:rsidR="00161399" w:rsidRPr="00161399">
        <w:rPr>
          <w:rFonts w:ascii="Book Antiqua" w:hAnsi="Book Antiqua"/>
          <w:u w:val="single"/>
        </w:rPr>
        <w:t>AJ</w:t>
      </w:r>
      <w:r w:rsidR="00161399">
        <w:rPr>
          <w:rFonts w:ascii="Book Antiqua" w:hAnsi="Book Antiqua"/>
        </w:rPr>
        <w:t xml:space="preserve"> where, taking the evidence at its highest, it could not overcome the significant public interest in deportation. This was an ordinary family relationship and there was nothing in the evidence to take the case any further than that. The judge did not go behind the respondent’s concession, but simply reflected on the evidence before him. In addition, the appellant had not asked to give oral evidence and had made no application to rely on any further evidence. As to the judge’s assessment of the best </w:t>
      </w:r>
      <w:r w:rsidR="00161399">
        <w:rPr>
          <w:rFonts w:ascii="Book Antiqua" w:hAnsi="Book Antiqua"/>
        </w:rPr>
        <w:lastRenderedPageBreak/>
        <w:t xml:space="preserve">interests of the children, there was nothing in the judge’s findings that offended against any of the principles in </w:t>
      </w:r>
      <w:r w:rsidR="00161399" w:rsidRPr="00551875">
        <w:rPr>
          <w:rFonts w:ascii="Book Antiqua" w:hAnsi="Book Antiqua"/>
        </w:rPr>
        <w:t>section 55</w:t>
      </w:r>
      <w:r w:rsidR="00551875" w:rsidRPr="00551875">
        <w:rPr>
          <w:rFonts w:ascii="Book Antiqua" w:hAnsi="Book Antiqua"/>
        </w:rPr>
        <w:t xml:space="preserve"> </w:t>
      </w:r>
      <w:r w:rsidR="00551875" w:rsidRPr="00551875">
        <w:rPr>
          <w:rFonts w:ascii="Book Antiqua" w:hAnsi="Book Antiqua" w:cs="Arial"/>
          <w:color w:val="545454"/>
          <w:shd w:val="clear" w:color="auto" w:fill="FFFFFF"/>
        </w:rPr>
        <w:t>of the Borders Citizenship and Immigration Act 2009</w:t>
      </w:r>
      <w:r w:rsidR="00161399">
        <w:rPr>
          <w:rFonts w:ascii="Book Antiqua" w:hAnsi="Book Antiqua"/>
        </w:rPr>
        <w:t>. The brevity of the judge’s decision was simply a reflection of the lack of evidence before the First-tier Tribunal.</w:t>
      </w:r>
    </w:p>
    <w:p w14:paraId="74345934" w14:textId="4544B2BD" w:rsidR="00166E72" w:rsidRPr="00777DDD" w:rsidRDefault="0035116E"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777DDD">
        <w:rPr>
          <w:rFonts w:ascii="Book Antiqua" w:hAnsi="Book Antiqua"/>
        </w:rPr>
        <w:t>Mr Pipe</w:t>
      </w:r>
      <w:r w:rsidR="00D948C5" w:rsidRPr="00777DDD">
        <w:rPr>
          <w:rFonts w:ascii="Book Antiqua" w:hAnsi="Book Antiqua"/>
        </w:rPr>
        <w:t>, in response, reiterated the points previously made.</w:t>
      </w:r>
      <w:r w:rsidR="00E91018">
        <w:rPr>
          <w:rFonts w:ascii="Book Antiqua" w:hAnsi="Book Antiqua"/>
        </w:rPr>
        <w:t xml:space="preserve"> As to Mr Wilding’s reference to </w:t>
      </w:r>
      <w:proofErr w:type="spellStart"/>
      <w:r w:rsidR="00E91018">
        <w:rPr>
          <w:rFonts w:ascii="Book Antiqua" w:hAnsi="Book Antiqua"/>
        </w:rPr>
        <w:t>there</w:t>
      </w:r>
      <w:proofErr w:type="spellEnd"/>
      <w:r w:rsidR="00E91018">
        <w:rPr>
          <w:rFonts w:ascii="Book Antiqua" w:hAnsi="Book Antiqua"/>
        </w:rPr>
        <w:t xml:space="preserve"> having been no request by the appellant to give oral evidence, he submitted that that was not correct as the appellant had sought to judicially review the certification of his claim</w:t>
      </w:r>
      <w:r w:rsidR="00C0138D">
        <w:rPr>
          <w:rFonts w:ascii="Book Antiqua" w:hAnsi="Book Antiqua"/>
        </w:rPr>
        <w:t xml:space="preserve"> and the basis of his judicial review claim had been the need to give oral evidence. Mr Pipe also disputed Mr Wilding’s reference to this being an ordinary family, submitting that it was not the case, since the appellant had a biological child and three step-children and that was a matter which needed to have been considered.</w:t>
      </w:r>
    </w:p>
    <w:p w14:paraId="51780B80" w14:textId="77777777" w:rsidR="003F2270" w:rsidRPr="00393263" w:rsidRDefault="003F2270" w:rsidP="002C255A">
      <w:pPr>
        <w:tabs>
          <w:tab w:val="left" w:pos="360"/>
        </w:tabs>
        <w:overflowPunct w:val="0"/>
        <w:autoSpaceDE w:val="0"/>
        <w:autoSpaceDN w:val="0"/>
        <w:adjustRightInd w:val="0"/>
        <w:spacing w:before="160"/>
        <w:jc w:val="both"/>
        <w:textAlignment w:val="baseline"/>
        <w:rPr>
          <w:rFonts w:ascii="Book Antiqua" w:hAnsi="Book Antiqua"/>
          <w:b/>
        </w:rPr>
      </w:pPr>
      <w:r w:rsidRPr="00393263">
        <w:rPr>
          <w:rFonts w:ascii="Book Antiqua" w:hAnsi="Book Antiqua"/>
          <w:b/>
        </w:rPr>
        <w:t>Consideration and findings</w:t>
      </w:r>
    </w:p>
    <w:p w14:paraId="03778457" w14:textId="06D64D5A" w:rsidR="00557C3A" w:rsidRDefault="0035116E"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181DEC">
        <w:rPr>
          <w:rFonts w:ascii="Book Antiqua" w:hAnsi="Book Antiqua"/>
        </w:rPr>
        <w:t xml:space="preserve">The starting point in cases involving section 94B certification is </w:t>
      </w:r>
      <w:proofErr w:type="spellStart"/>
      <w:r w:rsidR="00181DEC" w:rsidRPr="00181DEC">
        <w:rPr>
          <w:rFonts w:ascii="Book Antiqua" w:hAnsi="Book Antiqua"/>
          <w:u w:val="single"/>
        </w:rPr>
        <w:t>Kiarie</w:t>
      </w:r>
      <w:proofErr w:type="spellEnd"/>
      <w:r w:rsidR="002B6816">
        <w:rPr>
          <w:rFonts w:ascii="Book Antiqua" w:hAnsi="Book Antiqua"/>
          <w:u w:val="single"/>
        </w:rPr>
        <w:t xml:space="preserve"> &amp; </w:t>
      </w:r>
      <w:proofErr w:type="spellStart"/>
      <w:r w:rsidR="002B6816">
        <w:rPr>
          <w:rFonts w:ascii="Book Antiqua" w:hAnsi="Book Antiqua"/>
          <w:u w:val="single"/>
        </w:rPr>
        <w:t>Byndloss</w:t>
      </w:r>
      <w:proofErr w:type="spellEnd"/>
      <w:r w:rsidR="00181DEC">
        <w:rPr>
          <w:rFonts w:ascii="Book Antiqua" w:hAnsi="Book Antiqua"/>
        </w:rPr>
        <w:t xml:space="preserve">, where the Supreme Court </w:t>
      </w:r>
      <w:r w:rsidR="007E4FA9">
        <w:rPr>
          <w:rFonts w:ascii="Book Antiqua" w:hAnsi="Book Antiqua"/>
        </w:rPr>
        <w:t xml:space="preserve">found that the certification of the appellants’ claims </w:t>
      </w:r>
      <w:r w:rsidR="00A973E9">
        <w:rPr>
          <w:rFonts w:ascii="Book Antiqua" w:hAnsi="Book Antiqua"/>
        </w:rPr>
        <w:t>was</w:t>
      </w:r>
      <w:r w:rsidR="007E4FA9">
        <w:rPr>
          <w:rFonts w:ascii="Book Antiqua" w:hAnsi="Book Antiqua"/>
        </w:rPr>
        <w:t xml:space="preserve"> unlawful given the Secretary of State’s failure to consider the practical problems involved in such cases in preparing and presenting </w:t>
      </w:r>
      <w:r w:rsidR="002B6816">
        <w:rPr>
          <w:rFonts w:ascii="Book Antiqua" w:hAnsi="Book Antiqua"/>
        </w:rPr>
        <w:t>the</w:t>
      </w:r>
      <w:r w:rsidR="007E4FA9">
        <w:rPr>
          <w:rFonts w:ascii="Book Antiqua" w:hAnsi="Book Antiqua"/>
        </w:rPr>
        <w:t xml:space="preserve"> case from abroad, as expressed at [105]:</w:t>
      </w:r>
    </w:p>
    <w:p w14:paraId="38ED0B57" w14:textId="77777777" w:rsidR="007E4FA9" w:rsidRPr="007E4FA9" w:rsidRDefault="007E4FA9" w:rsidP="002C255A">
      <w:pPr>
        <w:tabs>
          <w:tab w:val="left" w:pos="360"/>
        </w:tabs>
        <w:overflowPunct w:val="0"/>
        <w:autoSpaceDE w:val="0"/>
        <w:autoSpaceDN w:val="0"/>
        <w:adjustRightInd w:val="0"/>
        <w:spacing w:before="120" w:after="120"/>
        <w:ind w:left="1134" w:right="567"/>
        <w:jc w:val="both"/>
        <w:textAlignment w:val="baseline"/>
        <w:rPr>
          <w:rFonts w:ascii="Book Antiqua" w:hAnsi="Book Antiqua"/>
          <w:sz w:val="22"/>
          <w:szCs w:val="22"/>
        </w:rPr>
      </w:pPr>
      <w:bookmarkStart w:id="1" w:name="para105"/>
      <w:r>
        <w:rPr>
          <w:rFonts w:ascii="Book Antiqua" w:hAnsi="Book Antiqua"/>
          <w:color w:val="000000"/>
          <w:sz w:val="22"/>
          <w:szCs w:val="22"/>
        </w:rPr>
        <w:t>“</w:t>
      </w:r>
      <w:r w:rsidRPr="007E4FA9">
        <w:rPr>
          <w:rFonts w:ascii="Book Antiqua" w:hAnsi="Book Antiqua"/>
          <w:color w:val="000000"/>
          <w:sz w:val="22"/>
          <w:szCs w:val="22"/>
        </w:rPr>
        <w:t>Her problem is that there is no real evidence of consideration of the practical problems involved in cases such as these in preparing and presenting a case from abroad. I am far from saying that those problems cannot be overcome. However, the evidence before us does not show that the Secretary of State had the material necessary to satisfy herself, before certification, that the procedural rights of these appellants under article 8 would be protected. On that limited basis I would allow the appeal.</w:t>
      </w:r>
      <w:bookmarkEnd w:id="1"/>
      <w:r>
        <w:rPr>
          <w:rFonts w:ascii="Book Antiqua" w:hAnsi="Book Antiqua"/>
          <w:color w:val="000000"/>
          <w:sz w:val="22"/>
          <w:szCs w:val="22"/>
        </w:rPr>
        <w:t>”</w:t>
      </w:r>
    </w:p>
    <w:p w14:paraId="34EC9025" w14:textId="1265F73E" w:rsidR="00181DEC" w:rsidRPr="00C22D70" w:rsidRDefault="0035116E"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181DEC">
        <w:rPr>
          <w:rFonts w:ascii="Book Antiqua" w:hAnsi="Book Antiqua"/>
        </w:rPr>
        <w:t xml:space="preserve">In the </w:t>
      </w:r>
      <w:r w:rsidR="00181DEC" w:rsidRPr="00181DEC">
        <w:rPr>
          <w:rFonts w:ascii="Book Antiqua" w:hAnsi="Book Antiqua"/>
        </w:rPr>
        <w:t xml:space="preserve">case of </w:t>
      </w:r>
      <w:r w:rsidR="00181DEC" w:rsidRPr="00181DEC">
        <w:rPr>
          <w:rFonts w:ascii="Book Antiqua" w:hAnsi="Book Antiqua"/>
          <w:color w:val="000000"/>
          <w:u w:val="single"/>
        </w:rPr>
        <w:t xml:space="preserve">Nixon &amp; Anor, R (On the Application Of) v Secretary of State for the Home Department [2018] EWCA </w:t>
      </w:r>
      <w:proofErr w:type="spellStart"/>
      <w:r w:rsidR="00181DEC" w:rsidRPr="00181DEC">
        <w:rPr>
          <w:rFonts w:ascii="Book Antiqua" w:hAnsi="Book Antiqua"/>
          <w:color w:val="000000"/>
          <w:u w:val="single"/>
        </w:rPr>
        <w:t>Civ</w:t>
      </w:r>
      <w:proofErr w:type="spellEnd"/>
      <w:r w:rsidR="00181DEC" w:rsidRPr="00181DEC">
        <w:rPr>
          <w:rFonts w:ascii="Book Antiqua" w:hAnsi="Book Antiqua"/>
          <w:color w:val="000000"/>
          <w:u w:val="single"/>
        </w:rPr>
        <w:t xml:space="preserve"> 3</w:t>
      </w:r>
      <w:r w:rsidR="00181DEC" w:rsidRPr="00181DEC">
        <w:rPr>
          <w:rFonts w:ascii="Book Antiqua" w:hAnsi="Book Antiqua"/>
          <w:color w:val="000000"/>
        </w:rPr>
        <w:t xml:space="preserve">, </w:t>
      </w:r>
      <w:r w:rsidR="002B6816">
        <w:rPr>
          <w:rFonts w:ascii="Book Antiqua" w:hAnsi="Book Antiqua"/>
          <w:color w:val="000000"/>
        </w:rPr>
        <w:t xml:space="preserve">the Court of Appeal considered </w:t>
      </w:r>
      <w:proofErr w:type="spellStart"/>
      <w:r w:rsidR="002B6816" w:rsidRPr="00C22D70">
        <w:rPr>
          <w:rFonts w:ascii="Book Antiqua" w:hAnsi="Book Antiqua"/>
          <w:color w:val="000000"/>
          <w:u w:val="single"/>
        </w:rPr>
        <w:t>Kiarie</w:t>
      </w:r>
      <w:proofErr w:type="spellEnd"/>
      <w:r w:rsidR="002B6816" w:rsidRPr="00C22D70">
        <w:rPr>
          <w:rFonts w:ascii="Book Antiqua" w:hAnsi="Book Antiqua"/>
          <w:color w:val="000000"/>
          <w:u w:val="single"/>
        </w:rPr>
        <w:t xml:space="preserve"> &amp; </w:t>
      </w:r>
      <w:proofErr w:type="spellStart"/>
      <w:r w:rsidR="002B6816" w:rsidRPr="00C22D70">
        <w:rPr>
          <w:rFonts w:ascii="Book Antiqua" w:hAnsi="Book Antiqua"/>
          <w:color w:val="000000"/>
          <w:u w:val="single"/>
        </w:rPr>
        <w:t>Byndloss</w:t>
      </w:r>
      <w:proofErr w:type="spellEnd"/>
      <w:r w:rsidR="002B6816">
        <w:rPr>
          <w:rFonts w:ascii="Book Antiqua" w:hAnsi="Book Antiqua"/>
          <w:color w:val="000000"/>
        </w:rPr>
        <w:t xml:space="preserve"> as well as earlier caselaw </w:t>
      </w:r>
      <w:r w:rsidR="00C22D70">
        <w:rPr>
          <w:rFonts w:ascii="Book Antiqua" w:hAnsi="Book Antiqua"/>
          <w:color w:val="000000"/>
        </w:rPr>
        <w:t>in relation to</w:t>
      </w:r>
      <w:r w:rsidR="002B6816">
        <w:rPr>
          <w:rFonts w:ascii="Book Antiqua" w:hAnsi="Book Antiqua"/>
          <w:color w:val="000000"/>
        </w:rPr>
        <w:t xml:space="preserve"> the effectiveness </w:t>
      </w:r>
      <w:r w:rsidR="00C22D70">
        <w:rPr>
          <w:rFonts w:ascii="Book Antiqua" w:hAnsi="Book Antiqua"/>
          <w:color w:val="000000"/>
        </w:rPr>
        <w:t xml:space="preserve">of, </w:t>
      </w:r>
      <w:r w:rsidR="002B6816">
        <w:rPr>
          <w:rFonts w:ascii="Book Antiqua" w:hAnsi="Book Antiqua"/>
          <w:color w:val="000000"/>
        </w:rPr>
        <w:t>and difficu</w:t>
      </w:r>
      <w:r w:rsidR="00C22D70">
        <w:rPr>
          <w:rFonts w:ascii="Book Antiqua" w:hAnsi="Book Antiqua"/>
          <w:color w:val="000000"/>
        </w:rPr>
        <w:t>lties involved in conducting, an appeal from abroad and set out the following propositions at [75]:</w:t>
      </w:r>
    </w:p>
    <w:p w14:paraId="7262B221" w14:textId="5F7B96FE" w:rsidR="00C22D70" w:rsidRPr="00C22D70" w:rsidRDefault="00C22D70" w:rsidP="002C255A">
      <w:pPr>
        <w:pStyle w:val="NormalWeb"/>
        <w:tabs>
          <w:tab w:val="left" w:pos="1701"/>
        </w:tabs>
        <w:spacing w:before="120" w:beforeAutospacing="0" w:after="120" w:afterAutospacing="0"/>
        <w:ind w:left="1134" w:right="567"/>
        <w:jc w:val="both"/>
        <w:rPr>
          <w:rFonts w:ascii="Book Antiqua" w:hAnsi="Book Antiqua"/>
          <w:color w:val="000000"/>
          <w:sz w:val="22"/>
          <w:szCs w:val="22"/>
        </w:rPr>
      </w:pPr>
      <w:r>
        <w:rPr>
          <w:rFonts w:ascii="Book Antiqua" w:hAnsi="Book Antiqua"/>
          <w:color w:val="000000"/>
          <w:sz w:val="22"/>
          <w:szCs w:val="22"/>
        </w:rPr>
        <w:t>“</w:t>
      </w:r>
      <w:proofErr w:type="spellStart"/>
      <w:r w:rsidRPr="00C22D70">
        <w:rPr>
          <w:rFonts w:ascii="Book Antiqua" w:hAnsi="Book Antiqua"/>
          <w:color w:val="000000"/>
          <w:sz w:val="22"/>
          <w:szCs w:val="22"/>
        </w:rPr>
        <w:t>i</w:t>
      </w:r>
      <w:proofErr w:type="spellEnd"/>
      <w:r w:rsidRPr="00C22D70">
        <w:rPr>
          <w:rFonts w:ascii="Book Antiqua" w:hAnsi="Book Antiqua"/>
          <w:color w:val="000000"/>
          <w:sz w:val="22"/>
          <w:szCs w:val="22"/>
        </w:rPr>
        <w:t xml:space="preserve">) </w:t>
      </w:r>
      <w:r w:rsidR="002C255A">
        <w:rPr>
          <w:rFonts w:ascii="Book Antiqua" w:hAnsi="Book Antiqua"/>
          <w:color w:val="000000"/>
          <w:sz w:val="22"/>
          <w:szCs w:val="22"/>
        </w:rPr>
        <w:tab/>
      </w:r>
      <w:r w:rsidRPr="00C22D70">
        <w:rPr>
          <w:rFonts w:ascii="Book Antiqua" w:hAnsi="Book Antiqua"/>
          <w:color w:val="000000"/>
          <w:sz w:val="22"/>
          <w:szCs w:val="22"/>
        </w:rPr>
        <w:t xml:space="preserve">Where the Secretary of State rejects </w:t>
      </w:r>
      <w:proofErr w:type="gramStart"/>
      <w:r w:rsidRPr="00C22D70">
        <w:rPr>
          <w:rFonts w:ascii="Book Antiqua" w:hAnsi="Book Antiqua"/>
          <w:color w:val="000000"/>
          <w:sz w:val="22"/>
          <w:szCs w:val="22"/>
        </w:rPr>
        <w:t>a human rights</w:t>
      </w:r>
      <w:proofErr w:type="gramEnd"/>
      <w:r w:rsidRPr="00C22D70">
        <w:rPr>
          <w:rFonts w:ascii="Book Antiqua" w:hAnsi="Book Antiqua"/>
          <w:color w:val="000000"/>
          <w:sz w:val="22"/>
          <w:szCs w:val="22"/>
        </w:rPr>
        <w:t xml:space="preserve"> claim of a proposed deportee, an out-of-country appeal will not always be ineffective in protecting the human rights involved. Whether it will be effective will depend upon the facts and circumstances of the particular case.</w:t>
      </w:r>
    </w:p>
    <w:p w14:paraId="4F58A242" w14:textId="480060B7" w:rsidR="00C22D70" w:rsidRPr="00C22D70" w:rsidRDefault="00C22D70" w:rsidP="002C255A">
      <w:pPr>
        <w:pStyle w:val="NormalWeb"/>
        <w:tabs>
          <w:tab w:val="left" w:pos="1701"/>
        </w:tabs>
        <w:spacing w:before="120" w:beforeAutospacing="0" w:after="120" w:afterAutospacing="0"/>
        <w:ind w:left="1134" w:right="567"/>
        <w:jc w:val="both"/>
        <w:rPr>
          <w:rFonts w:ascii="Book Antiqua" w:hAnsi="Book Antiqua"/>
          <w:color w:val="000000"/>
          <w:sz w:val="22"/>
          <w:szCs w:val="22"/>
        </w:rPr>
      </w:pPr>
      <w:r w:rsidRPr="00C22D70">
        <w:rPr>
          <w:rFonts w:ascii="Book Antiqua" w:hAnsi="Book Antiqua"/>
          <w:color w:val="000000"/>
          <w:sz w:val="22"/>
          <w:szCs w:val="22"/>
        </w:rPr>
        <w:t xml:space="preserve">ii) </w:t>
      </w:r>
      <w:r w:rsidR="002C255A">
        <w:rPr>
          <w:rFonts w:ascii="Book Antiqua" w:hAnsi="Book Antiqua"/>
          <w:color w:val="000000"/>
          <w:sz w:val="22"/>
          <w:szCs w:val="22"/>
        </w:rPr>
        <w:tab/>
      </w:r>
      <w:r w:rsidRPr="00C22D70">
        <w:rPr>
          <w:rFonts w:ascii="Book Antiqua" w:hAnsi="Book Antiqua"/>
          <w:color w:val="000000"/>
          <w:sz w:val="22"/>
          <w:szCs w:val="22"/>
        </w:rPr>
        <w:t xml:space="preserve">Where the Secretary of State precludes an in-country appeal, by (e.g.) certifying a human rights claim under section 94B, that is not necessarily unlawful; but it is sufficient to establish a potential interference with the proposed deportee's article 8 rights, such that a burden is imposed on the Secretary of State to establish that that interference is justified and proportionate, and that removal from the UK without waiting for an appeal to run its course strikes a fair balance between the adverse effect of deportation at that stage on relevant rights under article 8 and the public interest. In particular, the Secretary of State will need to show that an out-of-country appeal will be effective to protect the article 8 rights in play. </w:t>
      </w:r>
    </w:p>
    <w:p w14:paraId="1655AB00" w14:textId="2CD0FFC9" w:rsidR="00C22D70" w:rsidRPr="00C22D70" w:rsidRDefault="00C22D70" w:rsidP="002C255A">
      <w:pPr>
        <w:pStyle w:val="NormalWeb"/>
        <w:tabs>
          <w:tab w:val="left" w:pos="1701"/>
        </w:tabs>
        <w:spacing w:before="120" w:beforeAutospacing="0" w:after="120" w:afterAutospacing="0"/>
        <w:ind w:left="1134" w:right="567"/>
        <w:jc w:val="both"/>
        <w:rPr>
          <w:rFonts w:ascii="Book Antiqua" w:hAnsi="Book Antiqua"/>
          <w:color w:val="000000"/>
          <w:sz w:val="22"/>
          <w:szCs w:val="22"/>
        </w:rPr>
      </w:pPr>
      <w:r w:rsidRPr="00C22D70">
        <w:rPr>
          <w:rFonts w:ascii="Book Antiqua" w:hAnsi="Book Antiqua"/>
          <w:color w:val="000000"/>
          <w:sz w:val="22"/>
          <w:szCs w:val="22"/>
        </w:rPr>
        <w:t xml:space="preserve">iii) </w:t>
      </w:r>
      <w:r w:rsidR="002C255A">
        <w:rPr>
          <w:rFonts w:ascii="Book Antiqua" w:hAnsi="Book Antiqua"/>
          <w:color w:val="000000"/>
          <w:sz w:val="22"/>
          <w:szCs w:val="22"/>
        </w:rPr>
        <w:tab/>
      </w:r>
      <w:r w:rsidRPr="00C22D70">
        <w:rPr>
          <w:rFonts w:ascii="Book Antiqua" w:hAnsi="Book Antiqua"/>
          <w:color w:val="000000"/>
          <w:sz w:val="22"/>
          <w:szCs w:val="22"/>
        </w:rPr>
        <w:t xml:space="preserve">Where an individual is deported on the basis of an unlawful certificate, the court has a discretion as to whether to make a mandatory order against the Secretary of State to return him to the UK so that he can (amongst other things) conduct his appeal in-country. That discretion is wide, and there is no presumption in favour of return, even where certification is unlawful. The exercise </w:t>
      </w:r>
      <w:r w:rsidRPr="00C22D70">
        <w:rPr>
          <w:rFonts w:ascii="Book Antiqua" w:hAnsi="Book Antiqua"/>
          <w:color w:val="000000"/>
          <w:sz w:val="22"/>
          <w:szCs w:val="22"/>
        </w:rPr>
        <w:lastRenderedPageBreak/>
        <w:t xml:space="preserve">of the discretion will be fact-sensitive. However, when assessing whether it is just and appropriate to make a mandatory order for return of a deportee, the fact that that person has been unlawfully deprived of an in-country appeal to which he is entitled under statute is the starting point and a factor telling strongly in favour of ordering his return. </w:t>
      </w:r>
    </w:p>
    <w:p w14:paraId="6F8DDD7D" w14:textId="6AFA4F88" w:rsidR="00C22D70" w:rsidRPr="00C22D70" w:rsidRDefault="00C22D70" w:rsidP="002C255A">
      <w:pPr>
        <w:pStyle w:val="NormalWeb"/>
        <w:tabs>
          <w:tab w:val="left" w:pos="1701"/>
        </w:tabs>
        <w:spacing w:before="120" w:beforeAutospacing="0" w:after="120" w:afterAutospacing="0"/>
        <w:ind w:left="1134" w:right="567"/>
        <w:jc w:val="both"/>
        <w:rPr>
          <w:rFonts w:ascii="Book Antiqua" w:hAnsi="Book Antiqua"/>
          <w:color w:val="000000"/>
          <w:sz w:val="22"/>
          <w:szCs w:val="22"/>
        </w:rPr>
      </w:pPr>
      <w:r w:rsidRPr="00C22D70">
        <w:rPr>
          <w:rFonts w:ascii="Book Antiqua" w:hAnsi="Book Antiqua"/>
          <w:color w:val="000000"/>
          <w:sz w:val="22"/>
          <w:szCs w:val="22"/>
        </w:rPr>
        <w:t xml:space="preserve">iv) </w:t>
      </w:r>
      <w:r w:rsidR="002C255A">
        <w:rPr>
          <w:rFonts w:ascii="Book Antiqua" w:hAnsi="Book Antiqua"/>
          <w:color w:val="000000"/>
          <w:sz w:val="22"/>
          <w:szCs w:val="22"/>
        </w:rPr>
        <w:tab/>
      </w:r>
      <w:r w:rsidRPr="00C22D70">
        <w:rPr>
          <w:rFonts w:ascii="Book Antiqua" w:hAnsi="Book Antiqua"/>
          <w:color w:val="000000"/>
          <w:sz w:val="22"/>
          <w:szCs w:val="22"/>
        </w:rPr>
        <w:t>It will be a highly material consideration if the deportation was lawful or apparently lawful, in the sense that, even if a human rights claim that a deportation order should not be made or maintained has been unlawfully certified, the individual was deported on the basis of a deportation order that was not bad on its face and was not, at the relevant time, the subject of any appeal; and/or an application for a stay on removal had been refused or the court had directed that any further proceedings should not act as a bar to removal. On the other hand, it will also be material if the individual has been removed in the face of a stay on removal, or even if there is an active relevant appeal or judicial review in which the issue of a stay on removal has not been tested.</w:t>
      </w:r>
    </w:p>
    <w:p w14:paraId="3076F0FC" w14:textId="2D9BE585" w:rsidR="00C22D70" w:rsidRPr="00C22D70" w:rsidRDefault="00C22D70" w:rsidP="002C255A">
      <w:pPr>
        <w:pStyle w:val="NormalWeb"/>
        <w:tabs>
          <w:tab w:val="left" w:pos="1701"/>
        </w:tabs>
        <w:spacing w:before="120" w:beforeAutospacing="0" w:after="120" w:afterAutospacing="0"/>
        <w:ind w:left="1134" w:right="567"/>
        <w:jc w:val="both"/>
        <w:rPr>
          <w:rFonts w:ascii="Book Antiqua" w:hAnsi="Book Antiqua"/>
          <w:color w:val="000000"/>
          <w:sz w:val="22"/>
          <w:szCs w:val="22"/>
        </w:rPr>
      </w:pPr>
      <w:r w:rsidRPr="00C22D70">
        <w:rPr>
          <w:rFonts w:ascii="Book Antiqua" w:hAnsi="Book Antiqua"/>
          <w:color w:val="000000"/>
          <w:sz w:val="22"/>
          <w:szCs w:val="22"/>
        </w:rPr>
        <w:t xml:space="preserve">v) </w:t>
      </w:r>
      <w:r w:rsidR="002C255A">
        <w:rPr>
          <w:rFonts w:ascii="Book Antiqua" w:hAnsi="Book Antiqua"/>
          <w:color w:val="000000"/>
          <w:sz w:val="22"/>
          <w:szCs w:val="22"/>
        </w:rPr>
        <w:tab/>
      </w:r>
      <w:r w:rsidRPr="00C22D70">
        <w:rPr>
          <w:rFonts w:ascii="Book Antiqua" w:hAnsi="Book Antiqua"/>
          <w:color w:val="000000"/>
          <w:sz w:val="22"/>
          <w:szCs w:val="22"/>
        </w:rPr>
        <w:t xml:space="preserve">The extent to which the individual's appeal will be adversely affected if he is not returned to the UK will also be highly relevant. It will be adversely affected if it is assessed that, if he is restricted to bringing or maintaining an out-of-country appeal, that will be inadequate to protect the article 8 rights of the individual and his relevant family members. The continuing absence of the individual from the UK may adversely affect his ability to present his appeal properly in a variety of ways, for example he may be unable properly to instruct legal representatives; he may be unable to obtain effective professional expert evidence; he may be unable to give evidence, either effectively or at all. If the court assesses that, even if the exercise would be more difficult than pursuing his appeal in the UK, the deportee could effectively pursue his appeal from abroad, that is likely to be finding of great weight and will often be determinative in favour of exercising the court's discretion not to make a mandatory order for return. On the other hand, if the court assesses that he could not effectively pursue an appeal from abroad, then that may well be determinative in favour of exercising that discretion in favour of making a mandatory order for return. </w:t>
      </w:r>
    </w:p>
    <w:p w14:paraId="5E07AEAA" w14:textId="4AED3747" w:rsidR="00C22D70" w:rsidRPr="00C22D70" w:rsidRDefault="00C22D70" w:rsidP="002C255A">
      <w:pPr>
        <w:pStyle w:val="NormalWeb"/>
        <w:tabs>
          <w:tab w:val="left" w:pos="1701"/>
        </w:tabs>
        <w:spacing w:before="120" w:beforeAutospacing="0" w:after="120" w:afterAutospacing="0"/>
        <w:ind w:left="1134" w:right="567"/>
        <w:jc w:val="both"/>
        <w:rPr>
          <w:rFonts w:ascii="Book Antiqua" w:hAnsi="Book Antiqua"/>
          <w:color w:val="000000"/>
          <w:sz w:val="22"/>
          <w:szCs w:val="22"/>
        </w:rPr>
      </w:pPr>
      <w:r w:rsidRPr="00C22D70">
        <w:rPr>
          <w:rFonts w:ascii="Book Antiqua" w:hAnsi="Book Antiqua"/>
          <w:color w:val="000000"/>
          <w:sz w:val="22"/>
          <w:szCs w:val="22"/>
        </w:rPr>
        <w:t xml:space="preserve">vi) </w:t>
      </w:r>
      <w:r w:rsidR="002C255A">
        <w:rPr>
          <w:rFonts w:ascii="Book Antiqua" w:hAnsi="Book Antiqua"/>
          <w:color w:val="000000"/>
          <w:sz w:val="22"/>
          <w:szCs w:val="22"/>
        </w:rPr>
        <w:tab/>
      </w:r>
      <w:r w:rsidRPr="00C22D70">
        <w:rPr>
          <w:rFonts w:ascii="Book Antiqua" w:hAnsi="Book Antiqua"/>
          <w:color w:val="000000"/>
          <w:sz w:val="22"/>
          <w:szCs w:val="22"/>
        </w:rPr>
        <w:t xml:space="preserve">In addition to these procedural matters, the deportee's continuing absence from the UK may be a breach of article 8 in the sense that he is </w:t>
      </w:r>
      <w:proofErr w:type="spellStart"/>
      <w:r w:rsidRPr="00C22D70">
        <w:rPr>
          <w:rFonts w:ascii="Book Antiqua" w:hAnsi="Book Antiqua"/>
          <w:color w:val="000000"/>
          <w:sz w:val="22"/>
          <w:szCs w:val="22"/>
        </w:rPr>
        <w:t>deprived</w:t>
      </w:r>
      <w:proofErr w:type="spellEnd"/>
      <w:r w:rsidRPr="00C22D70">
        <w:rPr>
          <w:rFonts w:ascii="Book Antiqua" w:hAnsi="Book Antiqua"/>
          <w:color w:val="000000"/>
          <w:sz w:val="22"/>
          <w:szCs w:val="22"/>
        </w:rPr>
        <w:t xml:space="preserve"> from being with his family, and they from being with him, pending the outcome of the appeal. Generally, such a breach will not be irremediable. However, in addition to that being a potential substantive breach of article 8, it may result in his article 8 claim in the deportation case being undermined on a continuing basis, which may be a factor of some importance. These matters too may be relevant to the assessment of whether to make a mandatory order for the deportee's return.</w:t>
      </w:r>
    </w:p>
    <w:p w14:paraId="67C495A8" w14:textId="5D2255AD" w:rsidR="00C22D70" w:rsidRPr="00C22D70" w:rsidRDefault="00C22D70" w:rsidP="002C255A">
      <w:pPr>
        <w:pStyle w:val="NormalWeb"/>
        <w:tabs>
          <w:tab w:val="left" w:pos="1701"/>
        </w:tabs>
        <w:spacing w:before="120" w:beforeAutospacing="0" w:after="120" w:afterAutospacing="0"/>
        <w:ind w:left="1134" w:right="567"/>
        <w:jc w:val="both"/>
        <w:rPr>
          <w:rFonts w:ascii="Book Antiqua" w:hAnsi="Book Antiqua"/>
          <w:color w:val="000000"/>
          <w:sz w:val="22"/>
          <w:szCs w:val="22"/>
        </w:rPr>
      </w:pPr>
      <w:r w:rsidRPr="00C22D70">
        <w:rPr>
          <w:rFonts w:ascii="Book Antiqua" w:hAnsi="Book Antiqua"/>
          <w:color w:val="000000"/>
          <w:sz w:val="22"/>
          <w:szCs w:val="22"/>
        </w:rPr>
        <w:t xml:space="preserve">vii) </w:t>
      </w:r>
      <w:r w:rsidR="002C255A">
        <w:rPr>
          <w:rFonts w:ascii="Book Antiqua" w:hAnsi="Book Antiqua"/>
          <w:color w:val="000000"/>
          <w:sz w:val="22"/>
          <w:szCs w:val="22"/>
        </w:rPr>
        <w:tab/>
      </w:r>
      <w:r w:rsidRPr="00C22D70">
        <w:rPr>
          <w:rFonts w:ascii="Book Antiqua" w:hAnsi="Book Antiqua"/>
          <w:color w:val="000000"/>
          <w:sz w:val="22"/>
          <w:szCs w:val="22"/>
        </w:rPr>
        <w:t>There is a public interest in deporting foreign criminals – and in not returning foreign criminals who have been deported – although that may be a point of little weight where the relevant individual would have had the right to remain in the UK during the course of his appeal but for an (unlawful) certificate. There is also a public interest in public money not being expended on arranging for returning a deportee to this country to conduct an appeal which could adequately and fairly be conducted from abroad.</w:t>
      </w:r>
      <w:r>
        <w:rPr>
          <w:rFonts w:ascii="Book Antiqua" w:hAnsi="Book Antiqua"/>
          <w:color w:val="000000"/>
          <w:sz w:val="22"/>
          <w:szCs w:val="22"/>
        </w:rPr>
        <w:t>”</w:t>
      </w:r>
    </w:p>
    <w:p w14:paraId="7BAE4F6E" w14:textId="0AC709B1" w:rsidR="00181DEC" w:rsidRDefault="002C255A"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6E0143">
        <w:rPr>
          <w:rFonts w:ascii="Book Antiqua" w:hAnsi="Book Antiqua"/>
        </w:rPr>
        <w:t xml:space="preserve">Clearly, therefore, the Court of Appeal considered that an out of country </w:t>
      </w:r>
      <w:r w:rsidR="00AB3AC9">
        <w:rPr>
          <w:rFonts w:ascii="Book Antiqua" w:hAnsi="Book Antiqua"/>
        </w:rPr>
        <w:t xml:space="preserve">appeal </w:t>
      </w:r>
      <w:r w:rsidR="006E0143">
        <w:rPr>
          <w:rFonts w:ascii="Book Antiqua" w:hAnsi="Book Antiqua"/>
        </w:rPr>
        <w:t>was not necessarily</w:t>
      </w:r>
      <w:r w:rsidR="00A973E9">
        <w:rPr>
          <w:rFonts w:ascii="Book Antiqua" w:hAnsi="Book Antiqua"/>
        </w:rPr>
        <w:t xml:space="preserve"> and inevitably</w:t>
      </w:r>
      <w:r w:rsidR="006E0143">
        <w:rPr>
          <w:rFonts w:ascii="Book Antiqua" w:hAnsi="Book Antiqua"/>
        </w:rPr>
        <w:t xml:space="preserve"> ineffective in protecting an individual’s Article 8 rights and </w:t>
      </w:r>
      <w:r w:rsidR="006E0143">
        <w:rPr>
          <w:rFonts w:ascii="Book Antiqua" w:hAnsi="Book Antiqua"/>
        </w:rPr>
        <w:lastRenderedPageBreak/>
        <w:t xml:space="preserve">that there had to be consideration of the particular circumstances in each case. </w:t>
      </w:r>
      <w:r w:rsidR="00181DEC">
        <w:rPr>
          <w:rFonts w:ascii="Book Antiqua" w:hAnsi="Book Antiqua"/>
        </w:rPr>
        <w:t xml:space="preserve">In the case of </w:t>
      </w:r>
      <w:r w:rsidR="00181DEC" w:rsidRPr="00181DEC">
        <w:rPr>
          <w:rFonts w:ascii="Book Antiqua" w:hAnsi="Book Antiqua"/>
          <w:u w:val="single"/>
        </w:rPr>
        <w:t>AJ</w:t>
      </w:r>
      <w:r w:rsidR="00181DEC">
        <w:rPr>
          <w:rFonts w:ascii="Book Antiqua" w:hAnsi="Book Antiqua"/>
        </w:rPr>
        <w:t xml:space="preserve">, the President </w:t>
      </w:r>
      <w:r w:rsidR="00AB3AC9">
        <w:rPr>
          <w:rFonts w:ascii="Book Antiqua" w:hAnsi="Book Antiqua"/>
        </w:rPr>
        <w:t>extracted from</w:t>
      </w:r>
      <w:r w:rsidR="006E0143">
        <w:rPr>
          <w:rFonts w:ascii="Book Antiqua" w:hAnsi="Book Antiqua"/>
        </w:rPr>
        <w:t xml:space="preserve"> the decision in </w:t>
      </w:r>
      <w:proofErr w:type="spellStart"/>
      <w:r w:rsidR="006E0143" w:rsidRPr="006E0143">
        <w:rPr>
          <w:rFonts w:ascii="Book Antiqua" w:hAnsi="Book Antiqua"/>
          <w:u w:val="single"/>
        </w:rPr>
        <w:t>Kiarie</w:t>
      </w:r>
      <w:proofErr w:type="spellEnd"/>
      <w:r w:rsidR="006E0143" w:rsidRPr="006E0143">
        <w:rPr>
          <w:rFonts w:ascii="Book Antiqua" w:hAnsi="Book Antiqua"/>
          <w:u w:val="single"/>
        </w:rPr>
        <w:t xml:space="preserve"> &amp; </w:t>
      </w:r>
      <w:proofErr w:type="spellStart"/>
      <w:r w:rsidR="006E0143" w:rsidRPr="006E0143">
        <w:rPr>
          <w:rFonts w:ascii="Book Antiqua" w:hAnsi="Book Antiqua"/>
          <w:u w:val="single"/>
        </w:rPr>
        <w:t>Byndloss</w:t>
      </w:r>
      <w:proofErr w:type="spellEnd"/>
      <w:r w:rsidR="006E0143">
        <w:rPr>
          <w:rFonts w:ascii="Book Antiqua" w:hAnsi="Book Antiqua"/>
        </w:rPr>
        <w:t xml:space="preserve"> </w:t>
      </w:r>
      <w:r w:rsidR="00AB3AC9">
        <w:rPr>
          <w:rFonts w:ascii="Book Antiqua" w:hAnsi="Book Antiqua"/>
        </w:rPr>
        <w:t>a step-by-step approach consistent with that</w:t>
      </w:r>
      <w:r>
        <w:rPr>
          <w:rFonts w:ascii="Book Antiqua" w:hAnsi="Book Antiqua"/>
        </w:rPr>
        <w:t xml:space="preserve"> set out at [75(</w:t>
      </w:r>
      <w:r w:rsidR="00C22D70">
        <w:rPr>
          <w:rFonts w:ascii="Book Antiqua" w:hAnsi="Book Antiqua"/>
        </w:rPr>
        <w:t xml:space="preserve">v)] of </w:t>
      </w:r>
      <w:r w:rsidR="00C22D70" w:rsidRPr="00C22D70">
        <w:rPr>
          <w:rFonts w:ascii="Book Antiqua" w:hAnsi="Book Antiqua"/>
          <w:u w:val="single"/>
        </w:rPr>
        <w:t>Nixon</w:t>
      </w:r>
      <w:r w:rsidR="006E0143">
        <w:rPr>
          <w:rFonts w:ascii="Book Antiqua" w:hAnsi="Book Antiqua"/>
        </w:rPr>
        <w:t>,</w:t>
      </w:r>
      <w:r w:rsidR="00C22D70">
        <w:rPr>
          <w:rFonts w:ascii="Book Antiqua" w:hAnsi="Book Antiqua"/>
        </w:rPr>
        <w:t xml:space="preserve"> to determining whether an appeal could be properly decided without the appellant being physically present in the UK</w:t>
      </w:r>
      <w:r w:rsidR="00AB3AC9">
        <w:rPr>
          <w:rFonts w:ascii="Book Antiqua" w:hAnsi="Book Antiqua"/>
        </w:rPr>
        <w:t>, as set out in the</w:t>
      </w:r>
      <w:r w:rsidR="006E0143">
        <w:rPr>
          <w:rFonts w:ascii="Book Antiqua" w:hAnsi="Book Antiqua"/>
        </w:rPr>
        <w:t xml:space="preserve"> headnote:</w:t>
      </w:r>
    </w:p>
    <w:p w14:paraId="109CE463" w14:textId="43C973C2" w:rsidR="00AB3AC9" w:rsidRDefault="00AB3AC9" w:rsidP="002C255A">
      <w:pPr>
        <w:tabs>
          <w:tab w:val="left" w:pos="1701"/>
        </w:tabs>
        <w:spacing w:before="120" w:after="120"/>
        <w:ind w:left="1134" w:right="567"/>
        <w:jc w:val="both"/>
        <w:rPr>
          <w:rFonts w:ascii="&amp;quot" w:hAnsi="&amp;quot"/>
          <w:color w:val="000000"/>
        </w:rPr>
      </w:pPr>
      <w:r>
        <w:rPr>
          <w:rFonts w:ascii="&amp;quot" w:hAnsi="&amp;quot"/>
          <w:i/>
          <w:iCs/>
          <w:color w:val="000000"/>
        </w:rPr>
        <w:t xml:space="preserve">“(2) </w:t>
      </w:r>
      <w:r w:rsidR="002C255A">
        <w:rPr>
          <w:rFonts w:ascii="&amp;quot" w:hAnsi="&amp;quot"/>
          <w:i/>
          <w:iCs/>
          <w:color w:val="000000"/>
        </w:rPr>
        <w:tab/>
      </w:r>
      <w:r>
        <w:rPr>
          <w:rFonts w:ascii="&amp;quot" w:hAnsi="&amp;quot"/>
          <w:i/>
          <w:iCs/>
          <w:color w:val="000000"/>
        </w:rPr>
        <w:t>The First-tier Tribunal should address the following questions:</w:t>
      </w:r>
    </w:p>
    <w:p w14:paraId="07369B5F" w14:textId="30E62410" w:rsidR="00AB3AC9" w:rsidRDefault="00AB3AC9" w:rsidP="002C255A">
      <w:pPr>
        <w:tabs>
          <w:tab w:val="left" w:pos="2268"/>
        </w:tabs>
        <w:spacing w:before="120" w:after="120"/>
        <w:ind w:left="1701" w:right="567"/>
        <w:jc w:val="both"/>
        <w:rPr>
          <w:rFonts w:ascii="&amp;quot" w:hAnsi="&amp;quot"/>
          <w:color w:val="000000"/>
        </w:rPr>
      </w:pPr>
      <w:r>
        <w:rPr>
          <w:rFonts w:ascii="&amp;quot" w:hAnsi="&amp;quot"/>
          <w:i/>
          <w:iCs/>
          <w:color w:val="000000"/>
        </w:rPr>
        <w:t xml:space="preserve">1. </w:t>
      </w:r>
      <w:r w:rsidR="002C255A">
        <w:rPr>
          <w:rFonts w:ascii="&amp;quot" w:hAnsi="&amp;quot"/>
          <w:i/>
          <w:iCs/>
          <w:color w:val="000000"/>
        </w:rPr>
        <w:tab/>
      </w:r>
      <w:r>
        <w:rPr>
          <w:rFonts w:ascii="&amp;quot" w:hAnsi="&amp;quot"/>
          <w:i/>
          <w:iCs/>
          <w:color w:val="000000"/>
        </w:rPr>
        <w:t>Has the appellant’s removal pursuant to a section 94B certificate deprived the appellant of the ability to secure legal representation and/or to give instructions and receive advice from United Kingdom lawyers?</w:t>
      </w:r>
    </w:p>
    <w:p w14:paraId="54F34189" w14:textId="4945D83B" w:rsidR="00AB3AC9" w:rsidRDefault="00AB3AC9" w:rsidP="002C255A">
      <w:pPr>
        <w:tabs>
          <w:tab w:val="left" w:pos="2268"/>
        </w:tabs>
        <w:spacing w:before="120" w:after="120"/>
        <w:ind w:left="1701" w:right="567"/>
        <w:jc w:val="both"/>
        <w:rPr>
          <w:rFonts w:ascii="&amp;quot" w:hAnsi="&amp;quot"/>
          <w:color w:val="000000"/>
        </w:rPr>
      </w:pPr>
      <w:r>
        <w:rPr>
          <w:rFonts w:ascii="&amp;quot" w:hAnsi="&amp;quot"/>
          <w:i/>
          <w:iCs/>
          <w:color w:val="000000"/>
        </w:rPr>
        <w:t xml:space="preserve">2. </w:t>
      </w:r>
      <w:r w:rsidR="002C255A">
        <w:rPr>
          <w:rFonts w:ascii="&amp;quot" w:hAnsi="&amp;quot"/>
          <w:i/>
          <w:iCs/>
          <w:color w:val="000000"/>
        </w:rPr>
        <w:tab/>
      </w:r>
      <w:r>
        <w:rPr>
          <w:rFonts w:ascii="&amp;quot" w:hAnsi="&amp;quot"/>
          <w:i/>
          <w:iCs/>
          <w:color w:val="000000"/>
        </w:rPr>
        <w:t>If not, is the appellant’s absence from the United Kingdom likely materially to impair the production of expert and other professional evidence in respect of the appellant, upon which the appellant would otherwise have relied?</w:t>
      </w:r>
    </w:p>
    <w:p w14:paraId="336EDACD" w14:textId="075D47CF" w:rsidR="00AB3AC9" w:rsidRDefault="00AB3AC9" w:rsidP="002C255A">
      <w:pPr>
        <w:tabs>
          <w:tab w:val="left" w:pos="2268"/>
        </w:tabs>
        <w:spacing w:before="120" w:after="120"/>
        <w:ind w:left="1701" w:right="567"/>
        <w:jc w:val="both"/>
        <w:rPr>
          <w:rFonts w:ascii="&amp;quot" w:hAnsi="&amp;quot"/>
          <w:color w:val="000000"/>
        </w:rPr>
      </w:pPr>
      <w:r>
        <w:rPr>
          <w:rFonts w:ascii="&amp;quot" w:hAnsi="&amp;quot"/>
          <w:i/>
          <w:iCs/>
          <w:color w:val="000000"/>
        </w:rPr>
        <w:t xml:space="preserve">3. </w:t>
      </w:r>
      <w:r w:rsidR="002C255A">
        <w:rPr>
          <w:rFonts w:ascii="&amp;quot" w:hAnsi="&amp;quot"/>
          <w:i/>
          <w:iCs/>
          <w:color w:val="000000"/>
        </w:rPr>
        <w:tab/>
      </w:r>
      <w:r>
        <w:rPr>
          <w:rFonts w:ascii="&amp;quot" w:hAnsi="&amp;quot"/>
          <w:i/>
          <w:iCs/>
          <w:color w:val="000000"/>
        </w:rPr>
        <w:t>If not, is it necessary to hear live evidence from the appellant?</w:t>
      </w:r>
    </w:p>
    <w:p w14:paraId="50BF20CB" w14:textId="3A1D8366" w:rsidR="00AB3AC9" w:rsidRDefault="00AB3AC9" w:rsidP="002C255A">
      <w:pPr>
        <w:tabs>
          <w:tab w:val="left" w:pos="2268"/>
        </w:tabs>
        <w:spacing w:before="120" w:after="120"/>
        <w:ind w:left="1701" w:right="567"/>
        <w:jc w:val="both"/>
        <w:rPr>
          <w:rFonts w:ascii="&amp;quot" w:hAnsi="&amp;quot"/>
          <w:color w:val="000000"/>
        </w:rPr>
      </w:pPr>
      <w:r>
        <w:rPr>
          <w:rFonts w:ascii="&amp;quot" w:hAnsi="&amp;quot"/>
          <w:i/>
          <w:iCs/>
          <w:color w:val="000000"/>
        </w:rPr>
        <w:t xml:space="preserve">4. </w:t>
      </w:r>
      <w:r w:rsidR="002C255A">
        <w:rPr>
          <w:rFonts w:ascii="&amp;quot" w:hAnsi="&amp;quot"/>
          <w:i/>
          <w:iCs/>
          <w:color w:val="000000"/>
        </w:rPr>
        <w:tab/>
      </w:r>
      <w:r>
        <w:rPr>
          <w:rFonts w:ascii="&amp;quot" w:hAnsi="&amp;quot"/>
          <w:i/>
          <w:iCs/>
          <w:color w:val="000000"/>
        </w:rPr>
        <w:t>If so, can such evidence, in all the circumstances, be given in a satisfactory manner by means of video-link?”</w:t>
      </w:r>
    </w:p>
    <w:p w14:paraId="48F44434" w14:textId="1A3D5675" w:rsidR="004120C1" w:rsidRDefault="002C255A"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AB3AC9">
        <w:rPr>
          <w:rFonts w:ascii="Book Antiqua" w:hAnsi="Book Antiqua"/>
        </w:rPr>
        <w:t xml:space="preserve">It was accepted by </w:t>
      </w:r>
      <w:r w:rsidR="00777DDD">
        <w:rPr>
          <w:rFonts w:ascii="Book Antiqua" w:hAnsi="Book Antiqua"/>
        </w:rPr>
        <w:t>Mr Pipe</w:t>
      </w:r>
      <w:r w:rsidR="00AB3AC9">
        <w:rPr>
          <w:rFonts w:ascii="Book Antiqua" w:hAnsi="Book Antiqua"/>
        </w:rPr>
        <w:t xml:space="preserve"> that </w:t>
      </w:r>
      <w:r w:rsidR="004120C1">
        <w:rPr>
          <w:rFonts w:ascii="Book Antiqua" w:hAnsi="Book Antiqua"/>
        </w:rPr>
        <w:t xml:space="preserve">the appellant had had full access to legal representation and </w:t>
      </w:r>
      <w:r w:rsidR="00885311">
        <w:rPr>
          <w:rFonts w:ascii="Book Antiqua" w:hAnsi="Book Antiqua"/>
        </w:rPr>
        <w:t xml:space="preserve">that no issue had been raised about difficulties in obtaining </w:t>
      </w:r>
      <w:r w:rsidR="004120C1">
        <w:rPr>
          <w:rFonts w:ascii="Book Antiqua" w:hAnsi="Book Antiqua"/>
        </w:rPr>
        <w:t xml:space="preserve">expert professional evidence, so that it was </w:t>
      </w:r>
      <w:r w:rsidR="00A973E9">
        <w:rPr>
          <w:rFonts w:ascii="Book Antiqua" w:hAnsi="Book Antiqua"/>
        </w:rPr>
        <w:t xml:space="preserve">only </w:t>
      </w:r>
      <w:r w:rsidR="004120C1">
        <w:rPr>
          <w:rFonts w:ascii="Book Antiqua" w:hAnsi="Book Antiqua"/>
        </w:rPr>
        <w:t xml:space="preserve">the third question which was relevant in this case. In addressing that question in </w:t>
      </w:r>
      <w:r w:rsidR="004120C1" w:rsidRPr="004120C1">
        <w:rPr>
          <w:rFonts w:ascii="Book Antiqua" w:hAnsi="Book Antiqua"/>
          <w:u w:val="single"/>
        </w:rPr>
        <w:t>AJ</w:t>
      </w:r>
      <w:r w:rsidR="004120C1">
        <w:rPr>
          <w:rFonts w:ascii="Book Antiqua" w:hAnsi="Book Antiqua"/>
        </w:rPr>
        <w:t>, the President said as follows:</w:t>
      </w:r>
    </w:p>
    <w:p w14:paraId="5D765EAA" w14:textId="77777777" w:rsidR="004120C1" w:rsidRPr="004120C1" w:rsidRDefault="004120C1" w:rsidP="002C255A">
      <w:pPr>
        <w:overflowPunct w:val="0"/>
        <w:autoSpaceDE w:val="0"/>
        <w:autoSpaceDN w:val="0"/>
        <w:adjustRightInd w:val="0"/>
        <w:spacing w:before="120" w:after="120"/>
        <w:ind w:left="1134" w:right="567"/>
        <w:jc w:val="both"/>
        <w:textAlignment w:val="baseline"/>
        <w:rPr>
          <w:rFonts w:ascii="Book Antiqua" w:hAnsi="Book Antiqua"/>
          <w:sz w:val="22"/>
          <w:szCs w:val="22"/>
        </w:rPr>
      </w:pPr>
      <w:r w:rsidRPr="004120C1">
        <w:rPr>
          <w:rFonts w:ascii="Book Antiqua" w:hAnsi="Book Antiqua"/>
          <w:sz w:val="22"/>
          <w:szCs w:val="22"/>
        </w:rPr>
        <w:t>“</w:t>
      </w:r>
      <w:r w:rsidRPr="004120C1">
        <w:rPr>
          <w:rFonts w:ascii="Book Antiqua" w:hAnsi="Book Antiqua"/>
          <w:color w:val="000000"/>
          <w:sz w:val="22"/>
          <w:szCs w:val="22"/>
        </w:rPr>
        <w:t xml:space="preserve">The third question is whether, in all the circumstances, hearing live evidence from the appellant is necessary. As we have observed, the effect of Lord Wilson’s judgment is that in many if not most cases a fair hearing cannot take place unless the appellant is heard in person. The First-tier Tribunal will need to consider whether there are any disputed findings of fact. If there are not, then live evidence may not be necessary. Lord Wilson’s judgment, however, makes it clear that, even if hard-edged facts are not in dispute, a judicial fact-finder in this area may nevertheless be properly swayed by seeing and hearing the appellant. </w:t>
      </w:r>
      <w:r w:rsidRPr="004120C1">
        <w:rPr>
          <w:rFonts w:ascii="Book Antiqua" w:hAnsi="Book Antiqua"/>
          <w:b/>
          <w:color w:val="000000"/>
          <w:sz w:val="22"/>
          <w:szCs w:val="22"/>
        </w:rPr>
        <w:t>For this reason, we consider that, in section 94B cases, the need for live evidence is likely to be present. A possible exception might be where the respondent’s stance is that, even if the appellant’s case is taken at its highest, so far as family relationships, remorse and risk of re-offending are concerned, the public interest is still such as to make the appellant’s deportation a proportionate interference with the Article 8 rights of all concerned.</w:t>
      </w:r>
      <w:r w:rsidRPr="004120C1">
        <w:rPr>
          <w:rFonts w:ascii="Book Antiqua" w:hAnsi="Book Antiqua"/>
          <w:color w:val="000000"/>
          <w:sz w:val="22"/>
          <w:szCs w:val="22"/>
        </w:rPr>
        <w:t xml:space="preserve"> It is, perhaps, more difficult to see how the respondent could adopt such a stance where the appellant is not a foreign criminal, unless his immigration history is particularly problematic.”</w:t>
      </w:r>
    </w:p>
    <w:p w14:paraId="0F3C19D1" w14:textId="3D31097E" w:rsidR="00C0138D" w:rsidRPr="00C0138D" w:rsidRDefault="002C255A"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4120C1">
        <w:rPr>
          <w:rFonts w:ascii="Book Antiqua" w:hAnsi="Book Antiqua"/>
        </w:rPr>
        <w:t xml:space="preserve">It was Mr </w:t>
      </w:r>
      <w:r w:rsidR="00777DDD">
        <w:rPr>
          <w:rFonts w:ascii="Book Antiqua" w:hAnsi="Book Antiqua"/>
        </w:rPr>
        <w:t>Wilding</w:t>
      </w:r>
      <w:r w:rsidR="004120C1">
        <w:rPr>
          <w:rFonts w:ascii="Book Antiqua" w:hAnsi="Book Antiqua"/>
        </w:rPr>
        <w:t xml:space="preserve">’s submission </w:t>
      </w:r>
      <w:r w:rsidR="004120C1" w:rsidRPr="00FA717D">
        <w:rPr>
          <w:rFonts w:ascii="Book Antiqua" w:hAnsi="Book Antiqua"/>
        </w:rPr>
        <w:t>that the appellant’s case fell within the exception highlighted above</w:t>
      </w:r>
      <w:r w:rsidR="00FA717D" w:rsidRPr="00FA717D">
        <w:rPr>
          <w:rFonts w:ascii="Book Antiqua" w:hAnsi="Book Antiqua"/>
        </w:rPr>
        <w:t xml:space="preserve"> since, taken at its highest,</w:t>
      </w:r>
      <w:r w:rsidR="00FA717D" w:rsidRPr="00FA717D">
        <w:rPr>
          <w:rFonts w:ascii="Book Antiqua" w:hAnsi="Book Antiqua"/>
          <w:color w:val="000000"/>
        </w:rPr>
        <w:t xml:space="preserve"> </w:t>
      </w:r>
      <w:r w:rsidR="009C6268">
        <w:rPr>
          <w:rFonts w:ascii="Book Antiqua" w:hAnsi="Book Antiqua"/>
          <w:color w:val="000000"/>
        </w:rPr>
        <w:t xml:space="preserve">it was one which </w:t>
      </w:r>
      <w:r w:rsidR="00885311">
        <w:rPr>
          <w:rFonts w:ascii="Book Antiqua" w:hAnsi="Book Antiqua"/>
          <w:color w:val="000000"/>
        </w:rPr>
        <w:t>c</w:t>
      </w:r>
      <w:r w:rsidR="009C6268">
        <w:rPr>
          <w:rFonts w:ascii="Book Antiqua" w:hAnsi="Book Antiqua"/>
          <w:color w:val="000000"/>
        </w:rPr>
        <w:t xml:space="preserve">ould not have established on the evidence that the appellant’s deportation had unduly harsh consequences </w:t>
      </w:r>
      <w:r w:rsidR="00FB79C5">
        <w:rPr>
          <w:rFonts w:ascii="Book Antiqua" w:hAnsi="Book Antiqua"/>
          <w:color w:val="000000"/>
        </w:rPr>
        <w:t>for</w:t>
      </w:r>
      <w:r w:rsidR="009C6268">
        <w:rPr>
          <w:rFonts w:ascii="Book Antiqua" w:hAnsi="Book Antiqua"/>
          <w:color w:val="000000"/>
        </w:rPr>
        <w:t xml:space="preserve"> his wife and children</w:t>
      </w:r>
      <w:r w:rsidR="00FA717D" w:rsidRPr="00FA717D">
        <w:rPr>
          <w:rFonts w:ascii="Book Antiqua" w:hAnsi="Book Antiqua"/>
          <w:color w:val="000000"/>
        </w:rPr>
        <w:t>.</w:t>
      </w:r>
      <w:r w:rsidR="009C6268">
        <w:rPr>
          <w:rFonts w:ascii="Book Antiqua" w:hAnsi="Book Antiqua"/>
          <w:color w:val="000000"/>
        </w:rPr>
        <w:t xml:space="preserve"> </w:t>
      </w:r>
      <w:r w:rsidR="00C0138D">
        <w:rPr>
          <w:rFonts w:ascii="Book Antiqua" w:hAnsi="Book Antiqua"/>
          <w:color w:val="000000"/>
        </w:rPr>
        <w:t>Having given careful consideration to the nature of the evidence before the judge w</w:t>
      </w:r>
      <w:r w:rsidR="009C6268">
        <w:rPr>
          <w:rFonts w:ascii="Book Antiqua" w:hAnsi="Book Antiqua"/>
          <w:color w:val="000000"/>
        </w:rPr>
        <w:t>e</w:t>
      </w:r>
      <w:r w:rsidR="00C0138D">
        <w:rPr>
          <w:rFonts w:ascii="Book Antiqua" w:hAnsi="Book Antiqua"/>
          <w:color w:val="000000"/>
        </w:rPr>
        <w:t xml:space="preserve"> find ourselves in</w:t>
      </w:r>
      <w:r w:rsidR="009C6268">
        <w:rPr>
          <w:rFonts w:ascii="Book Antiqua" w:hAnsi="Book Antiqua"/>
          <w:color w:val="000000"/>
        </w:rPr>
        <w:t xml:space="preserve"> agree</w:t>
      </w:r>
      <w:r w:rsidR="00C0138D">
        <w:rPr>
          <w:rFonts w:ascii="Book Antiqua" w:hAnsi="Book Antiqua"/>
          <w:color w:val="000000"/>
        </w:rPr>
        <w:t>ment</w:t>
      </w:r>
      <w:r w:rsidR="009C6268">
        <w:rPr>
          <w:rFonts w:ascii="Book Antiqua" w:hAnsi="Book Antiqua"/>
          <w:color w:val="000000"/>
        </w:rPr>
        <w:t xml:space="preserve"> with Mr Wilding. </w:t>
      </w:r>
    </w:p>
    <w:p w14:paraId="01FAAAE0" w14:textId="150BACF6" w:rsidR="006F4218" w:rsidRPr="006F4218" w:rsidRDefault="002C255A"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6F4218">
        <w:rPr>
          <w:rFonts w:ascii="Book Antiqua" w:hAnsi="Book Antiqua"/>
        </w:rPr>
        <w:t xml:space="preserve">Unlike the circumstances of the appellant in </w:t>
      </w:r>
      <w:r w:rsidR="006F4218" w:rsidRPr="00E83D7B">
        <w:rPr>
          <w:rFonts w:ascii="Book Antiqua" w:hAnsi="Book Antiqua"/>
          <w:u w:val="single"/>
        </w:rPr>
        <w:t>AJ</w:t>
      </w:r>
      <w:r w:rsidR="006F4218">
        <w:rPr>
          <w:rFonts w:ascii="Book Antiqua" w:hAnsi="Book Antiqua"/>
        </w:rPr>
        <w:t>, where the key matter at issue was said at [64] to be the appellant’s own position in Nigeria, t</w:t>
      </w:r>
      <w:r w:rsidR="006F4218" w:rsidRPr="009F5C24">
        <w:rPr>
          <w:rFonts w:ascii="Book Antiqua" w:hAnsi="Book Antiqua"/>
        </w:rPr>
        <w:t>he main issue in th</w:t>
      </w:r>
      <w:r w:rsidR="006F4218">
        <w:rPr>
          <w:rFonts w:ascii="Book Antiqua" w:hAnsi="Book Antiqua"/>
        </w:rPr>
        <w:t>is appellant’s</w:t>
      </w:r>
      <w:r w:rsidR="006F4218" w:rsidRPr="009F5C24">
        <w:rPr>
          <w:rFonts w:ascii="Book Antiqua" w:hAnsi="Book Antiqua"/>
        </w:rPr>
        <w:t xml:space="preserve"> appeal </w:t>
      </w:r>
      <w:r w:rsidR="006F4218" w:rsidRPr="009F5C24">
        <w:rPr>
          <w:rFonts w:ascii="Book Antiqua" w:hAnsi="Book Antiqua"/>
        </w:rPr>
        <w:lastRenderedPageBreak/>
        <w:t xml:space="preserve">was the interests of </w:t>
      </w:r>
      <w:r w:rsidR="006F4218">
        <w:rPr>
          <w:rFonts w:ascii="Book Antiqua" w:hAnsi="Book Antiqua"/>
        </w:rPr>
        <w:t>his</w:t>
      </w:r>
      <w:r w:rsidR="006F4218" w:rsidRPr="009F5C24">
        <w:rPr>
          <w:rFonts w:ascii="Book Antiqua" w:hAnsi="Book Antiqua"/>
        </w:rPr>
        <w:t xml:space="preserve"> children and the </w:t>
      </w:r>
      <w:r w:rsidR="006F4218">
        <w:rPr>
          <w:rFonts w:ascii="Book Antiqua" w:hAnsi="Book Antiqua"/>
        </w:rPr>
        <w:t>impact</w:t>
      </w:r>
      <w:r w:rsidR="006F4218" w:rsidRPr="009F5C24">
        <w:rPr>
          <w:rFonts w:ascii="Book Antiqua" w:hAnsi="Book Antiqua"/>
        </w:rPr>
        <w:t xml:space="preserve"> of </w:t>
      </w:r>
      <w:r w:rsidR="006F4218">
        <w:rPr>
          <w:rFonts w:ascii="Book Antiqua" w:hAnsi="Book Antiqua"/>
        </w:rPr>
        <w:t>his</w:t>
      </w:r>
      <w:r w:rsidR="006F4218" w:rsidRPr="009F5C24">
        <w:rPr>
          <w:rFonts w:ascii="Book Antiqua" w:hAnsi="Book Antiqua"/>
        </w:rPr>
        <w:t xml:space="preserve"> deportation upon them and </w:t>
      </w:r>
      <w:r w:rsidR="006F4218">
        <w:rPr>
          <w:rFonts w:ascii="Book Antiqua" w:hAnsi="Book Antiqua"/>
        </w:rPr>
        <w:t xml:space="preserve">upon </w:t>
      </w:r>
      <w:r w:rsidR="006F4218" w:rsidRPr="009F5C24">
        <w:rPr>
          <w:rFonts w:ascii="Book Antiqua" w:hAnsi="Book Antiqua"/>
        </w:rPr>
        <w:t xml:space="preserve">his wife. </w:t>
      </w:r>
      <w:r w:rsidR="006F4218">
        <w:rPr>
          <w:rFonts w:ascii="Book Antiqua" w:hAnsi="Book Antiqua"/>
          <w:color w:val="000000"/>
        </w:rPr>
        <w:t xml:space="preserve">As Mr Wilding observed, the evidence before the First-tier Tribunal was extremely limited. The Tribunal had statements from the appellant and his wife but, as the First-tier Tribunal Judge observed at [24], the statements were almost identical. Indeed, other than changes from the first to third person, the statements were exactly the same and thus lacked any personal quality. That in itself was, in our view, a testimony to the limited value of any evidence the appellant was able to give. </w:t>
      </w:r>
    </w:p>
    <w:p w14:paraId="49FBA6AD" w14:textId="22FD4533" w:rsidR="006F4218" w:rsidRPr="0090755B" w:rsidRDefault="002C255A"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color w:val="000000"/>
        </w:rPr>
        <w:tab/>
      </w:r>
      <w:r w:rsidR="006F4218">
        <w:rPr>
          <w:rFonts w:ascii="Book Antiqua" w:hAnsi="Book Antiqua"/>
          <w:color w:val="000000"/>
        </w:rPr>
        <w:t>Furthermore, whilst the appellant produced letters from the four children attesting to their love for him and their distress at being separated from him, there was no evidence of contact between the appellant and the four children and only limited evidence of contact between him and his wife</w:t>
      </w:r>
      <w:r w:rsidR="00293CDC">
        <w:rPr>
          <w:rFonts w:ascii="Book Antiqua" w:hAnsi="Book Antiqua"/>
          <w:color w:val="000000"/>
        </w:rPr>
        <w:t>, particularly post-deportation</w:t>
      </w:r>
      <w:r w:rsidR="006F4218">
        <w:rPr>
          <w:rFonts w:ascii="Book Antiqua" w:hAnsi="Book Antiqua"/>
          <w:color w:val="000000"/>
        </w:rPr>
        <w:t xml:space="preserve">. </w:t>
      </w:r>
      <w:proofErr w:type="gramStart"/>
      <w:r w:rsidR="006F4218">
        <w:rPr>
          <w:rFonts w:ascii="Book Antiqua" w:hAnsi="Book Antiqua"/>
          <w:color w:val="000000"/>
        </w:rPr>
        <w:t>Again</w:t>
      </w:r>
      <w:proofErr w:type="gramEnd"/>
      <w:r w:rsidR="006F4218">
        <w:rPr>
          <w:rFonts w:ascii="Book Antiqua" w:hAnsi="Book Antiqua"/>
          <w:color w:val="000000"/>
        </w:rPr>
        <w:t xml:space="preserve"> that was a matter observed by the judge, at [28]. </w:t>
      </w:r>
      <w:r w:rsidR="006F4218">
        <w:rPr>
          <w:rFonts w:ascii="Book Antiqua" w:hAnsi="Book Antiqua"/>
        </w:rPr>
        <w:t xml:space="preserve">The judge had before him letters from the children’s schools providing limited reference to their emotional issues arising from their father’s absence, to which he plainly had regard, as mentioned at [11] of his decision, but there was no further evidence as to the impact of his deportation on the children. The appellant’s absence from the UK did not prevent there being produced full and proper evidence of contact between the appellant and his wife and children, nor evidence of the impact of deportation upon the children. Mr Pipe submitted that if the decision were to be re-made there may be efforts to seek expert evidence about the impact of deportation, but he conceded that that was not relevant to the question of the error of law as there had been no attempt to obtain such evidence previously. In the circumstances, we again </w:t>
      </w:r>
      <w:r w:rsidR="006F4218" w:rsidRPr="009F5C24">
        <w:rPr>
          <w:rFonts w:ascii="Book Antiqua" w:hAnsi="Book Antiqua"/>
        </w:rPr>
        <w:t xml:space="preserve">fail to see </w:t>
      </w:r>
      <w:r w:rsidR="006F4218">
        <w:rPr>
          <w:rFonts w:ascii="Book Antiqua" w:hAnsi="Book Antiqua"/>
        </w:rPr>
        <w:t>what the</w:t>
      </w:r>
      <w:r w:rsidR="006F4218" w:rsidRPr="009F5C24">
        <w:rPr>
          <w:rFonts w:ascii="Book Antiqua" w:hAnsi="Book Antiqua"/>
        </w:rPr>
        <w:t xml:space="preserve"> appellant</w:t>
      </w:r>
      <w:r w:rsidR="006F4218">
        <w:rPr>
          <w:rFonts w:ascii="Book Antiqua" w:hAnsi="Book Antiqua"/>
        </w:rPr>
        <w:t xml:space="preserve"> could have contributed further by way of oral evidence.</w:t>
      </w:r>
    </w:p>
    <w:p w14:paraId="71F26E8C" w14:textId="45516EB1" w:rsidR="009C6268" w:rsidRDefault="002C255A"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6F4218">
        <w:rPr>
          <w:rFonts w:ascii="Book Antiqua" w:hAnsi="Book Antiqua"/>
        </w:rPr>
        <w:t>Reliance has also been placed on the judge’s speculation in regard to the appellant’s relationship with his wife as a reason why he ought to have had an opportunity to give oral evidence. However, whilst</w:t>
      </w:r>
      <w:r w:rsidR="009C6268">
        <w:rPr>
          <w:rFonts w:ascii="Book Antiqua" w:hAnsi="Book Antiqua"/>
        </w:rPr>
        <w:t xml:space="preserve"> the </w:t>
      </w:r>
      <w:r w:rsidR="006F4218">
        <w:rPr>
          <w:rFonts w:ascii="Book Antiqua" w:hAnsi="Book Antiqua"/>
        </w:rPr>
        <w:t>judge</w:t>
      </w:r>
      <w:r w:rsidR="009C6268">
        <w:rPr>
          <w:rFonts w:ascii="Book Antiqua" w:hAnsi="Book Antiqua"/>
        </w:rPr>
        <w:t xml:space="preserve"> drew adverse conclusions in regard to the appellant’s relationship from his partnership with his co-accused and his wife’s lack of knowledge about his co-accused, the judge did not, c</w:t>
      </w:r>
      <w:r w:rsidR="00370040" w:rsidRPr="009F5C24">
        <w:rPr>
          <w:rFonts w:ascii="Book Antiqua" w:hAnsi="Book Antiqua"/>
        </w:rPr>
        <w:t xml:space="preserve">ontrary to the </w:t>
      </w:r>
      <w:r w:rsidR="00933F5D">
        <w:rPr>
          <w:rFonts w:ascii="Book Antiqua" w:hAnsi="Book Antiqua"/>
        </w:rPr>
        <w:t>suggestion made on behalf of the appellant</w:t>
      </w:r>
      <w:r w:rsidR="009C6268">
        <w:rPr>
          <w:rFonts w:ascii="Book Antiqua" w:hAnsi="Book Antiqua"/>
        </w:rPr>
        <w:t xml:space="preserve">, go behind the respondent’s concession </w:t>
      </w:r>
      <w:r w:rsidR="006F4218">
        <w:rPr>
          <w:rFonts w:ascii="Book Antiqua" w:hAnsi="Book Antiqua"/>
        </w:rPr>
        <w:t xml:space="preserve">as to the genuineness of the relationship, </w:t>
      </w:r>
      <w:r w:rsidR="009C6268">
        <w:rPr>
          <w:rFonts w:ascii="Book Antiqua" w:hAnsi="Book Antiqua"/>
        </w:rPr>
        <w:t xml:space="preserve">but proceeded on the basis that there was </w:t>
      </w:r>
      <w:r w:rsidR="006F4218">
        <w:rPr>
          <w:rFonts w:ascii="Book Antiqua" w:hAnsi="Book Antiqua"/>
        </w:rPr>
        <w:t xml:space="preserve">indeed </w:t>
      </w:r>
      <w:r w:rsidR="009C6268">
        <w:rPr>
          <w:rFonts w:ascii="Book Antiqua" w:hAnsi="Book Antiqua"/>
        </w:rPr>
        <w:t>a genuine and subsisting relationship between the appellant and his wife and children.</w:t>
      </w:r>
      <w:r w:rsidR="0090755B">
        <w:rPr>
          <w:rFonts w:ascii="Book Antiqua" w:hAnsi="Book Antiqua"/>
        </w:rPr>
        <w:t xml:space="preserve"> The observations that he made arose out of the appellant’s wife’s evidence and </w:t>
      </w:r>
      <w:r w:rsidR="002473D1">
        <w:rPr>
          <w:rFonts w:ascii="Book Antiqua" w:hAnsi="Book Antiqua"/>
        </w:rPr>
        <w:t xml:space="preserve">the facts before him as set out in the sentencing remarks of the </w:t>
      </w:r>
      <w:r w:rsidR="00933F5D">
        <w:rPr>
          <w:rFonts w:ascii="Book Antiqua" w:hAnsi="Book Antiqua"/>
        </w:rPr>
        <w:t>C</w:t>
      </w:r>
      <w:r w:rsidR="002473D1">
        <w:rPr>
          <w:rFonts w:ascii="Book Antiqua" w:hAnsi="Book Antiqua"/>
        </w:rPr>
        <w:t xml:space="preserve">rown Court Judge and </w:t>
      </w:r>
      <w:r w:rsidR="00933F5D">
        <w:rPr>
          <w:rFonts w:ascii="Book Antiqua" w:hAnsi="Book Antiqua"/>
        </w:rPr>
        <w:t xml:space="preserve">plainly </w:t>
      </w:r>
      <w:r w:rsidR="0090755B">
        <w:rPr>
          <w:rFonts w:ascii="Book Antiqua" w:hAnsi="Book Antiqua"/>
        </w:rPr>
        <w:t xml:space="preserve">would have been valid observations </w:t>
      </w:r>
      <w:r w:rsidR="002473D1">
        <w:rPr>
          <w:rFonts w:ascii="Book Antiqua" w:hAnsi="Book Antiqua"/>
        </w:rPr>
        <w:t>whether or not</w:t>
      </w:r>
      <w:r w:rsidR="0090755B">
        <w:rPr>
          <w:rFonts w:ascii="Book Antiqua" w:hAnsi="Book Antiqua"/>
        </w:rPr>
        <w:t xml:space="preserve"> the appellant </w:t>
      </w:r>
      <w:r w:rsidR="002473D1">
        <w:rPr>
          <w:rFonts w:ascii="Book Antiqua" w:hAnsi="Book Antiqua"/>
        </w:rPr>
        <w:t>was</w:t>
      </w:r>
      <w:r w:rsidR="0090755B">
        <w:rPr>
          <w:rFonts w:ascii="Book Antiqua" w:hAnsi="Book Antiqua"/>
        </w:rPr>
        <w:t xml:space="preserve"> present at the hearing.</w:t>
      </w:r>
    </w:p>
    <w:p w14:paraId="02667089" w14:textId="3C6F4100" w:rsidR="009C6268" w:rsidRPr="00551875" w:rsidRDefault="002C255A"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6F4218">
        <w:rPr>
          <w:rFonts w:ascii="Book Antiqua" w:hAnsi="Book Antiqua"/>
        </w:rPr>
        <w:t>It is also of relevance, as Mr Wilding submitted, that the</w:t>
      </w:r>
      <w:r w:rsidR="00551875">
        <w:rPr>
          <w:rFonts w:ascii="Book Antiqua" w:hAnsi="Book Antiqua"/>
        </w:rPr>
        <w:t>re is no evidence of the</w:t>
      </w:r>
      <w:r w:rsidR="006F4218">
        <w:rPr>
          <w:rFonts w:ascii="Book Antiqua" w:hAnsi="Book Antiqua"/>
        </w:rPr>
        <w:t xml:space="preserve"> appellant </w:t>
      </w:r>
      <w:r w:rsidR="00551875">
        <w:rPr>
          <w:rFonts w:ascii="Book Antiqua" w:hAnsi="Book Antiqua"/>
        </w:rPr>
        <w:t>having</w:t>
      </w:r>
      <w:r w:rsidR="006F4218">
        <w:rPr>
          <w:rFonts w:ascii="Book Antiqua" w:hAnsi="Book Antiqua"/>
        </w:rPr>
        <w:t xml:space="preserve"> specifically request</w:t>
      </w:r>
      <w:r w:rsidR="00551875">
        <w:rPr>
          <w:rFonts w:ascii="Book Antiqua" w:hAnsi="Book Antiqua"/>
        </w:rPr>
        <w:t xml:space="preserve">ed to give oral testimony, either by way of video-link or in person. Mr Pipe disputed that that was the case, relying upon the fact that the appellant had sought to judicially review the certification of his claim prior to his deportation and, as part of his claim, relied upon the need to attend an in-country appeal. However, irrespective of the basis upon which the certificate was challenged, there has been nothing further from the appellant to explain what evidence he would </w:t>
      </w:r>
      <w:r w:rsidR="00AB57CE">
        <w:rPr>
          <w:rFonts w:ascii="Book Antiqua" w:hAnsi="Book Antiqua"/>
        </w:rPr>
        <w:t xml:space="preserve">have </w:t>
      </w:r>
      <w:r w:rsidR="00551875">
        <w:rPr>
          <w:rFonts w:ascii="Book Antiqua" w:hAnsi="Book Antiqua"/>
        </w:rPr>
        <w:t xml:space="preserve">wished to give in person over and above the evidence already available to the First-tier Tribunal. </w:t>
      </w:r>
    </w:p>
    <w:p w14:paraId="764835BC" w14:textId="0C160EC7" w:rsidR="00466208" w:rsidRDefault="002C255A"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90755B">
        <w:rPr>
          <w:rFonts w:ascii="Book Antiqua" w:hAnsi="Book Antiqua"/>
        </w:rPr>
        <w:t>We therefore agree with Mr Wilding that, taking</w:t>
      </w:r>
      <w:r w:rsidR="00B65084">
        <w:rPr>
          <w:rFonts w:ascii="Book Antiqua" w:hAnsi="Book Antiqua"/>
        </w:rPr>
        <w:t xml:space="preserve"> the case at its highest</w:t>
      </w:r>
      <w:r w:rsidR="00AB57CE">
        <w:rPr>
          <w:rFonts w:ascii="Book Antiqua" w:hAnsi="Book Antiqua"/>
        </w:rPr>
        <w:t>,</w:t>
      </w:r>
      <w:r w:rsidR="00B65084">
        <w:rPr>
          <w:rFonts w:ascii="Book Antiqua" w:hAnsi="Book Antiqua"/>
        </w:rPr>
        <w:t xml:space="preserve"> </w:t>
      </w:r>
      <w:r w:rsidR="0090755B">
        <w:rPr>
          <w:rFonts w:ascii="Book Antiqua" w:hAnsi="Book Antiqua"/>
        </w:rPr>
        <w:t>t</w:t>
      </w:r>
      <w:r w:rsidR="00B65084">
        <w:rPr>
          <w:rFonts w:ascii="Book Antiqua" w:hAnsi="Book Antiqua"/>
        </w:rPr>
        <w:t xml:space="preserve">here was </w:t>
      </w:r>
      <w:r w:rsidR="0090755B">
        <w:rPr>
          <w:rFonts w:ascii="Book Antiqua" w:hAnsi="Book Antiqua"/>
        </w:rPr>
        <w:t xml:space="preserve">nothing to show that the appellant’s circumstances and those of his wife and children were anything other than a normal family </w:t>
      </w:r>
      <w:r w:rsidR="002473D1">
        <w:rPr>
          <w:rFonts w:ascii="Book Antiqua" w:hAnsi="Book Antiqua"/>
        </w:rPr>
        <w:t xml:space="preserve">life </w:t>
      </w:r>
      <w:r w:rsidR="0090755B">
        <w:rPr>
          <w:rFonts w:ascii="Book Antiqua" w:hAnsi="Book Antiqua"/>
        </w:rPr>
        <w:t xml:space="preserve">with the expected consequences of separation and </w:t>
      </w:r>
      <w:r w:rsidR="0090755B">
        <w:rPr>
          <w:rFonts w:ascii="Book Antiqua" w:hAnsi="Book Antiqua"/>
        </w:rPr>
        <w:lastRenderedPageBreak/>
        <w:t xml:space="preserve">that there was </w:t>
      </w:r>
      <w:r w:rsidR="00B65084">
        <w:rPr>
          <w:rFonts w:ascii="Book Antiqua" w:hAnsi="Book Antiqua"/>
        </w:rPr>
        <w:t xml:space="preserve">therefore nothing </w:t>
      </w:r>
      <w:r w:rsidR="00AB57CE">
        <w:rPr>
          <w:rFonts w:ascii="Book Antiqua" w:hAnsi="Book Antiqua"/>
        </w:rPr>
        <w:t xml:space="preserve">material </w:t>
      </w:r>
      <w:r w:rsidR="00B65084">
        <w:rPr>
          <w:rFonts w:ascii="Book Antiqua" w:hAnsi="Book Antiqua"/>
        </w:rPr>
        <w:t xml:space="preserve">that the appellant could have added by way of oral evidence. </w:t>
      </w:r>
      <w:r w:rsidR="00551875">
        <w:rPr>
          <w:rFonts w:ascii="Book Antiqua" w:hAnsi="Book Antiqua"/>
        </w:rPr>
        <w:t xml:space="preserve">We do not consider the fact that the family </w:t>
      </w:r>
      <w:r w:rsidR="005A2CD0">
        <w:rPr>
          <w:rFonts w:ascii="Book Antiqua" w:hAnsi="Book Antiqua"/>
        </w:rPr>
        <w:t>comprises</w:t>
      </w:r>
      <w:r w:rsidR="00AB57CE">
        <w:rPr>
          <w:rFonts w:ascii="Book Antiqua" w:hAnsi="Book Antiqua"/>
        </w:rPr>
        <w:t xml:space="preserve"> </w:t>
      </w:r>
      <w:r w:rsidR="00551875">
        <w:rPr>
          <w:rFonts w:ascii="Book Antiqua" w:hAnsi="Book Antiqua"/>
        </w:rPr>
        <w:t xml:space="preserve">both a biological child and step-children alters that fact. </w:t>
      </w:r>
      <w:proofErr w:type="gramStart"/>
      <w:r w:rsidR="00B02D88">
        <w:rPr>
          <w:rFonts w:ascii="Book Antiqua" w:hAnsi="Book Antiqua"/>
        </w:rPr>
        <w:t>Accordingly</w:t>
      </w:r>
      <w:proofErr w:type="gramEnd"/>
      <w:r w:rsidR="00B02D88">
        <w:rPr>
          <w:rFonts w:ascii="Book Antiqua" w:hAnsi="Book Antiqua"/>
        </w:rPr>
        <w:t xml:space="preserve"> the question of </w:t>
      </w:r>
      <w:r w:rsidR="00551875">
        <w:rPr>
          <w:rFonts w:ascii="Book Antiqua" w:hAnsi="Book Antiqua"/>
        </w:rPr>
        <w:t xml:space="preserve">the appellant’s </w:t>
      </w:r>
      <w:r w:rsidR="00B02D88">
        <w:rPr>
          <w:rFonts w:ascii="Book Antiqua" w:hAnsi="Book Antiqua"/>
        </w:rPr>
        <w:t>absence from the UK and his inability to attend the hearing or to give evidence by way of video-link is immaterial</w:t>
      </w:r>
      <w:r w:rsidR="00DD1296">
        <w:rPr>
          <w:rFonts w:ascii="Book Antiqua" w:hAnsi="Book Antiqua"/>
        </w:rPr>
        <w:t xml:space="preserve"> and so too is the fact that the First-tier Tribunal Judge did not himself consider the matter</w:t>
      </w:r>
      <w:r w:rsidR="00B02D88">
        <w:rPr>
          <w:rFonts w:ascii="Book Antiqua" w:hAnsi="Book Antiqua"/>
        </w:rPr>
        <w:t xml:space="preserve">. </w:t>
      </w:r>
      <w:r w:rsidR="00B65084">
        <w:rPr>
          <w:rFonts w:ascii="Book Antiqua" w:hAnsi="Book Antiqua"/>
        </w:rPr>
        <w:t xml:space="preserve">We can find no basis whatsoever for concluding that </w:t>
      </w:r>
      <w:r w:rsidR="00DD1296">
        <w:rPr>
          <w:rFonts w:ascii="Book Antiqua" w:hAnsi="Book Antiqua"/>
        </w:rPr>
        <w:t>the appellant</w:t>
      </w:r>
      <w:r w:rsidR="00B65084">
        <w:rPr>
          <w:rFonts w:ascii="Book Antiqua" w:hAnsi="Book Antiqua"/>
        </w:rPr>
        <w:t xml:space="preserve"> was deprived of a fully effective and fair hearing </w:t>
      </w:r>
      <w:r w:rsidR="00DD1296">
        <w:rPr>
          <w:rFonts w:ascii="Book Antiqua" w:hAnsi="Book Antiqua"/>
        </w:rPr>
        <w:t>or that he was materially prejudiced in any way</w:t>
      </w:r>
      <w:r w:rsidR="00DD1296" w:rsidRPr="00DD1296">
        <w:rPr>
          <w:rFonts w:ascii="Book Antiqua" w:hAnsi="Book Antiqua"/>
        </w:rPr>
        <w:t xml:space="preserve"> </w:t>
      </w:r>
      <w:r w:rsidR="00DD1296">
        <w:rPr>
          <w:rFonts w:ascii="Book Antiqua" w:hAnsi="Book Antiqua"/>
        </w:rPr>
        <w:t>owing to his inability to give oral evidence. W</w:t>
      </w:r>
      <w:r w:rsidR="00B65084">
        <w:rPr>
          <w:rFonts w:ascii="Book Antiqua" w:hAnsi="Book Antiqua"/>
        </w:rPr>
        <w:t>e therefore reject this ground of appeal.</w:t>
      </w:r>
      <w:r w:rsidR="00D225EF">
        <w:rPr>
          <w:rFonts w:ascii="Book Antiqua" w:hAnsi="Book Antiqua"/>
        </w:rPr>
        <w:t xml:space="preserve"> </w:t>
      </w:r>
    </w:p>
    <w:p w14:paraId="4AACA47F" w14:textId="50F79073" w:rsidR="00487CC2" w:rsidRDefault="002C255A"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proofErr w:type="gramStart"/>
      <w:r w:rsidR="00B02D88" w:rsidRPr="00E20BFB">
        <w:rPr>
          <w:rFonts w:ascii="Book Antiqua" w:hAnsi="Book Antiqua"/>
        </w:rPr>
        <w:t>Likewise</w:t>
      </w:r>
      <w:proofErr w:type="gramEnd"/>
      <w:r w:rsidR="00B02D88" w:rsidRPr="00E20BFB">
        <w:rPr>
          <w:rFonts w:ascii="Book Antiqua" w:hAnsi="Book Antiqua"/>
        </w:rPr>
        <w:t xml:space="preserve"> we find no merit in</w:t>
      </w:r>
      <w:r w:rsidR="00B65084" w:rsidRPr="00E20BFB">
        <w:rPr>
          <w:rFonts w:ascii="Book Antiqua" w:hAnsi="Book Antiqua"/>
        </w:rPr>
        <w:t xml:space="preserve"> the second ground</w:t>
      </w:r>
      <w:r w:rsidR="00B02D88" w:rsidRPr="00E20BFB">
        <w:rPr>
          <w:rFonts w:ascii="Book Antiqua" w:hAnsi="Book Antiqua"/>
        </w:rPr>
        <w:t xml:space="preserve"> of appeal.</w:t>
      </w:r>
      <w:r w:rsidR="00D225EF" w:rsidRPr="00E20BFB">
        <w:rPr>
          <w:rFonts w:ascii="Book Antiqua" w:hAnsi="Book Antiqua"/>
        </w:rPr>
        <w:t xml:space="preserve"> </w:t>
      </w:r>
      <w:r w:rsidR="002473D1">
        <w:rPr>
          <w:rFonts w:ascii="Book Antiqua" w:hAnsi="Book Antiqua"/>
        </w:rPr>
        <w:t>Whilst the judge’s assessment of the best interests of the children was brief, the fact is that there was little evidence before the judge and accordingly little more that he could have said</w:t>
      </w:r>
      <w:r w:rsidR="003434A2">
        <w:rPr>
          <w:rFonts w:ascii="Book Antiqua" w:hAnsi="Book Antiqua"/>
        </w:rPr>
        <w:t>.</w:t>
      </w:r>
      <w:r w:rsidR="002473D1">
        <w:rPr>
          <w:rFonts w:ascii="Book Antiqua" w:hAnsi="Book Antiqua"/>
        </w:rPr>
        <w:t xml:space="preserve"> </w:t>
      </w:r>
      <w:r w:rsidR="00551875">
        <w:rPr>
          <w:rFonts w:ascii="Book Antiqua" w:hAnsi="Book Antiqua"/>
        </w:rPr>
        <w:t>As we hav</w:t>
      </w:r>
      <w:r w:rsidR="00AB57CE">
        <w:rPr>
          <w:rFonts w:ascii="Book Antiqua" w:hAnsi="Book Antiqua"/>
        </w:rPr>
        <w:t>e</w:t>
      </w:r>
      <w:r w:rsidR="00551875">
        <w:rPr>
          <w:rFonts w:ascii="Book Antiqua" w:hAnsi="Book Antiqua"/>
        </w:rPr>
        <w:t xml:space="preserve"> already said above, the judge plainly had regard to all the </w:t>
      </w:r>
      <w:r w:rsidR="00FB5D1C">
        <w:rPr>
          <w:rFonts w:ascii="Book Antiqua" w:hAnsi="Book Antiqua"/>
        </w:rPr>
        <w:t xml:space="preserve">evidence about the children, including their own letters and the letters from their schools. </w:t>
      </w:r>
      <w:r w:rsidR="002473D1">
        <w:rPr>
          <w:rFonts w:ascii="Book Antiqua" w:hAnsi="Book Antiqua"/>
        </w:rPr>
        <w:t xml:space="preserve">We agree with Mr Wilding that there was nothing in the judge’s findings at [29] that offended against the principles in section 55. </w:t>
      </w:r>
      <w:r w:rsidR="00FB5D1C">
        <w:rPr>
          <w:rFonts w:ascii="Book Antiqua" w:hAnsi="Book Antiqua"/>
        </w:rPr>
        <w:t>The judge provided</w:t>
      </w:r>
      <w:r w:rsidR="00551875" w:rsidRPr="00E20BFB">
        <w:rPr>
          <w:rFonts w:ascii="Book Antiqua" w:hAnsi="Book Antiqua"/>
        </w:rPr>
        <w:t xml:space="preserve"> cogent reasons for concluding that it would not be unduly harsh for the</w:t>
      </w:r>
      <w:r w:rsidR="00FB5D1C">
        <w:rPr>
          <w:rFonts w:ascii="Book Antiqua" w:hAnsi="Book Antiqua"/>
        </w:rPr>
        <w:t xml:space="preserve"> children</w:t>
      </w:r>
      <w:r w:rsidR="00551875" w:rsidRPr="00E20BFB">
        <w:rPr>
          <w:rFonts w:ascii="Book Antiqua" w:hAnsi="Book Antiqua"/>
        </w:rPr>
        <w:t xml:space="preserve"> and their mother to join </w:t>
      </w:r>
      <w:r w:rsidR="00551875">
        <w:rPr>
          <w:rFonts w:ascii="Book Antiqua" w:hAnsi="Book Antiqua"/>
        </w:rPr>
        <w:t>the appellant in</w:t>
      </w:r>
      <w:r w:rsidR="00551875" w:rsidRPr="00E20BFB">
        <w:rPr>
          <w:rFonts w:ascii="Book Antiqua" w:hAnsi="Book Antiqua"/>
        </w:rPr>
        <w:t xml:space="preserve"> Nigeria or to remain in the UK and continue being separated from him</w:t>
      </w:r>
      <w:r w:rsidR="00FB5D1C">
        <w:rPr>
          <w:rFonts w:ascii="Book Antiqua" w:hAnsi="Book Antiqua"/>
        </w:rPr>
        <w:t xml:space="preserve">. He was fully entitled to conclude that the appellant could not meet the exceptions to deportation in paragraph 399(a) and (b) and that there were no very compelling circumstances outweighing the public interest in deportation. </w:t>
      </w:r>
      <w:r w:rsidR="00F21131">
        <w:rPr>
          <w:rFonts w:ascii="Book Antiqua" w:hAnsi="Book Antiqua"/>
        </w:rPr>
        <w:t>The judge’s conclusion</w:t>
      </w:r>
      <w:r w:rsidR="00551875">
        <w:rPr>
          <w:rFonts w:ascii="Book Antiqua" w:hAnsi="Book Antiqua"/>
        </w:rPr>
        <w:t xml:space="preserve"> that the public interest required the appellant’s deportation</w:t>
      </w:r>
      <w:r w:rsidR="00F21131">
        <w:rPr>
          <w:rFonts w:ascii="Book Antiqua" w:hAnsi="Book Antiqua"/>
        </w:rPr>
        <w:t xml:space="preserve"> was </w:t>
      </w:r>
      <w:r w:rsidR="00AB57CE">
        <w:rPr>
          <w:rFonts w:ascii="Book Antiqua" w:hAnsi="Book Antiqua"/>
        </w:rPr>
        <w:t xml:space="preserve">accordingly </w:t>
      </w:r>
      <w:r w:rsidR="00F21131">
        <w:rPr>
          <w:rFonts w:ascii="Book Antiqua" w:hAnsi="Book Antiqua"/>
        </w:rPr>
        <w:t>one that</w:t>
      </w:r>
      <w:r w:rsidR="00551875">
        <w:rPr>
          <w:rFonts w:ascii="Book Antiqua" w:hAnsi="Book Antiqua"/>
        </w:rPr>
        <w:t xml:space="preserve"> he was fully entitled to reach on the evidence before him and for the reasons properly given</w:t>
      </w:r>
      <w:r w:rsidR="00F21131">
        <w:rPr>
          <w:rFonts w:ascii="Book Antiqua" w:hAnsi="Book Antiqua"/>
        </w:rPr>
        <w:t xml:space="preserve">. </w:t>
      </w:r>
    </w:p>
    <w:p w14:paraId="23A86B2D" w14:textId="12D3F474" w:rsidR="008C3D24" w:rsidRPr="00487CC2" w:rsidRDefault="002C255A"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rPr>
        <w:tab/>
      </w:r>
      <w:r w:rsidR="00D970A5" w:rsidRPr="00487CC2">
        <w:rPr>
          <w:rFonts w:ascii="Book Antiqua" w:hAnsi="Book Antiqua"/>
        </w:rPr>
        <w:t xml:space="preserve">For </w:t>
      </w:r>
      <w:r w:rsidR="00487CC2" w:rsidRPr="00487CC2">
        <w:rPr>
          <w:rFonts w:ascii="Book Antiqua" w:hAnsi="Book Antiqua"/>
        </w:rPr>
        <w:t>all of these</w:t>
      </w:r>
      <w:r w:rsidR="00D970A5" w:rsidRPr="00487CC2">
        <w:rPr>
          <w:rFonts w:ascii="Book Antiqua" w:hAnsi="Book Antiqua"/>
        </w:rPr>
        <w:t xml:space="preserve"> reasons </w:t>
      </w:r>
      <w:r w:rsidR="003434A2">
        <w:rPr>
          <w:rFonts w:ascii="Book Antiqua" w:hAnsi="Book Antiqua"/>
        </w:rPr>
        <w:t>we</w:t>
      </w:r>
      <w:r w:rsidR="00487CC2" w:rsidRPr="00487CC2">
        <w:rPr>
          <w:rFonts w:ascii="Book Antiqua" w:hAnsi="Book Antiqua"/>
        </w:rPr>
        <w:t xml:space="preserve"> find no merit in the grounds of appeal. The appellant had the benefit of a full</w:t>
      </w:r>
      <w:r w:rsidR="003434A2">
        <w:rPr>
          <w:rFonts w:ascii="Book Antiqua" w:hAnsi="Book Antiqua"/>
        </w:rPr>
        <w:t>y effective</w:t>
      </w:r>
      <w:r w:rsidR="00487CC2" w:rsidRPr="00487CC2">
        <w:rPr>
          <w:rFonts w:ascii="Book Antiqua" w:hAnsi="Book Antiqua"/>
        </w:rPr>
        <w:t xml:space="preserve"> and fair hearing with all matters properly considered by the judge</w:t>
      </w:r>
      <w:r w:rsidR="00F21131">
        <w:rPr>
          <w:rFonts w:ascii="Book Antiqua" w:hAnsi="Book Antiqua"/>
        </w:rPr>
        <w:t xml:space="preserve"> and there was no question of any breach of his Article 8 rights in that respect</w:t>
      </w:r>
      <w:r w:rsidR="00487CC2" w:rsidRPr="00487CC2">
        <w:rPr>
          <w:rFonts w:ascii="Book Antiqua" w:hAnsi="Book Antiqua"/>
        </w:rPr>
        <w:t>. The judge’s findings and conclusions took account of all the evidence, were supported by cogent reasoning and were entirely open to him on the evidence before him.</w:t>
      </w:r>
      <w:r w:rsidR="00487CC2">
        <w:rPr>
          <w:rFonts w:ascii="Book Antiqua" w:hAnsi="Book Antiqua"/>
        </w:rPr>
        <w:t xml:space="preserve"> </w:t>
      </w:r>
      <w:proofErr w:type="gramStart"/>
      <w:r w:rsidR="00D970A5" w:rsidRPr="00487CC2">
        <w:rPr>
          <w:rFonts w:ascii="Book Antiqua" w:hAnsi="Book Antiqua"/>
        </w:rPr>
        <w:t>Accordingly</w:t>
      </w:r>
      <w:proofErr w:type="gramEnd"/>
      <w:r w:rsidR="00D970A5" w:rsidRPr="00487CC2">
        <w:rPr>
          <w:rFonts w:ascii="Book Antiqua" w:hAnsi="Book Antiqua"/>
        </w:rPr>
        <w:t xml:space="preserve"> </w:t>
      </w:r>
      <w:r w:rsidR="003434A2">
        <w:rPr>
          <w:rFonts w:ascii="Book Antiqua" w:hAnsi="Book Antiqua"/>
        </w:rPr>
        <w:t>we</w:t>
      </w:r>
      <w:r w:rsidR="00D970A5" w:rsidRPr="00487CC2">
        <w:rPr>
          <w:rFonts w:ascii="Book Antiqua" w:hAnsi="Book Antiqua"/>
        </w:rPr>
        <w:t xml:space="preserve"> find </w:t>
      </w:r>
      <w:r w:rsidR="00D77CC4" w:rsidRPr="00487CC2">
        <w:rPr>
          <w:rFonts w:ascii="Book Antiqua" w:hAnsi="Book Antiqua"/>
        </w:rPr>
        <w:t xml:space="preserve">no errors of law in </w:t>
      </w:r>
      <w:r w:rsidR="00D970A5" w:rsidRPr="00487CC2">
        <w:rPr>
          <w:rFonts w:ascii="Book Antiqua" w:hAnsi="Book Antiqua"/>
        </w:rPr>
        <w:t xml:space="preserve">the judge’s </w:t>
      </w:r>
      <w:r w:rsidR="00D77CC4" w:rsidRPr="00487CC2">
        <w:rPr>
          <w:rFonts w:ascii="Book Antiqua" w:hAnsi="Book Antiqua"/>
        </w:rPr>
        <w:t>decision</w:t>
      </w:r>
      <w:r w:rsidR="003434A2">
        <w:rPr>
          <w:rFonts w:ascii="Book Antiqua" w:hAnsi="Book Antiqua"/>
        </w:rPr>
        <w:t xml:space="preserve"> and</w:t>
      </w:r>
      <w:r w:rsidR="00646638" w:rsidRPr="00487CC2">
        <w:rPr>
          <w:rFonts w:ascii="Book Antiqua" w:hAnsi="Book Antiqua"/>
        </w:rPr>
        <w:t xml:space="preserve"> uphold </w:t>
      </w:r>
      <w:r w:rsidR="00430893" w:rsidRPr="00487CC2">
        <w:rPr>
          <w:rFonts w:ascii="Book Antiqua" w:hAnsi="Book Antiqua"/>
        </w:rPr>
        <w:t>the</w:t>
      </w:r>
      <w:r w:rsidR="00646638" w:rsidRPr="00487CC2">
        <w:rPr>
          <w:rFonts w:ascii="Book Antiqua" w:hAnsi="Book Antiqua"/>
        </w:rPr>
        <w:t xml:space="preserve"> decision.</w:t>
      </w:r>
      <w:r w:rsidR="00AB1460" w:rsidRPr="00487CC2">
        <w:rPr>
          <w:rFonts w:ascii="Book Antiqua" w:hAnsi="Book Antiqua"/>
        </w:rPr>
        <w:t xml:space="preserve"> </w:t>
      </w:r>
    </w:p>
    <w:p w14:paraId="0173C6DA" w14:textId="77777777" w:rsidR="001D227D" w:rsidRPr="005A6C64" w:rsidRDefault="001D227D" w:rsidP="002C255A">
      <w:pPr>
        <w:tabs>
          <w:tab w:val="left" w:pos="360"/>
        </w:tabs>
        <w:overflowPunct w:val="0"/>
        <w:autoSpaceDE w:val="0"/>
        <w:autoSpaceDN w:val="0"/>
        <w:adjustRightInd w:val="0"/>
        <w:spacing w:before="160"/>
        <w:jc w:val="both"/>
        <w:textAlignment w:val="baseline"/>
        <w:rPr>
          <w:rFonts w:ascii="Book Antiqua" w:hAnsi="Book Antiqua"/>
          <w:b/>
          <w:u w:val="single"/>
        </w:rPr>
      </w:pPr>
      <w:r w:rsidRPr="005A6C64">
        <w:rPr>
          <w:rFonts w:ascii="Book Antiqua" w:hAnsi="Book Antiqua"/>
          <w:b/>
          <w:u w:val="single"/>
        </w:rPr>
        <w:t>DECISION</w:t>
      </w:r>
    </w:p>
    <w:p w14:paraId="0CAA5FAC" w14:textId="56C0577D" w:rsidR="00F81C95" w:rsidRPr="00F81C95" w:rsidRDefault="002C255A" w:rsidP="002C255A">
      <w:pPr>
        <w:numPr>
          <w:ilvl w:val="2"/>
          <w:numId w:val="1"/>
        </w:numPr>
        <w:tabs>
          <w:tab w:val="left" w:pos="567"/>
        </w:tabs>
        <w:overflowPunct w:val="0"/>
        <w:autoSpaceDE w:val="0"/>
        <w:autoSpaceDN w:val="0"/>
        <w:adjustRightInd w:val="0"/>
        <w:spacing w:before="160"/>
        <w:ind w:left="0" w:firstLine="0"/>
        <w:jc w:val="both"/>
        <w:textAlignment w:val="baseline"/>
        <w:rPr>
          <w:rFonts w:ascii="Book Antiqua" w:hAnsi="Book Antiqua"/>
        </w:rPr>
      </w:pPr>
      <w:r>
        <w:rPr>
          <w:rFonts w:ascii="Book Antiqua" w:hAnsi="Book Antiqua" w:cs="Arial"/>
        </w:rPr>
        <w:tab/>
      </w:r>
      <w:r w:rsidR="00F81C95" w:rsidRPr="00F81C95">
        <w:rPr>
          <w:rFonts w:ascii="Book Antiqua" w:hAnsi="Book Antiqua" w:cs="Arial"/>
        </w:rPr>
        <w:t>T</w:t>
      </w:r>
      <w:r w:rsidR="00F81C95" w:rsidRPr="00F81C95">
        <w:rPr>
          <w:rFonts w:ascii="Book Antiqua" w:hAnsi="Book Antiqua"/>
        </w:rPr>
        <w:t xml:space="preserve">he making of the decision of the First-tier Tribunal did not involve an error on a point of law. </w:t>
      </w:r>
      <w:r w:rsidR="003434A2">
        <w:rPr>
          <w:rFonts w:ascii="Book Antiqua" w:hAnsi="Book Antiqua"/>
        </w:rPr>
        <w:t xml:space="preserve">We </w:t>
      </w:r>
      <w:r w:rsidR="00F81C95" w:rsidRPr="00F81C95">
        <w:rPr>
          <w:rFonts w:ascii="Book Antiqua" w:hAnsi="Book Antiqua"/>
        </w:rPr>
        <w:t>do not set aside the decision. The decision to dismiss the appeal stands</w:t>
      </w:r>
      <w:r w:rsidR="00F81C95" w:rsidRPr="00F81C95">
        <w:rPr>
          <w:rFonts w:ascii="Book Antiqua" w:hAnsi="Book Antiqua" w:cs="Arial"/>
        </w:rPr>
        <w:t>.</w:t>
      </w:r>
    </w:p>
    <w:p w14:paraId="17731039" w14:textId="438EA935" w:rsidR="00A11E74" w:rsidRDefault="00A11E74" w:rsidP="00BD5E1A">
      <w:pPr>
        <w:rPr>
          <w:rFonts w:ascii="Book Antiqua" w:hAnsi="Book Antiqua" w:cs="Arial"/>
        </w:rPr>
      </w:pPr>
    </w:p>
    <w:p w14:paraId="52FE1EC9" w14:textId="77777777" w:rsidR="002C255A" w:rsidRDefault="002C255A" w:rsidP="00BD5E1A">
      <w:pPr>
        <w:rPr>
          <w:rFonts w:ascii="Book Antiqua" w:hAnsi="Book Antiqua" w:cs="Arial"/>
        </w:rPr>
      </w:pPr>
    </w:p>
    <w:p w14:paraId="34422796" w14:textId="2F1EDFC9" w:rsidR="001F2716" w:rsidRPr="00F97703" w:rsidRDefault="00780F86" w:rsidP="00BD5E1A">
      <w:pPr>
        <w:rPr>
          <w:rFonts w:ascii="Book Antiqua" w:hAnsi="Book Antiqua" w:cs="Arial"/>
        </w:rPr>
      </w:pPr>
      <w:r w:rsidRPr="00F97703">
        <w:rPr>
          <w:rFonts w:ascii="Book Antiqua" w:hAnsi="Book Antiqua" w:cs="Arial"/>
        </w:rPr>
        <w:t>Signed</w:t>
      </w:r>
      <w:r w:rsidRPr="00F97703">
        <w:rPr>
          <w:rFonts w:ascii="Book Antiqua" w:hAnsi="Book Antiqua" w:cs="Arial"/>
        </w:rPr>
        <w:tab/>
      </w:r>
      <w:r w:rsidR="009D3476" w:rsidRPr="005927AB">
        <w:rPr>
          <w:noProof/>
          <w:sz w:val="20"/>
          <w:szCs w:val="20"/>
        </w:rPr>
        <w:drawing>
          <wp:inline distT="0" distB="0" distL="0" distR="0" wp14:anchorId="39576F42" wp14:editId="5DA8C874">
            <wp:extent cx="1260475" cy="54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475" cy="543560"/>
                    </a:xfrm>
                    <a:prstGeom prst="rect">
                      <a:avLst/>
                    </a:prstGeom>
                    <a:noFill/>
                    <a:ln>
                      <a:noFill/>
                    </a:ln>
                  </pic:spPr>
                </pic:pic>
              </a:graphicData>
            </a:graphic>
          </wp:inline>
        </w:drawing>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p>
    <w:p w14:paraId="68F566E7" w14:textId="77777777" w:rsidR="00B95326" w:rsidRPr="00F97703" w:rsidRDefault="00640E33" w:rsidP="00BD5E1A">
      <w:pPr>
        <w:tabs>
          <w:tab w:val="left" w:pos="2520"/>
        </w:tabs>
        <w:rPr>
          <w:rFonts w:ascii="Book Antiqua" w:hAnsi="Book Antiqua" w:cs="Arial"/>
          <w:color w:val="000000"/>
        </w:rPr>
      </w:pPr>
      <w:r>
        <w:rPr>
          <w:rFonts w:ascii="Book Antiqua" w:hAnsi="Book Antiqua" w:cs="Arial"/>
          <w:color w:val="000000"/>
        </w:rPr>
        <w:t xml:space="preserve">Upper Tribunal </w:t>
      </w:r>
      <w:r w:rsidR="00D9111A" w:rsidRPr="00F97703">
        <w:rPr>
          <w:rFonts w:ascii="Book Antiqua" w:hAnsi="Book Antiqua" w:cs="Arial"/>
          <w:color w:val="000000"/>
        </w:rPr>
        <w:t>Judge</w:t>
      </w:r>
      <w:r w:rsidR="001B2F75" w:rsidRPr="00F97703">
        <w:rPr>
          <w:rFonts w:ascii="Book Antiqua" w:hAnsi="Book Antiqua" w:cs="Arial"/>
          <w:color w:val="000000"/>
        </w:rPr>
        <w:t xml:space="preserve"> </w:t>
      </w:r>
      <w:proofErr w:type="spellStart"/>
      <w:r>
        <w:rPr>
          <w:rFonts w:ascii="Book Antiqua" w:hAnsi="Book Antiqua" w:cs="Arial"/>
          <w:color w:val="000000"/>
        </w:rPr>
        <w:t>Kebede</w:t>
      </w:r>
      <w:proofErr w:type="spellEnd"/>
      <w:r w:rsidR="004D2C44">
        <w:rPr>
          <w:rFonts w:ascii="Book Antiqua" w:hAnsi="Book Antiqua" w:cs="Arial"/>
          <w:color w:val="000000"/>
        </w:rPr>
        <w:t xml:space="preserve"> </w:t>
      </w:r>
      <w:r w:rsidR="00BD5E1A">
        <w:rPr>
          <w:rFonts w:ascii="Book Antiqua" w:hAnsi="Book Antiqua" w:cs="Arial"/>
          <w:color w:val="000000"/>
        </w:rPr>
        <w:tab/>
      </w:r>
      <w:r w:rsidR="00BD5E1A">
        <w:rPr>
          <w:rFonts w:ascii="Book Antiqua" w:hAnsi="Book Antiqua" w:cs="Arial"/>
          <w:color w:val="000000"/>
        </w:rPr>
        <w:tab/>
      </w:r>
      <w:r w:rsidR="00BD5E1A">
        <w:rPr>
          <w:rFonts w:ascii="Book Antiqua" w:hAnsi="Book Antiqua" w:cs="Arial"/>
          <w:color w:val="000000"/>
        </w:rPr>
        <w:tab/>
      </w:r>
      <w:r w:rsidR="00BD5E1A">
        <w:rPr>
          <w:rFonts w:ascii="Book Antiqua" w:hAnsi="Book Antiqua" w:cs="Arial"/>
          <w:color w:val="000000"/>
        </w:rPr>
        <w:tab/>
      </w:r>
      <w:r w:rsidR="00BD5E1A">
        <w:rPr>
          <w:rFonts w:ascii="Book Antiqua" w:hAnsi="Book Antiqua" w:cs="Arial"/>
          <w:color w:val="000000"/>
        </w:rPr>
        <w:tab/>
      </w:r>
      <w:r w:rsidR="00BD5E1A">
        <w:rPr>
          <w:rFonts w:ascii="Book Antiqua" w:hAnsi="Book Antiqua" w:cs="Arial"/>
          <w:color w:val="000000"/>
        </w:rPr>
        <w:tab/>
        <w:t xml:space="preserve">Dated: </w:t>
      </w:r>
      <w:r w:rsidR="00A620F3">
        <w:rPr>
          <w:rFonts w:ascii="Book Antiqua" w:hAnsi="Book Antiqua" w:cs="Arial"/>
          <w:color w:val="000000"/>
        </w:rPr>
        <w:t xml:space="preserve"> </w:t>
      </w:r>
      <w:r w:rsidR="00E70731">
        <w:rPr>
          <w:rFonts w:ascii="Book Antiqua" w:hAnsi="Book Antiqua" w:cs="Arial"/>
          <w:color w:val="000000"/>
        </w:rPr>
        <w:t>25 May</w:t>
      </w:r>
      <w:r w:rsidR="003D1DBC">
        <w:rPr>
          <w:rFonts w:ascii="Book Antiqua" w:hAnsi="Book Antiqua" w:cs="Arial"/>
          <w:color w:val="000000"/>
        </w:rPr>
        <w:t xml:space="preserve"> 2018</w:t>
      </w:r>
    </w:p>
    <w:sectPr w:rsidR="00B95326" w:rsidRPr="00F97703"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86C7A" w14:textId="77777777" w:rsidR="001F44E9" w:rsidRDefault="001F44E9">
      <w:r>
        <w:separator/>
      </w:r>
    </w:p>
  </w:endnote>
  <w:endnote w:type="continuationSeparator" w:id="0">
    <w:p w14:paraId="795D9900" w14:textId="77777777" w:rsidR="001F44E9" w:rsidRDefault="001F44E9">
      <w:r>
        <w:continuationSeparator/>
      </w:r>
    </w:p>
  </w:endnote>
  <w:endnote w:type="continuationNotice" w:id="1">
    <w:p w14:paraId="65124229" w14:textId="77777777" w:rsidR="001F44E9" w:rsidRDefault="001F44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B4FA0" w14:textId="4A843754" w:rsidR="00E93E7F" w:rsidRPr="00593795" w:rsidRDefault="00E93E7F"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C367B3">
      <w:rPr>
        <w:rStyle w:val="PageNumber"/>
        <w:rFonts w:ascii="Arial" w:hAnsi="Arial" w:cs="Arial"/>
        <w:noProof/>
        <w:sz w:val="16"/>
        <w:szCs w:val="16"/>
      </w:rPr>
      <w:t>8</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24D70" w14:textId="77777777" w:rsidR="00E93E7F" w:rsidRPr="00090CF9" w:rsidRDefault="00E93E7F"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0C84A" w14:textId="77777777" w:rsidR="001F44E9" w:rsidRDefault="001F44E9">
      <w:r>
        <w:separator/>
      </w:r>
    </w:p>
  </w:footnote>
  <w:footnote w:type="continuationSeparator" w:id="0">
    <w:p w14:paraId="38699590" w14:textId="77777777" w:rsidR="001F44E9" w:rsidRDefault="001F44E9">
      <w:r>
        <w:continuationSeparator/>
      </w:r>
    </w:p>
  </w:footnote>
  <w:footnote w:type="continuationNotice" w:id="1">
    <w:p w14:paraId="7BD85374" w14:textId="77777777" w:rsidR="001F44E9" w:rsidRDefault="001F44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1C3B" w14:textId="77777777" w:rsidR="00E93E7F" w:rsidRPr="003C5CE5" w:rsidRDefault="00E93E7F" w:rsidP="00593795">
    <w:pPr>
      <w:pStyle w:val="Header"/>
      <w:jc w:val="right"/>
      <w:rPr>
        <w:rFonts w:ascii="Arial" w:hAnsi="Arial" w:cs="Arial"/>
        <w:sz w:val="16"/>
        <w:szCs w:val="16"/>
      </w:rPr>
    </w:pPr>
    <w:r>
      <w:rPr>
        <w:rFonts w:ascii="Arial" w:hAnsi="Arial" w:cs="Arial"/>
        <w:sz w:val="16"/>
        <w:szCs w:val="16"/>
      </w:rPr>
      <w:t xml:space="preserve">Appeal Number: HU/14104/2016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15A2A"/>
    <w:multiLevelType w:val="hybridMultilevel"/>
    <w:tmpl w:val="1C8A267A"/>
    <w:lvl w:ilvl="0" w:tplc="A6CA352A">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3B1D1830"/>
    <w:multiLevelType w:val="hybridMultilevel"/>
    <w:tmpl w:val="5BE6EDBA"/>
    <w:lvl w:ilvl="0" w:tplc="0809000F">
      <w:start w:val="1"/>
      <w:numFmt w:val="decimal"/>
      <w:lvlText w:val="%1."/>
      <w:lvlJc w:val="left"/>
      <w:pPr>
        <w:ind w:left="644"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F6E32C4"/>
    <w:multiLevelType w:val="multilevel"/>
    <w:tmpl w:val="8152B12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2C209C"/>
    <w:multiLevelType w:val="hybridMultilevel"/>
    <w:tmpl w:val="35AEBF0E"/>
    <w:lvl w:ilvl="0" w:tplc="F1E0E48A">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504F33FD"/>
    <w:multiLevelType w:val="hybridMultilevel"/>
    <w:tmpl w:val="573C14EC"/>
    <w:lvl w:ilvl="0" w:tplc="8506D9DE">
      <w:start w:val="1"/>
      <w:numFmt w:val="decimal"/>
      <w:lvlText w:val="%1."/>
      <w:lvlJc w:val="left"/>
      <w:pPr>
        <w:tabs>
          <w:tab w:val="num" w:pos="720"/>
        </w:tabs>
        <w:ind w:left="720" w:hanging="360"/>
      </w:pPr>
      <w:rPr>
        <w:rFonts w:hint="default"/>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0DE1122"/>
    <w:multiLevelType w:val="multilevel"/>
    <w:tmpl w:val="0B7AA4DC"/>
    <w:lvl w:ilvl="0">
      <w:start w:val="1"/>
      <w:numFmt w:val="upperRoman"/>
      <w:lvlText w:val="%1."/>
      <w:legacy w:legacy="1" w:legacySpace="0" w:legacyIndent="360"/>
      <w:lvlJc w:val="left"/>
      <w:pPr>
        <w:ind w:left="360" w:hanging="360"/>
      </w:pPr>
    </w:lvl>
    <w:lvl w:ilvl="1">
      <w:start w:val="1"/>
      <w:numFmt w:val="upperLetter"/>
      <w:lvlText w:val="%2."/>
      <w:legacy w:legacy="1" w:legacySpace="0" w:legacyIndent="360"/>
      <w:lvlJc w:val="left"/>
      <w:pPr>
        <w:ind w:left="720" w:hanging="360"/>
      </w:pPr>
    </w:lvl>
    <w:lvl w:ilvl="2">
      <w:start w:val="1"/>
      <w:numFmt w:val="decimal"/>
      <w:lvlText w:val="%3."/>
      <w:legacy w:legacy="1" w:legacySpace="0" w:legacyIndent="360"/>
      <w:lvlJc w:val="left"/>
      <w:pPr>
        <w:ind w:left="720" w:hanging="360"/>
      </w:pPr>
    </w:lvl>
    <w:lvl w:ilvl="3">
      <w:start w:val="1"/>
      <w:numFmt w:val="lowerRoman"/>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decimal"/>
      <w:lvlText w:val="%6)"/>
      <w:legacy w:legacy="1" w:legacySpace="0" w:legacyIndent="360"/>
      <w:lvlJc w:val="left"/>
      <w:pPr>
        <w:ind w:left="2160" w:hanging="360"/>
      </w:pPr>
    </w:lvl>
    <w:lvl w:ilvl="6">
      <w:start w:val="1"/>
      <w:numFmt w:val="lowerRoman"/>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decimal"/>
      <w:lvlText w:val="(%9)"/>
      <w:legacy w:legacy="1" w:legacySpace="0" w:legacyIndent="360"/>
      <w:lvlJc w:val="left"/>
      <w:pPr>
        <w:ind w:left="3240" w:hanging="360"/>
      </w:pPr>
    </w:lvl>
  </w:abstractNum>
  <w:abstractNum w:abstractNumId="6" w15:restartNumberingAfterBreak="0">
    <w:nsid w:val="55932E6F"/>
    <w:multiLevelType w:val="hybridMultilevel"/>
    <w:tmpl w:val="7400BEEA"/>
    <w:lvl w:ilvl="0" w:tplc="EA323CD0">
      <w:start w:val="1"/>
      <w:numFmt w:val="lowerRoman"/>
      <w:lvlText w:val="(%1)"/>
      <w:lvlJc w:val="left"/>
      <w:pPr>
        <w:tabs>
          <w:tab w:val="num" w:pos="1854"/>
        </w:tabs>
        <w:ind w:left="1854" w:hanging="72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7" w15:restartNumberingAfterBreak="0">
    <w:nsid w:val="5FFF7752"/>
    <w:multiLevelType w:val="hybridMultilevel"/>
    <w:tmpl w:val="C002C370"/>
    <w:lvl w:ilvl="0" w:tplc="4EF0DC8E">
      <w:start w:val="1"/>
      <w:numFmt w:val="bullet"/>
      <w:lvlText w:val=""/>
      <w:lvlJc w:val="left"/>
      <w:pPr>
        <w:tabs>
          <w:tab w:val="num" w:pos="567"/>
        </w:tabs>
        <w:ind w:left="567" w:hanging="28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583B7C"/>
    <w:multiLevelType w:val="hybridMultilevel"/>
    <w:tmpl w:val="3D8A5D58"/>
    <w:lvl w:ilvl="0" w:tplc="489E5CDE">
      <w:start w:val="1"/>
      <w:numFmt w:val="lowerLetter"/>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num w:numId="1">
    <w:abstractNumId w:val="5"/>
  </w:num>
  <w:num w:numId="2">
    <w:abstractNumId w:val="7"/>
  </w:num>
  <w:num w:numId="3">
    <w:abstractNumId w:val="8"/>
  </w:num>
  <w:num w:numId="4">
    <w:abstractNumId w:val="1"/>
  </w:num>
  <w:num w:numId="5">
    <w:abstractNumId w:val="3"/>
  </w:num>
  <w:num w:numId="6">
    <w:abstractNumId w:val="0"/>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248D"/>
    <w:rsid w:val="00002D6D"/>
    <w:rsid w:val="000036C2"/>
    <w:rsid w:val="00004C85"/>
    <w:rsid w:val="00011746"/>
    <w:rsid w:val="00011C31"/>
    <w:rsid w:val="00015849"/>
    <w:rsid w:val="00021488"/>
    <w:rsid w:val="000226E0"/>
    <w:rsid w:val="00026F3F"/>
    <w:rsid w:val="00033D3D"/>
    <w:rsid w:val="00051CD1"/>
    <w:rsid w:val="00055E41"/>
    <w:rsid w:val="00062F02"/>
    <w:rsid w:val="00063CE2"/>
    <w:rsid w:val="000652CE"/>
    <w:rsid w:val="00066AB9"/>
    <w:rsid w:val="00067603"/>
    <w:rsid w:val="00071579"/>
    <w:rsid w:val="00071A7E"/>
    <w:rsid w:val="0007234C"/>
    <w:rsid w:val="000746C0"/>
    <w:rsid w:val="00074D1D"/>
    <w:rsid w:val="00086414"/>
    <w:rsid w:val="00087109"/>
    <w:rsid w:val="00087F0D"/>
    <w:rsid w:val="00090CF9"/>
    <w:rsid w:val="00092580"/>
    <w:rsid w:val="000936D1"/>
    <w:rsid w:val="00093D4D"/>
    <w:rsid w:val="000A1B34"/>
    <w:rsid w:val="000A7F0C"/>
    <w:rsid w:val="000B07D1"/>
    <w:rsid w:val="000B07E8"/>
    <w:rsid w:val="000B3589"/>
    <w:rsid w:val="000C1182"/>
    <w:rsid w:val="000C2DDE"/>
    <w:rsid w:val="000D164B"/>
    <w:rsid w:val="000D5D94"/>
    <w:rsid w:val="000E2DF4"/>
    <w:rsid w:val="000E5E5C"/>
    <w:rsid w:val="000E719C"/>
    <w:rsid w:val="000F0F07"/>
    <w:rsid w:val="000F1A0E"/>
    <w:rsid w:val="000F43B8"/>
    <w:rsid w:val="000F4687"/>
    <w:rsid w:val="000F646B"/>
    <w:rsid w:val="001049CE"/>
    <w:rsid w:val="00104CC5"/>
    <w:rsid w:val="00105972"/>
    <w:rsid w:val="0010645C"/>
    <w:rsid w:val="00110709"/>
    <w:rsid w:val="00116582"/>
    <w:rsid w:val="001165A7"/>
    <w:rsid w:val="001327CB"/>
    <w:rsid w:val="00134C10"/>
    <w:rsid w:val="00136A6A"/>
    <w:rsid w:val="00146D13"/>
    <w:rsid w:val="0015126F"/>
    <w:rsid w:val="00152B5E"/>
    <w:rsid w:val="00153D1E"/>
    <w:rsid w:val="00155B80"/>
    <w:rsid w:val="0015618E"/>
    <w:rsid w:val="00160D20"/>
    <w:rsid w:val="00160DF3"/>
    <w:rsid w:val="00161399"/>
    <w:rsid w:val="00163092"/>
    <w:rsid w:val="00164FE9"/>
    <w:rsid w:val="00165339"/>
    <w:rsid w:val="00166E72"/>
    <w:rsid w:val="00167D3A"/>
    <w:rsid w:val="00171FD8"/>
    <w:rsid w:val="00172A23"/>
    <w:rsid w:val="00173A95"/>
    <w:rsid w:val="00174E77"/>
    <w:rsid w:val="00181C7C"/>
    <w:rsid w:val="00181DEC"/>
    <w:rsid w:val="00187BC5"/>
    <w:rsid w:val="00192800"/>
    <w:rsid w:val="00197529"/>
    <w:rsid w:val="001A3082"/>
    <w:rsid w:val="001A54ED"/>
    <w:rsid w:val="001A5929"/>
    <w:rsid w:val="001A6048"/>
    <w:rsid w:val="001A696D"/>
    <w:rsid w:val="001A7F3B"/>
    <w:rsid w:val="001B186A"/>
    <w:rsid w:val="001B2F75"/>
    <w:rsid w:val="001B54B3"/>
    <w:rsid w:val="001B63E1"/>
    <w:rsid w:val="001C3786"/>
    <w:rsid w:val="001C4525"/>
    <w:rsid w:val="001C4588"/>
    <w:rsid w:val="001C7878"/>
    <w:rsid w:val="001D0BD3"/>
    <w:rsid w:val="001D1426"/>
    <w:rsid w:val="001D227D"/>
    <w:rsid w:val="001D49D5"/>
    <w:rsid w:val="001D5FB5"/>
    <w:rsid w:val="001E640E"/>
    <w:rsid w:val="001F15C4"/>
    <w:rsid w:val="001F198C"/>
    <w:rsid w:val="001F2716"/>
    <w:rsid w:val="001F2C71"/>
    <w:rsid w:val="001F44E9"/>
    <w:rsid w:val="001F4EF7"/>
    <w:rsid w:val="00200DB9"/>
    <w:rsid w:val="0020698F"/>
    <w:rsid w:val="00207617"/>
    <w:rsid w:val="002143C8"/>
    <w:rsid w:val="0021496A"/>
    <w:rsid w:val="002149B8"/>
    <w:rsid w:val="002164F8"/>
    <w:rsid w:val="00220A2E"/>
    <w:rsid w:val="00222EE7"/>
    <w:rsid w:val="002251D6"/>
    <w:rsid w:val="0023134B"/>
    <w:rsid w:val="00234210"/>
    <w:rsid w:val="00236553"/>
    <w:rsid w:val="00242E82"/>
    <w:rsid w:val="0024661D"/>
    <w:rsid w:val="002473D1"/>
    <w:rsid w:val="00256AB9"/>
    <w:rsid w:val="00262A71"/>
    <w:rsid w:val="00267FA4"/>
    <w:rsid w:val="00270E13"/>
    <w:rsid w:val="00281CBB"/>
    <w:rsid w:val="00282AC2"/>
    <w:rsid w:val="00282DCE"/>
    <w:rsid w:val="00282EDA"/>
    <w:rsid w:val="00283659"/>
    <w:rsid w:val="0029030D"/>
    <w:rsid w:val="0029285B"/>
    <w:rsid w:val="0029399E"/>
    <w:rsid w:val="00293CDC"/>
    <w:rsid w:val="00296077"/>
    <w:rsid w:val="002A2090"/>
    <w:rsid w:val="002A6CE9"/>
    <w:rsid w:val="002B504D"/>
    <w:rsid w:val="002B568E"/>
    <w:rsid w:val="002B6816"/>
    <w:rsid w:val="002C255A"/>
    <w:rsid w:val="002C2A9D"/>
    <w:rsid w:val="002C38C2"/>
    <w:rsid w:val="002C4B53"/>
    <w:rsid w:val="002C5AD0"/>
    <w:rsid w:val="002C6BD4"/>
    <w:rsid w:val="002D2D66"/>
    <w:rsid w:val="002D46F4"/>
    <w:rsid w:val="002D68BF"/>
    <w:rsid w:val="002E03E1"/>
    <w:rsid w:val="002E1891"/>
    <w:rsid w:val="002E6273"/>
    <w:rsid w:val="002F33F4"/>
    <w:rsid w:val="002F6B98"/>
    <w:rsid w:val="003018F4"/>
    <w:rsid w:val="00302336"/>
    <w:rsid w:val="0030268B"/>
    <w:rsid w:val="00306A6C"/>
    <w:rsid w:val="00311761"/>
    <w:rsid w:val="0032223A"/>
    <w:rsid w:val="003256E4"/>
    <w:rsid w:val="00332C81"/>
    <w:rsid w:val="00333AE6"/>
    <w:rsid w:val="00336CBF"/>
    <w:rsid w:val="00336F6A"/>
    <w:rsid w:val="00341C12"/>
    <w:rsid w:val="003434A2"/>
    <w:rsid w:val="00343FE3"/>
    <w:rsid w:val="00346802"/>
    <w:rsid w:val="00350622"/>
    <w:rsid w:val="0035116E"/>
    <w:rsid w:val="003544C3"/>
    <w:rsid w:val="003546C8"/>
    <w:rsid w:val="0036316A"/>
    <w:rsid w:val="00365FE4"/>
    <w:rsid w:val="003666F7"/>
    <w:rsid w:val="0036686D"/>
    <w:rsid w:val="00366E59"/>
    <w:rsid w:val="00366F64"/>
    <w:rsid w:val="00370040"/>
    <w:rsid w:val="0037168F"/>
    <w:rsid w:val="00371A78"/>
    <w:rsid w:val="00371C0A"/>
    <w:rsid w:val="00374948"/>
    <w:rsid w:val="0037557F"/>
    <w:rsid w:val="00380ED0"/>
    <w:rsid w:val="0038485D"/>
    <w:rsid w:val="00385B02"/>
    <w:rsid w:val="0038721B"/>
    <w:rsid w:val="00392B76"/>
    <w:rsid w:val="00393263"/>
    <w:rsid w:val="00396816"/>
    <w:rsid w:val="003A1CC4"/>
    <w:rsid w:val="003A3958"/>
    <w:rsid w:val="003A3F8B"/>
    <w:rsid w:val="003A7CF2"/>
    <w:rsid w:val="003B0A9A"/>
    <w:rsid w:val="003B58DD"/>
    <w:rsid w:val="003C4E33"/>
    <w:rsid w:val="003C579D"/>
    <w:rsid w:val="003C5CE5"/>
    <w:rsid w:val="003D1DBC"/>
    <w:rsid w:val="003D2B84"/>
    <w:rsid w:val="003D5B60"/>
    <w:rsid w:val="003D6760"/>
    <w:rsid w:val="003D7E20"/>
    <w:rsid w:val="003E267B"/>
    <w:rsid w:val="003E576C"/>
    <w:rsid w:val="003E7CD1"/>
    <w:rsid w:val="003F0992"/>
    <w:rsid w:val="003F11AB"/>
    <w:rsid w:val="003F1EA7"/>
    <w:rsid w:val="003F2270"/>
    <w:rsid w:val="003F4524"/>
    <w:rsid w:val="003F741B"/>
    <w:rsid w:val="00402B9E"/>
    <w:rsid w:val="00407193"/>
    <w:rsid w:val="00407E88"/>
    <w:rsid w:val="004120C1"/>
    <w:rsid w:val="00412215"/>
    <w:rsid w:val="0041482A"/>
    <w:rsid w:val="004176AD"/>
    <w:rsid w:val="00422992"/>
    <w:rsid w:val="00423AD9"/>
    <w:rsid w:val="004249CB"/>
    <w:rsid w:val="00424C87"/>
    <w:rsid w:val="004301F6"/>
    <w:rsid w:val="00430298"/>
    <w:rsid w:val="00430893"/>
    <w:rsid w:val="00431D92"/>
    <w:rsid w:val="00432A5D"/>
    <w:rsid w:val="0043684E"/>
    <w:rsid w:val="00437B14"/>
    <w:rsid w:val="0044127D"/>
    <w:rsid w:val="0044174A"/>
    <w:rsid w:val="00442BC9"/>
    <w:rsid w:val="004438B4"/>
    <w:rsid w:val="0044437D"/>
    <w:rsid w:val="004448DB"/>
    <w:rsid w:val="00445B1E"/>
    <w:rsid w:val="00446C9A"/>
    <w:rsid w:val="00452F2B"/>
    <w:rsid w:val="00453F19"/>
    <w:rsid w:val="00454DEC"/>
    <w:rsid w:val="00454F04"/>
    <w:rsid w:val="0046215C"/>
    <w:rsid w:val="0046435F"/>
    <w:rsid w:val="00466208"/>
    <w:rsid w:val="00470118"/>
    <w:rsid w:val="00477193"/>
    <w:rsid w:val="0047781F"/>
    <w:rsid w:val="00477AFC"/>
    <w:rsid w:val="00480184"/>
    <w:rsid w:val="00487CC2"/>
    <w:rsid w:val="00491236"/>
    <w:rsid w:val="004947A5"/>
    <w:rsid w:val="004A1848"/>
    <w:rsid w:val="004A6F4A"/>
    <w:rsid w:val="004B0E57"/>
    <w:rsid w:val="004B1D2E"/>
    <w:rsid w:val="004B1F6E"/>
    <w:rsid w:val="004B4577"/>
    <w:rsid w:val="004B482E"/>
    <w:rsid w:val="004B710B"/>
    <w:rsid w:val="004B7DEC"/>
    <w:rsid w:val="004D2C44"/>
    <w:rsid w:val="004E19AB"/>
    <w:rsid w:val="004E4717"/>
    <w:rsid w:val="004E6D17"/>
    <w:rsid w:val="004F2068"/>
    <w:rsid w:val="004F3091"/>
    <w:rsid w:val="004F6939"/>
    <w:rsid w:val="00502397"/>
    <w:rsid w:val="00503506"/>
    <w:rsid w:val="005035E7"/>
    <w:rsid w:val="00506A75"/>
    <w:rsid w:val="00507FEC"/>
    <w:rsid w:val="00510F0E"/>
    <w:rsid w:val="00511437"/>
    <w:rsid w:val="0052171C"/>
    <w:rsid w:val="005221FE"/>
    <w:rsid w:val="00523E27"/>
    <w:rsid w:val="0053164F"/>
    <w:rsid w:val="0053292B"/>
    <w:rsid w:val="00536E45"/>
    <w:rsid w:val="0053748B"/>
    <w:rsid w:val="00540CDC"/>
    <w:rsid w:val="00541EBF"/>
    <w:rsid w:val="0054264C"/>
    <w:rsid w:val="00544BD3"/>
    <w:rsid w:val="005464B7"/>
    <w:rsid w:val="005479E1"/>
    <w:rsid w:val="00551875"/>
    <w:rsid w:val="00553E0A"/>
    <w:rsid w:val="00556979"/>
    <w:rsid w:val="005570FD"/>
    <w:rsid w:val="005575EA"/>
    <w:rsid w:val="00557C3A"/>
    <w:rsid w:val="005620F8"/>
    <w:rsid w:val="005632CF"/>
    <w:rsid w:val="00564950"/>
    <w:rsid w:val="00567473"/>
    <w:rsid w:val="00570EF1"/>
    <w:rsid w:val="00571B9D"/>
    <w:rsid w:val="0057790C"/>
    <w:rsid w:val="005821C9"/>
    <w:rsid w:val="005833CC"/>
    <w:rsid w:val="00583A24"/>
    <w:rsid w:val="00586E06"/>
    <w:rsid w:val="00593795"/>
    <w:rsid w:val="00593821"/>
    <w:rsid w:val="00596763"/>
    <w:rsid w:val="00596910"/>
    <w:rsid w:val="005973F1"/>
    <w:rsid w:val="005A2630"/>
    <w:rsid w:val="005A2CD0"/>
    <w:rsid w:val="005A549B"/>
    <w:rsid w:val="005A6C64"/>
    <w:rsid w:val="005A75FF"/>
    <w:rsid w:val="005C62FC"/>
    <w:rsid w:val="005D10AB"/>
    <w:rsid w:val="005D2FF3"/>
    <w:rsid w:val="005D3962"/>
    <w:rsid w:val="005D6A3A"/>
    <w:rsid w:val="005E0500"/>
    <w:rsid w:val="005E0D25"/>
    <w:rsid w:val="005E10AB"/>
    <w:rsid w:val="005E162C"/>
    <w:rsid w:val="005E66C3"/>
    <w:rsid w:val="00601186"/>
    <w:rsid w:val="00601D8F"/>
    <w:rsid w:val="00606204"/>
    <w:rsid w:val="006101E4"/>
    <w:rsid w:val="00610923"/>
    <w:rsid w:val="00612049"/>
    <w:rsid w:val="00616E68"/>
    <w:rsid w:val="00617497"/>
    <w:rsid w:val="0062445F"/>
    <w:rsid w:val="006317AE"/>
    <w:rsid w:val="00640E33"/>
    <w:rsid w:val="00644AEE"/>
    <w:rsid w:val="00646638"/>
    <w:rsid w:val="0064674E"/>
    <w:rsid w:val="00653E97"/>
    <w:rsid w:val="00657855"/>
    <w:rsid w:val="00660216"/>
    <w:rsid w:val="00665619"/>
    <w:rsid w:val="006664A5"/>
    <w:rsid w:val="00667698"/>
    <w:rsid w:val="00670A2E"/>
    <w:rsid w:val="00672EBF"/>
    <w:rsid w:val="0068267E"/>
    <w:rsid w:val="006837F1"/>
    <w:rsid w:val="00684584"/>
    <w:rsid w:val="006846EC"/>
    <w:rsid w:val="00684A74"/>
    <w:rsid w:val="00687E25"/>
    <w:rsid w:val="00690B8A"/>
    <w:rsid w:val="00694C6E"/>
    <w:rsid w:val="006A1202"/>
    <w:rsid w:val="006A1EC1"/>
    <w:rsid w:val="006A52AA"/>
    <w:rsid w:val="006A5697"/>
    <w:rsid w:val="006B156F"/>
    <w:rsid w:val="006B4F84"/>
    <w:rsid w:val="006B7FD1"/>
    <w:rsid w:val="006C3BBC"/>
    <w:rsid w:val="006C47F1"/>
    <w:rsid w:val="006D0484"/>
    <w:rsid w:val="006D0FA5"/>
    <w:rsid w:val="006D7FD6"/>
    <w:rsid w:val="006E0143"/>
    <w:rsid w:val="006E0FC0"/>
    <w:rsid w:val="006E3766"/>
    <w:rsid w:val="006E6C96"/>
    <w:rsid w:val="006F2CF1"/>
    <w:rsid w:val="006F4218"/>
    <w:rsid w:val="006F5CD6"/>
    <w:rsid w:val="006F682E"/>
    <w:rsid w:val="007038ED"/>
    <w:rsid w:val="00703BC3"/>
    <w:rsid w:val="00704B61"/>
    <w:rsid w:val="00705447"/>
    <w:rsid w:val="007124EB"/>
    <w:rsid w:val="00723DE4"/>
    <w:rsid w:val="00732F0F"/>
    <w:rsid w:val="007334B3"/>
    <w:rsid w:val="00734483"/>
    <w:rsid w:val="007347D5"/>
    <w:rsid w:val="00734A21"/>
    <w:rsid w:val="00734F57"/>
    <w:rsid w:val="00735D0C"/>
    <w:rsid w:val="00736965"/>
    <w:rsid w:val="007372FE"/>
    <w:rsid w:val="00737B23"/>
    <w:rsid w:val="00740937"/>
    <w:rsid w:val="00750BE2"/>
    <w:rsid w:val="007519F5"/>
    <w:rsid w:val="007552A9"/>
    <w:rsid w:val="007558F3"/>
    <w:rsid w:val="00761858"/>
    <w:rsid w:val="0076328E"/>
    <w:rsid w:val="007673D9"/>
    <w:rsid w:val="00767D59"/>
    <w:rsid w:val="0077091B"/>
    <w:rsid w:val="007735F3"/>
    <w:rsid w:val="00773662"/>
    <w:rsid w:val="00776E97"/>
    <w:rsid w:val="00777DDD"/>
    <w:rsid w:val="00780F86"/>
    <w:rsid w:val="00784460"/>
    <w:rsid w:val="00784766"/>
    <w:rsid w:val="00784D03"/>
    <w:rsid w:val="007900C6"/>
    <w:rsid w:val="00790858"/>
    <w:rsid w:val="007912AD"/>
    <w:rsid w:val="007937AD"/>
    <w:rsid w:val="007A025E"/>
    <w:rsid w:val="007A6D5A"/>
    <w:rsid w:val="007B0824"/>
    <w:rsid w:val="007B5D3C"/>
    <w:rsid w:val="007B605B"/>
    <w:rsid w:val="007C04C5"/>
    <w:rsid w:val="007C3733"/>
    <w:rsid w:val="007C494A"/>
    <w:rsid w:val="007D0627"/>
    <w:rsid w:val="007D2C69"/>
    <w:rsid w:val="007D460F"/>
    <w:rsid w:val="007D4655"/>
    <w:rsid w:val="007D53FE"/>
    <w:rsid w:val="007D6925"/>
    <w:rsid w:val="007E1EFF"/>
    <w:rsid w:val="007E309C"/>
    <w:rsid w:val="007E4FA9"/>
    <w:rsid w:val="007E7C35"/>
    <w:rsid w:val="007F0EA2"/>
    <w:rsid w:val="007F61F9"/>
    <w:rsid w:val="00801570"/>
    <w:rsid w:val="008051FE"/>
    <w:rsid w:val="00805333"/>
    <w:rsid w:val="00810321"/>
    <w:rsid w:val="00810AEB"/>
    <w:rsid w:val="00810E14"/>
    <w:rsid w:val="00813853"/>
    <w:rsid w:val="008213C2"/>
    <w:rsid w:val="0082152A"/>
    <w:rsid w:val="00821B72"/>
    <w:rsid w:val="00823EF2"/>
    <w:rsid w:val="008240A5"/>
    <w:rsid w:val="00825C03"/>
    <w:rsid w:val="00827390"/>
    <w:rsid w:val="008303B8"/>
    <w:rsid w:val="00833DCE"/>
    <w:rsid w:val="00833E76"/>
    <w:rsid w:val="00835884"/>
    <w:rsid w:val="0083718D"/>
    <w:rsid w:val="00840B15"/>
    <w:rsid w:val="00842D0E"/>
    <w:rsid w:val="00844B58"/>
    <w:rsid w:val="00845F2F"/>
    <w:rsid w:val="008468BA"/>
    <w:rsid w:val="0085067D"/>
    <w:rsid w:val="00854576"/>
    <w:rsid w:val="00863494"/>
    <w:rsid w:val="008652B1"/>
    <w:rsid w:val="00870316"/>
    <w:rsid w:val="00871D34"/>
    <w:rsid w:val="00872118"/>
    <w:rsid w:val="0087483B"/>
    <w:rsid w:val="00880AF2"/>
    <w:rsid w:val="0088159D"/>
    <w:rsid w:val="00885311"/>
    <w:rsid w:val="00890558"/>
    <w:rsid w:val="008927FA"/>
    <w:rsid w:val="00894921"/>
    <w:rsid w:val="008A0A37"/>
    <w:rsid w:val="008A270E"/>
    <w:rsid w:val="008A42EB"/>
    <w:rsid w:val="008A6A1D"/>
    <w:rsid w:val="008B1281"/>
    <w:rsid w:val="008B270C"/>
    <w:rsid w:val="008B4CD2"/>
    <w:rsid w:val="008B5078"/>
    <w:rsid w:val="008B5E6B"/>
    <w:rsid w:val="008C0830"/>
    <w:rsid w:val="008C1C30"/>
    <w:rsid w:val="008C3D24"/>
    <w:rsid w:val="008C3D3D"/>
    <w:rsid w:val="008C62AF"/>
    <w:rsid w:val="008D1F45"/>
    <w:rsid w:val="008D3A00"/>
    <w:rsid w:val="008D4131"/>
    <w:rsid w:val="008D4E65"/>
    <w:rsid w:val="008E5D38"/>
    <w:rsid w:val="008F03C7"/>
    <w:rsid w:val="008F1932"/>
    <w:rsid w:val="008F7DA5"/>
    <w:rsid w:val="00902E1B"/>
    <w:rsid w:val="00905071"/>
    <w:rsid w:val="00905DD1"/>
    <w:rsid w:val="00906378"/>
    <w:rsid w:val="00906ACE"/>
    <w:rsid w:val="0090755B"/>
    <w:rsid w:val="0090798B"/>
    <w:rsid w:val="00907F6E"/>
    <w:rsid w:val="00916341"/>
    <w:rsid w:val="00916D0D"/>
    <w:rsid w:val="00921062"/>
    <w:rsid w:val="00922D1D"/>
    <w:rsid w:val="00925AB2"/>
    <w:rsid w:val="0092605B"/>
    <w:rsid w:val="00930688"/>
    <w:rsid w:val="009307C2"/>
    <w:rsid w:val="00932205"/>
    <w:rsid w:val="00933F5D"/>
    <w:rsid w:val="0093611C"/>
    <w:rsid w:val="00943606"/>
    <w:rsid w:val="00944906"/>
    <w:rsid w:val="0094736D"/>
    <w:rsid w:val="0095199A"/>
    <w:rsid w:val="00952A78"/>
    <w:rsid w:val="00952B45"/>
    <w:rsid w:val="00956A77"/>
    <w:rsid w:val="0096178A"/>
    <w:rsid w:val="00963B9A"/>
    <w:rsid w:val="009722BC"/>
    <w:rsid w:val="009727A3"/>
    <w:rsid w:val="00973E82"/>
    <w:rsid w:val="00981BC8"/>
    <w:rsid w:val="00987774"/>
    <w:rsid w:val="00990F01"/>
    <w:rsid w:val="00992CEA"/>
    <w:rsid w:val="00994EA2"/>
    <w:rsid w:val="00997DF6"/>
    <w:rsid w:val="009A0F4B"/>
    <w:rsid w:val="009A11E8"/>
    <w:rsid w:val="009A216E"/>
    <w:rsid w:val="009A4DF6"/>
    <w:rsid w:val="009A5BD4"/>
    <w:rsid w:val="009B04B8"/>
    <w:rsid w:val="009B1298"/>
    <w:rsid w:val="009B61F7"/>
    <w:rsid w:val="009B7562"/>
    <w:rsid w:val="009C4408"/>
    <w:rsid w:val="009C6268"/>
    <w:rsid w:val="009D2784"/>
    <w:rsid w:val="009D3476"/>
    <w:rsid w:val="009D4CC0"/>
    <w:rsid w:val="009E3FC6"/>
    <w:rsid w:val="009E698E"/>
    <w:rsid w:val="009E7FED"/>
    <w:rsid w:val="009F5220"/>
    <w:rsid w:val="009F5C24"/>
    <w:rsid w:val="00A1087F"/>
    <w:rsid w:val="00A10D06"/>
    <w:rsid w:val="00A11E74"/>
    <w:rsid w:val="00A15234"/>
    <w:rsid w:val="00A201AB"/>
    <w:rsid w:val="00A23175"/>
    <w:rsid w:val="00A2598A"/>
    <w:rsid w:val="00A25C07"/>
    <w:rsid w:val="00A26815"/>
    <w:rsid w:val="00A27BB5"/>
    <w:rsid w:val="00A306FD"/>
    <w:rsid w:val="00A31C8B"/>
    <w:rsid w:val="00A3342A"/>
    <w:rsid w:val="00A35F2F"/>
    <w:rsid w:val="00A40AA9"/>
    <w:rsid w:val="00A42D56"/>
    <w:rsid w:val="00A50602"/>
    <w:rsid w:val="00A509FA"/>
    <w:rsid w:val="00A535F2"/>
    <w:rsid w:val="00A547C7"/>
    <w:rsid w:val="00A5522C"/>
    <w:rsid w:val="00A56F6E"/>
    <w:rsid w:val="00A60DBF"/>
    <w:rsid w:val="00A620F3"/>
    <w:rsid w:val="00A65FB6"/>
    <w:rsid w:val="00A70033"/>
    <w:rsid w:val="00A7004B"/>
    <w:rsid w:val="00A71121"/>
    <w:rsid w:val="00A77968"/>
    <w:rsid w:val="00A845DC"/>
    <w:rsid w:val="00A86E3D"/>
    <w:rsid w:val="00A91607"/>
    <w:rsid w:val="00A92D0C"/>
    <w:rsid w:val="00A93A69"/>
    <w:rsid w:val="00A9490A"/>
    <w:rsid w:val="00A973E9"/>
    <w:rsid w:val="00AA6623"/>
    <w:rsid w:val="00AA7CE8"/>
    <w:rsid w:val="00AB0D46"/>
    <w:rsid w:val="00AB1460"/>
    <w:rsid w:val="00AB326B"/>
    <w:rsid w:val="00AB37BD"/>
    <w:rsid w:val="00AB3AA2"/>
    <w:rsid w:val="00AB3AC9"/>
    <w:rsid w:val="00AB4983"/>
    <w:rsid w:val="00AB57CE"/>
    <w:rsid w:val="00AC047C"/>
    <w:rsid w:val="00AC0DFD"/>
    <w:rsid w:val="00AC5900"/>
    <w:rsid w:val="00AC6A11"/>
    <w:rsid w:val="00AC6FEE"/>
    <w:rsid w:val="00AD0015"/>
    <w:rsid w:val="00AD241A"/>
    <w:rsid w:val="00AD2ADB"/>
    <w:rsid w:val="00AD4321"/>
    <w:rsid w:val="00AE074F"/>
    <w:rsid w:val="00AE1C49"/>
    <w:rsid w:val="00AE7C44"/>
    <w:rsid w:val="00AF205D"/>
    <w:rsid w:val="00AF21FC"/>
    <w:rsid w:val="00AF34AE"/>
    <w:rsid w:val="00AF463C"/>
    <w:rsid w:val="00AF65BE"/>
    <w:rsid w:val="00B02D88"/>
    <w:rsid w:val="00B03E85"/>
    <w:rsid w:val="00B10D7D"/>
    <w:rsid w:val="00B20325"/>
    <w:rsid w:val="00B22A28"/>
    <w:rsid w:val="00B26AA2"/>
    <w:rsid w:val="00B32C36"/>
    <w:rsid w:val="00B341EB"/>
    <w:rsid w:val="00B3524D"/>
    <w:rsid w:val="00B35A48"/>
    <w:rsid w:val="00B37799"/>
    <w:rsid w:val="00B40F69"/>
    <w:rsid w:val="00B42A76"/>
    <w:rsid w:val="00B4378C"/>
    <w:rsid w:val="00B46616"/>
    <w:rsid w:val="00B5192E"/>
    <w:rsid w:val="00B55AD6"/>
    <w:rsid w:val="00B56079"/>
    <w:rsid w:val="00B574ED"/>
    <w:rsid w:val="00B632DE"/>
    <w:rsid w:val="00B63BE9"/>
    <w:rsid w:val="00B65084"/>
    <w:rsid w:val="00B65FB5"/>
    <w:rsid w:val="00B7040A"/>
    <w:rsid w:val="00B70A41"/>
    <w:rsid w:val="00B713E0"/>
    <w:rsid w:val="00B76F13"/>
    <w:rsid w:val="00B819D2"/>
    <w:rsid w:val="00B8306A"/>
    <w:rsid w:val="00B83391"/>
    <w:rsid w:val="00B8366F"/>
    <w:rsid w:val="00B866FB"/>
    <w:rsid w:val="00B90224"/>
    <w:rsid w:val="00B93289"/>
    <w:rsid w:val="00B94048"/>
    <w:rsid w:val="00B95326"/>
    <w:rsid w:val="00B95CE3"/>
    <w:rsid w:val="00B961C7"/>
    <w:rsid w:val="00B96CF4"/>
    <w:rsid w:val="00BA18CB"/>
    <w:rsid w:val="00BA21B9"/>
    <w:rsid w:val="00BA580B"/>
    <w:rsid w:val="00BB19BC"/>
    <w:rsid w:val="00BB3A4F"/>
    <w:rsid w:val="00BB4670"/>
    <w:rsid w:val="00BB5BEB"/>
    <w:rsid w:val="00BC0709"/>
    <w:rsid w:val="00BD08D1"/>
    <w:rsid w:val="00BD4196"/>
    <w:rsid w:val="00BD5E1A"/>
    <w:rsid w:val="00BE3C66"/>
    <w:rsid w:val="00BE4FEE"/>
    <w:rsid w:val="00BF1816"/>
    <w:rsid w:val="00BF22CA"/>
    <w:rsid w:val="00BF23BB"/>
    <w:rsid w:val="00BF3876"/>
    <w:rsid w:val="00BF6700"/>
    <w:rsid w:val="00C01112"/>
    <w:rsid w:val="00C0138D"/>
    <w:rsid w:val="00C04F75"/>
    <w:rsid w:val="00C05201"/>
    <w:rsid w:val="00C12495"/>
    <w:rsid w:val="00C12F97"/>
    <w:rsid w:val="00C16E5C"/>
    <w:rsid w:val="00C20F17"/>
    <w:rsid w:val="00C20F94"/>
    <w:rsid w:val="00C219D6"/>
    <w:rsid w:val="00C220D7"/>
    <w:rsid w:val="00C22D70"/>
    <w:rsid w:val="00C239D8"/>
    <w:rsid w:val="00C26032"/>
    <w:rsid w:val="00C2793E"/>
    <w:rsid w:val="00C345E1"/>
    <w:rsid w:val="00C367B3"/>
    <w:rsid w:val="00C4083F"/>
    <w:rsid w:val="00C4094F"/>
    <w:rsid w:val="00C43BFD"/>
    <w:rsid w:val="00C445A3"/>
    <w:rsid w:val="00C50C08"/>
    <w:rsid w:val="00C50C4C"/>
    <w:rsid w:val="00C52F9C"/>
    <w:rsid w:val="00C5486A"/>
    <w:rsid w:val="00C553B9"/>
    <w:rsid w:val="00C56D95"/>
    <w:rsid w:val="00C647A6"/>
    <w:rsid w:val="00C67BF6"/>
    <w:rsid w:val="00C73653"/>
    <w:rsid w:val="00C73663"/>
    <w:rsid w:val="00C74C76"/>
    <w:rsid w:val="00C775AB"/>
    <w:rsid w:val="00C801EE"/>
    <w:rsid w:val="00C80FDA"/>
    <w:rsid w:val="00C82FE3"/>
    <w:rsid w:val="00C87AB0"/>
    <w:rsid w:val="00C918F8"/>
    <w:rsid w:val="00CA00CA"/>
    <w:rsid w:val="00CA1C12"/>
    <w:rsid w:val="00CA1CC0"/>
    <w:rsid w:val="00CB3EF4"/>
    <w:rsid w:val="00CB43B2"/>
    <w:rsid w:val="00CB5800"/>
    <w:rsid w:val="00CB5C3E"/>
    <w:rsid w:val="00CB6E35"/>
    <w:rsid w:val="00CC4902"/>
    <w:rsid w:val="00CC58A1"/>
    <w:rsid w:val="00CC693D"/>
    <w:rsid w:val="00CC7C76"/>
    <w:rsid w:val="00CD2116"/>
    <w:rsid w:val="00CD4467"/>
    <w:rsid w:val="00CD75B5"/>
    <w:rsid w:val="00CD76A9"/>
    <w:rsid w:val="00CE1A46"/>
    <w:rsid w:val="00CF19BC"/>
    <w:rsid w:val="00CF2BCD"/>
    <w:rsid w:val="00CF2D17"/>
    <w:rsid w:val="00CF5F08"/>
    <w:rsid w:val="00CF6508"/>
    <w:rsid w:val="00CF68D9"/>
    <w:rsid w:val="00CF6E05"/>
    <w:rsid w:val="00CF75E7"/>
    <w:rsid w:val="00D03DBB"/>
    <w:rsid w:val="00D0401B"/>
    <w:rsid w:val="00D17935"/>
    <w:rsid w:val="00D17DC4"/>
    <w:rsid w:val="00D20757"/>
    <w:rsid w:val="00D20C3B"/>
    <w:rsid w:val="00D21355"/>
    <w:rsid w:val="00D225EF"/>
    <w:rsid w:val="00D22636"/>
    <w:rsid w:val="00D226AA"/>
    <w:rsid w:val="00D30EF3"/>
    <w:rsid w:val="00D37190"/>
    <w:rsid w:val="00D37657"/>
    <w:rsid w:val="00D3776E"/>
    <w:rsid w:val="00D37C81"/>
    <w:rsid w:val="00D40FD9"/>
    <w:rsid w:val="00D42B44"/>
    <w:rsid w:val="00D42DD2"/>
    <w:rsid w:val="00D43216"/>
    <w:rsid w:val="00D435AE"/>
    <w:rsid w:val="00D436C2"/>
    <w:rsid w:val="00D43D8A"/>
    <w:rsid w:val="00D47537"/>
    <w:rsid w:val="00D50660"/>
    <w:rsid w:val="00D53769"/>
    <w:rsid w:val="00D562C5"/>
    <w:rsid w:val="00D5793C"/>
    <w:rsid w:val="00D57B17"/>
    <w:rsid w:val="00D631C2"/>
    <w:rsid w:val="00D63592"/>
    <w:rsid w:val="00D645AE"/>
    <w:rsid w:val="00D647F1"/>
    <w:rsid w:val="00D73452"/>
    <w:rsid w:val="00D756B8"/>
    <w:rsid w:val="00D75888"/>
    <w:rsid w:val="00D75AC7"/>
    <w:rsid w:val="00D77CC4"/>
    <w:rsid w:val="00D824BA"/>
    <w:rsid w:val="00D83B22"/>
    <w:rsid w:val="00D85C13"/>
    <w:rsid w:val="00D87845"/>
    <w:rsid w:val="00D9111A"/>
    <w:rsid w:val="00D91BE3"/>
    <w:rsid w:val="00D948C5"/>
    <w:rsid w:val="00D94A23"/>
    <w:rsid w:val="00D94AFC"/>
    <w:rsid w:val="00D970A5"/>
    <w:rsid w:val="00DA3A2A"/>
    <w:rsid w:val="00DA742E"/>
    <w:rsid w:val="00DA75F3"/>
    <w:rsid w:val="00DB20FF"/>
    <w:rsid w:val="00DB2F95"/>
    <w:rsid w:val="00DB6898"/>
    <w:rsid w:val="00DB70AE"/>
    <w:rsid w:val="00DC03BB"/>
    <w:rsid w:val="00DC5808"/>
    <w:rsid w:val="00DC71C4"/>
    <w:rsid w:val="00DD1296"/>
    <w:rsid w:val="00DD2CA0"/>
    <w:rsid w:val="00DD5071"/>
    <w:rsid w:val="00DD566C"/>
    <w:rsid w:val="00DD57EB"/>
    <w:rsid w:val="00DD5C39"/>
    <w:rsid w:val="00DD7829"/>
    <w:rsid w:val="00DE21D5"/>
    <w:rsid w:val="00DE6225"/>
    <w:rsid w:val="00DE7DB7"/>
    <w:rsid w:val="00DF1555"/>
    <w:rsid w:val="00DF355A"/>
    <w:rsid w:val="00DF39C9"/>
    <w:rsid w:val="00DF3DA3"/>
    <w:rsid w:val="00DF51C0"/>
    <w:rsid w:val="00DF599C"/>
    <w:rsid w:val="00E00A0A"/>
    <w:rsid w:val="00E012F3"/>
    <w:rsid w:val="00E01823"/>
    <w:rsid w:val="00E01BDE"/>
    <w:rsid w:val="00E0231B"/>
    <w:rsid w:val="00E066DE"/>
    <w:rsid w:val="00E07F57"/>
    <w:rsid w:val="00E17748"/>
    <w:rsid w:val="00E177AA"/>
    <w:rsid w:val="00E20347"/>
    <w:rsid w:val="00E20BFB"/>
    <w:rsid w:val="00E230DB"/>
    <w:rsid w:val="00E24E10"/>
    <w:rsid w:val="00E250B3"/>
    <w:rsid w:val="00E30683"/>
    <w:rsid w:val="00E31041"/>
    <w:rsid w:val="00E33708"/>
    <w:rsid w:val="00E348B9"/>
    <w:rsid w:val="00E408F4"/>
    <w:rsid w:val="00E41672"/>
    <w:rsid w:val="00E453D8"/>
    <w:rsid w:val="00E50BCE"/>
    <w:rsid w:val="00E574BF"/>
    <w:rsid w:val="00E57679"/>
    <w:rsid w:val="00E57DCB"/>
    <w:rsid w:val="00E60B0D"/>
    <w:rsid w:val="00E61292"/>
    <w:rsid w:val="00E66C27"/>
    <w:rsid w:val="00E70731"/>
    <w:rsid w:val="00E765FA"/>
    <w:rsid w:val="00E7682E"/>
    <w:rsid w:val="00E76D6D"/>
    <w:rsid w:val="00E77C4D"/>
    <w:rsid w:val="00E80AD9"/>
    <w:rsid w:val="00E80EA8"/>
    <w:rsid w:val="00E81D01"/>
    <w:rsid w:val="00E82E6C"/>
    <w:rsid w:val="00E83D7B"/>
    <w:rsid w:val="00E91018"/>
    <w:rsid w:val="00E91BC5"/>
    <w:rsid w:val="00E93E7F"/>
    <w:rsid w:val="00E94CCF"/>
    <w:rsid w:val="00E96C1D"/>
    <w:rsid w:val="00EA102E"/>
    <w:rsid w:val="00EA45AA"/>
    <w:rsid w:val="00EA7966"/>
    <w:rsid w:val="00EB0DDB"/>
    <w:rsid w:val="00EB20A5"/>
    <w:rsid w:val="00EB2855"/>
    <w:rsid w:val="00EB61A4"/>
    <w:rsid w:val="00EC058E"/>
    <w:rsid w:val="00EC49AA"/>
    <w:rsid w:val="00ED00C1"/>
    <w:rsid w:val="00ED0704"/>
    <w:rsid w:val="00ED18A5"/>
    <w:rsid w:val="00ED53FF"/>
    <w:rsid w:val="00ED6EF9"/>
    <w:rsid w:val="00EE02DB"/>
    <w:rsid w:val="00EE1DD9"/>
    <w:rsid w:val="00EE3444"/>
    <w:rsid w:val="00EE45D8"/>
    <w:rsid w:val="00EE6371"/>
    <w:rsid w:val="00EF33F8"/>
    <w:rsid w:val="00F103CB"/>
    <w:rsid w:val="00F10896"/>
    <w:rsid w:val="00F14F27"/>
    <w:rsid w:val="00F21131"/>
    <w:rsid w:val="00F22EDA"/>
    <w:rsid w:val="00F25F2F"/>
    <w:rsid w:val="00F266FF"/>
    <w:rsid w:val="00F26D00"/>
    <w:rsid w:val="00F31037"/>
    <w:rsid w:val="00F35A3A"/>
    <w:rsid w:val="00F378D1"/>
    <w:rsid w:val="00F44B2A"/>
    <w:rsid w:val="00F53186"/>
    <w:rsid w:val="00F56508"/>
    <w:rsid w:val="00F61685"/>
    <w:rsid w:val="00F76DB7"/>
    <w:rsid w:val="00F80E6B"/>
    <w:rsid w:val="00F81C95"/>
    <w:rsid w:val="00F91260"/>
    <w:rsid w:val="00F966BD"/>
    <w:rsid w:val="00F97703"/>
    <w:rsid w:val="00FA717D"/>
    <w:rsid w:val="00FB05EB"/>
    <w:rsid w:val="00FB227F"/>
    <w:rsid w:val="00FB2BEA"/>
    <w:rsid w:val="00FB30A5"/>
    <w:rsid w:val="00FB4231"/>
    <w:rsid w:val="00FB5D1C"/>
    <w:rsid w:val="00FB712C"/>
    <w:rsid w:val="00FB79C5"/>
    <w:rsid w:val="00FC097A"/>
    <w:rsid w:val="00FD2966"/>
    <w:rsid w:val="00FD48B4"/>
    <w:rsid w:val="00FE03F4"/>
    <w:rsid w:val="00FF2BF9"/>
    <w:rsid w:val="00FF4BDA"/>
    <w:rsid w:val="00FF5C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2B5B4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qFormat/>
    <w:rsid w:val="00DF599C"/>
    <w:pPr>
      <w:spacing w:after="120" w:line="288" w:lineRule="atLeast"/>
      <w:outlineLvl w:val="0"/>
    </w:pPr>
    <w:rPr>
      <w:b/>
      <w:bCs/>
      <w:color w:val="000000"/>
      <w:kern w:val="36"/>
      <w:sz w:val="50"/>
      <w:szCs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0652CE"/>
    <w:pPr>
      <w:shd w:val="clear" w:color="auto" w:fill="000080"/>
    </w:pPr>
    <w:rPr>
      <w:rFonts w:ascii="Tahoma" w:hAnsi="Tahoma" w:cs="Tahoma"/>
      <w:sz w:val="20"/>
      <w:szCs w:val="20"/>
    </w:rPr>
  </w:style>
  <w:style w:type="character" w:customStyle="1" w:styleId="legdslegrhslegp3text">
    <w:name w:val="legds legrhs legp3text"/>
    <w:basedOn w:val="DefaultParagraphFont"/>
    <w:rsid w:val="00E80EA8"/>
  </w:style>
  <w:style w:type="paragraph" w:customStyle="1" w:styleId="Default">
    <w:name w:val="Default"/>
    <w:rsid w:val="00F80E6B"/>
    <w:pPr>
      <w:autoSpaceDE w:val="0"/>
      <w:autoSpaceDN w:val="0"/>
      <w:adjustRightInd w:val="0"/>
    </w:pPr>
    <w:rPr>
      <w:rFonts w:ascii="Arial" w:hAnsi="Arial" w:cs="Arial"/>
      <w:color w:val="000000"/>
      <w:sz w:val="24"/>
      <w:szCs w:val="24"/>
    </w:rPr>
  </w:style>
  <w:style w:type="paragraph" w:customStyle="1" w:styleId="Level1">
    <w:name w:val="Level 1"/>
    <w:basedOn w:val="Normal"/>
    <w:rsid w:val="00F81C95"/>
    <w:pPr>
      <w:widowControl w:val="0"/>
    </w:pPr>
    <w:rPr>
      <w:szCs w:val="20"/>
    </w:rPr>
  </w:style>
  <w:style w:type="paragraph" w:styleId="NormalWeb">
    <w:name w:val="Normal (Web)"/>
    <w:basedOn w:val="Normal"/>
    <w:uiPriority w:val="99"/>
    <w:rsid w:val="00CB5C3E"/>
    <w:pPr>
      <w:spacing w:before="100" w:beforeAutospacing="1" w:after="100" w:afterAutospacing="1"/>
    </w:pPr>
  </w:style>
  <w:style w:type="character" w:styleId="HTMLCite">
    <w:name w:val="HTML Cite"/>
    <w:rsid w:val="00CB5C3E"/>
    <w:rPr>
      <w:i/>
      <w:iCs/>
    </w:rPr>
  </w:style>
  <w:style w:type="paragraph" w:styleId="ListParagraph">
    <w:name w:val="List Paragraph"/>
    <w:basedOn w:val="Normal"/>
    <w:uiPriority w:val="34"/>
    <w:qFormat/>
    <w:rsid w:val="0043029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01208">
      <w:bodyDiv w:val="1"/>
      <w:marLeft w:val="0"/>
      <w:marRight w:val="0"/>
      <w:marTop w:val="0"/>
      <w:marBottom w:val="0"/>
      <w:divBdr>
        <w:top w:val="none" w:sz="0" w:space="0" w:color="auto"/>
        <w:left w:val="none" w:sz="0" w:space="0" w:color="auto"/>
        <w:bottom w:val="none" w:sz="0" w:space="0" w:color="auto"/>
        <w:right w:val="none" w:sz="0" w:space="0" w:color="auto"/>
      </w:divBdr>
      <w:divsChild>
        <w:div w:id="1121146941">
          <w:marLeft w:val="0"/>
          <w:marRight w:val="0"/>
          <w:marTop w:val="0"/>
          <w:marBottom w:val="0"/>
          <w:divBdr>
            <w:top w:val="none" w:sz="0" w:space="0" w:color="auto"/>
            <w:left w:val="none" w:sz="0" w:space="0" w:color="auto"/>
            <w:bottom w:val="none" w:sz="0" w:space="0" w:color="auto"/>
            <w:right w:val="none" w:sz="0" w:space="0" w:color="auto"/>
          </w:divBdr>
          <w:divsChild>
            <w:div w:id="961497912">
              <w:marLeft w:val="0"/>
              <w:marRight w:val="0"/>
              <w:marTop w:val="0"/>
              <w:marBottom w:val="0"/>
              <w:divBdr>
                <w:top w:val="single" w:sz="2" w:space="0" w:color="FFFFFF"/>
                <w:left w:val="single" w:sz="6" w:space="0" w:color="FFFFFF"/>
                <w:bottom w:val="single" w:sz="6" w:space="0" w:color="FFFFFF"/>
                <w:right w:val="single" w:sz="6" w:space="0" w:color="FFFFFF"/>
              </w:divBdr>
            </w:div>
          </w:divsChild>
        </w:div>
      </w:divsChild>
    </w:div>
    <w:div w:id="1237744694">
      <w:bodyDiv w:val="1"/>
      <w:marLeft w:val="0"/>
      <w:marRight w:val="0"/>
      <w:marTop w:val="0"/>
      <w:marBottom w:val="0"/>
      <w:divBdr>
        <w:top w:val="none" w:sz="0" w:space="0" w:color="auto"/>
        <w:left w:val="none" w:sz="0" w:space="0" w:color="auto"/>
        <w:bottom w:val="none" w:sz="0" w:space="0" w:color="auto"/>
        <w:right w:val="none" w:sz="0" w:space="0" w:color="auto"/>
      </w:divBdr>
    </w:div>
    <w:div w:id="1423333962">
      <w:bodyDiv w:val="1"/>
      <w:marLeft w:val="0"/>
      <w:marRight w:val="0"/>
      <w:marTop w:val="0"/>
      <w:marBottom w:val="0"/>
      <w:divBdr>
        <w:top w:val="none" w:sz="0" w:space="0" w:color="auto"/>
        <w:left w:val="none" w:sz="0" w:space="0" w:color="auto"/>
        <w:bottom w:val="none" w:sz="0" w:space="0" w:color="auto"/>
        <w:right w:val="none" w:sz="0" w:space="0" w:color="auto"/>
      </w:divBdr>
      <w:divsChild>
        <w:div w:id="900409959">
          <w:marLeft w:val="0"/>
          <w:marRight w:val="0"/>
          <w:marTop w:val="0"/>
          <w:marBottom w:val="0"/>
          <w:divBdr>
            <w:top w:val="none" w:sz="0" w:space="0" w:color="auto"/>
            <w:left w:val="none" w:sz="0" w:space="0" w:color="auto"/>
            <w:bottom w:val="none" w:sz="0" w:space="0" w:color="auto"/>
            <w:right w:val="none" w:sz="0" w:space="0" w:color="auto"/>
          </w:divBdr>
          <w:divsChild>
            <w:div w:id="1308128079">
              <w:marLeft w:val="0"/>
              <w:marRight w:val="0"/>
              <w:marTop w:val="0"/>
              <w:marBottom w:val="0"/>
              <w:divBdr>
                <w:top w:val="single" w:sz="2" w:space="0" w:color="FFFFFF"/>
                <w:left w:val="single" w:sz="6" w:space="0" w:color="FFFFFF"/>
                <w:bottom w:val="single" w:sz="6" w:space="0" w:color="FFFFFF"/>
                <w:right w:val="single" w:sz="6" w:space="0" w:color="FFFFFF"/>
              </w:divBdr>
            </w:div>
          </w:divsChild>
        </w:div>
      </w:divsChild>
    </w:div>
    <w:div w:id="1455711226">
      <w:bodyDiv w:val="1"/>
      <w:marLeft w:val="0"/>
      <w:marRight w:val="0"/>
      <w:marTop w:val="0"/>
      <w:marBottom w:val="0"/>
      <w:divBdr>
        <w:top w:val="none" w:sz="0" w:space="0" w:color="auto"/>
        <w:left w:val="none" w:sz="0" w:space="0" w:color="auto"/>
        <w:bottom w:val="none" w:sz="0" w:space="0" w:color="auto"/>
        <w:right w:val="none" w:sz="0" w:space="0" w:color="auto"/>
      </w:divBdr>
    </w:div>
    <w:div w:id="1566379411">
      <w:bodyDiv w:val="1"/>
      <w:marLeft w:val="0"/>
      <w:marRight w:val="0"/>
      <w:marTop w:val="0"/>
      <w:marBottom w:val="0"/>
      <w:divBdr>
        <w:top w:val="none" w:sz="0" w:space="0" w:color="auto"/>
        <w:left w:val="none" w:sz="0" w:space="0" w:color="auto"/>
        <w:bottom w:val="none" w:sz="0" w:space="0" w:color="auto"/>
        <w:right w:val="none" w:sz="0" w:space="0" w:color="auto"/>
      </w:divBdr>
    </w:div>
    <w:div w:id="1824278442">
      <w:bodyDiv w:val="1"/>
      <w:marLeft w:val="0"/>
      <w:marRight w:val="0"/>
      <w:marTop w:val="0"/>
      <w:marBottom w:val="0"/>
      <w:divBdr>
        <w:top w:val="none" w:sz="0" w:space="0" w:color="auto"/>
        <w:left w:val="none" w:sz="0" w:space="0" w:color="auto"/>
        <w:bottom w:val="none" w:sz="0" w:space="0" w:color="auto"/>
        <w:right w:val="none" w:sz="0" w:space="0" w:color="auto"/>
      </w:divBdr>
      <w:divsChild>
        <w:div w:id="283999157">
          <w:marLeft w:val="0"/>
          <w:marRight w:val="0"/>
          <w:marTop w:val="0"/>
          <w:marBottom w:val="0"/>
          <w:divBdr>
            <w:top w:val="none" w:sz="0" w:space="0" w:color="auto"/>
            <w:left w:val="none" w:sz="0" w:space="0" w:color="auto"/>
            <w:bottom w:val="none" w:sz="0" w:space="0" w:color="auto"/>
            <w:right w:val="none" w:sz="0" w:space="0" w:color="auto"/>
          </w:divBdr>
          <w:divsChild>
            <w:div w:id="1174997403">
              <w:marLeft w:val="0"/>
              <w:marRight w:val="0"/>
              <w:marTop w:val="0"/>
              <w:marBottom w:val="0"/>
              <w:divBdr>
                <w:top w:val="single" w:sz="2" w:space="0" w:color="FFFFFF"/>
                <w:left w:val="single" w:sz="6" w:space="0" w:color="FFFFFF"/>
                <w:bottom w:val="single" w:sz="6" w:space="0" w:color="FFFFFF"/>
                <w:right w:val="single" w:sz="6" w:space="0" w:color="FFFFFF"/>
              </w:divBdr>
            </w:div>
          </w:divsChild>
        </w:div>
      </w:divsChild>
    </w:div>
    <w:div w:id="1920212052">
      <w:bodyDiv w:val="1"/>
      <w:marLeft w:val="0"/>
      <w:marRight w:val="0"/>
      <w:marTop w:val="0"/>
      <w:marBottom w:val="0"/>
      <w:divBdr>
        <w:top w:val="none" w:sz="0" w:space="0" w:color="auto"/>
        <w:left w:val="none" w:sz="0" w:space="0" w:color="auto"/>
        <w:bottom w:val="none" w:sz="0" w:space="0" w:color="auto"/>
        <w:right w:val="none" w:sz="0" w:space="0" w:color="auto"/>
      </w:divBdr>
    </w:div>
    <w:div w:id="1935048361">
      <w:bodyDiv w:val="1"/>
      <w:marLeft w:val="0"/>
      <w:marRight w:val="0"/>
      <w:marTop w:val="0"/>
      <w:marBottom w:val="0"/>
      <w:divBdr>
        <w:top w:val="none" w:sz="0" w:space="0" w:color="auto"/>
        <w:left w:val="none" w:sz="0" w:space="0" w:color="auto"/>
        <w:bottom w:val="none" w:sz="0" w:space="0" w:color="auto"/>
        <w:right w:val="none" w:sz="0" w:space="0" w:color="auto"/>
      </w:divBdr>
    </w:div>
    <w:div w:id="1960647736">
      <w:bodyDiv w:val="1"/>
      <w:marLeft w:val="0"/>
      <w:marRight w:val="0"/>
      <w:marTop w:val="0"/>
      <w:marBottom w:val="0"/>
      <w:divBdr>
        <w:top w:val="none" w:sz="0" w:space="0" w:color="auto"/>
        <w:left w:val="none" w:sz="0" w:space="0" w:color="auto"/>
        <w:bottom w:val="none" w:sz="0" w:space="0" w:color="auto"/>
        <w:right w:val="none" w:sz="0" w:space="0" w:color="auto"/>
      </w:divBdr>
      <w:divsChild>
        <w:div w:id="526142479">
          <w:marLeft w:val="0"/>
          <w:marRight w:val="0"/>
          <w:marTop w:val="0"/>
          <w:marBottom w:val="0"/>
          <w:divBdr>
            <w:top w:val="none" w:sz="0" w:space="0" w:color="auto"/>
            <w:left w:val="none" w:sz="0" w:space="0" w:color="auto"/>
            <w:bottom w:val="none" w:sz="0" w:space="0" w:color="auto"/>
            <w:right w:val="none" w:sz="0" w:space="0" w:color="auto"/>
          </w:divBdr>
          <w:divsChild>
            <w:div w:id="1146631606">
              <w:marLeft w:val="0"/>
              <w:marRight w:val="0"/>
              <w:marTop w:val="0"/>
              <w:marBottom w:val="0"/>
              <w:divBdr>
                <w:top w:val="none" w:sz="0" w:space="0" w:color="auto"/>
                <w:left w:val="none" w:sz="0" w:space="0" w:color="auto"/>
                <w:bottom w:val="none" w:sz="0" w:space="0" w:color="auto"/>
                <w:right w:val="none" w:sz="0" w:space="0" w:color="auto"/>
              </w:divBdr>
              <w:divsChild>
                <w:div w:id="1428888436">
                  <w:marLeft w:val="0"/>
                  <w:marRight w:val="0"/>
                  <w:marTop w:val="0"/>
                  <w:marBottom w:val="0"/>
                  <w:divBdr>
                    <w:top w:val="none" w:sz="0" w:space="0" w:color="auto"/>
                    <w:left w:val="none" w:sz="0" w:space="0" w:color="auto"/>
                    <w:bottom w:val="none" w:sz="0" w:space="0" w:color="auto"/>
                    <w:right w:val="none" w:sz="0" w:space="0" w:color="auto"/>
                  </w:divBdr>
                  <w:divsChild>
                    <w:div w:id="244073966">
                      <w:marLeft w:val="0"/>
                      <w:marRight w:val="0"/>
                      <w:marTop w:val="0"/>
                      <w:marBottom w:val="0"/>
                      <w:divBdr>
                        <w:top w:val="none" w:sz="0" w:space="0" w:color="auto"/>
                        <w:left w:val="none" w:sz="0" w:space="0" w:color="auto"/>
                        <w:bottom w:val="none" w:sz="0" w:space="0" w:color="auto"/>
                        <w:right w:val="none" w:sz="0" w:space="0" w:color="auto"/>
                      </w:divBdr>
                      <w:divsChild>
                        <w:div w:id="496501687">
                          <w:marLeft w:val="0"/>
                          <w:marRight w:val="0"/>
                          <w:marTop w:val="0"/>
                          <w:marBottom w:val="0"/>
                          <w:divBdr>
                            <w:top w:val="none" w:sz="0" w:space="0" w:color="auto"/>
                            <w:left w:val="none" w:sz="0" w:space="0" w:color="auto"/>
                            <w:bottom w:val="none" w:sz="0" w:space="0" w:color="auto"/>
                            <w:right w:val="none" w:sz="0" w:space="0" w:color="auto"/>
                          </w:divBdr>
                          <w:divsChild>
                            <w:div w:id="233590550">
                              <w:marLeft w:val="0"/>
                              <w:marRight w:val="0"/>
                              <w:marTop w:val="0"/>
                              <w:marBottom w:val="0"/>
                              <w:divBdr>
                                <w:top w:val="none" w:sz="0" w:space="0" w:color="auto"/>
                                <w:left w:val="none" w:sz="0" w:space="0" w:color="auto"/>
                                <w:bottom w:val="none" w:sz="0" w:space="0" w:color="auto"/>
                                <w:right w:val="none" w:sz="0" w:space="0" w:color="auto"/>
                              </w:divBdr>
                              <w:divsChild>
                                <w:div w:id="864945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3760</Words>
  <Characters>21434</Characters>
  <Application>Microsoft Office Word</Application>
  <DocSecurity>0</DocSecurity>
  <Lines>178</Lines>
  <Paragraphs>50</Paragraphs>
  <ScaleCrop>false</ScaleCrop>
  <Company/>
  <LinksUpToDate>false</LinksUpToDate>
  <CharactersWithSpaces>25144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2018-06-20T13:16:00Z</dcterms:created>
  <dcterms:modified xsi:type="dcterms:W3CDTF">2018-06-20T13:16:00Z</dcterms:modified>
</cp:coreProperties>
</file>