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805322" w:rsidP="008A6059">
      <w:pPr>
        <w:jc w:val="center"/>
        <w:rPr>
          <w:rFonts w:ascii="Book Antiqua" w:hAnsi="Book Antiqua" w:cs="Arial"/>
          <w:caps/>
          <w:color w:val="000000"/>
          <w:sz w:val="16"/>
          <w:szCs w:val="16"/>
        </w:rPr>
      </w:pPr>
      <w:r>
        <w:rPr>
          <w:noProof/>
        </w:rPr>
        <w:drawing>
          <wp:inline distT="0" distB="0" distL="0" distR="0">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rsidR="00D94AFC" w:rsidRPr="009B7433" w:rsidRDefault="00D94AFC">
      <w:pPr>
        <w:rPr>
          <w:rFonts w:ascii="Book Antiqua" w:hAnsi="Book Antiqua" w:cs="Arial"/>
          <w:color w:val="000000"/>
          <w:sz w:val="16"/>
          <w:szCs w:val="16"/>
        </w:rPr>
      </w:pP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9E307A">
        <w:rPr>
          <w:rFonts w:ascii="Book Antiqua" w:hAnsi="Book Antiqua" w:cs="Arial"/>
          <w:caps/>
          <w:color w:val="000000"/>
        </w:rPr>
        <w:t>HU/14234/2016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9E307A">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9E307A">
              <w:rPr>
                <w:rFonts w:ascii="Book Antiqua" w:hAnsi="Book Antiqua" w:cs="Arial"/>
                <w:b/>
              </w:rPr>
              <w:t>29 August 2018</w:t>
            </w:r>
          </w:p>
        </w:tc>
        <w:tc>
          <w:tcPr>
            <w:tcW w:w="3960" w:type="dxa"/>
          </w:tcPr>
          <w:p w:rsidR="00D22636" w:rsidRPr="009B7433" w:rsidRDefault="00C037BF" w:rsidP="004A1848">
            <w:pPr>
              <w:jc w:val="both"/>
              <w:rPr>
                <w:rFonts w:ascii="Book Antiqua" w:hAnsi="Book Antiqua" w:cs="Arial"/>
                <w:b/>
              </w:rPr>
            </w:pPr>
            <w:r>
              <w:rPr>
                <w:rFonts w:ascii="Book Antiqua" w:hAnsi="Book Antiqua" w:cs="Arial"/>
                <w:b/>
              </w:rPr>
              <w:t>On 13 September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9E307A" w:rsidP="00A15234">
      <w:pPr>
        <w:jc w:val="center"/>
        <w:rPr>
          <w:rFonts w:ascii="Book Antiqua" w:hAnsi="Book Antiqua" w:cs="Arial"/>
          <w:b/>
          <w:caps/>
        </w:rPr>
      </w:pPr>
      <w:r>
        <w:rPr>
          <w:rFonts w:ascii="Book Antiqua" w:hAnsi="Book Antiqua" w:cs="Arial"/>
          <w:b/>
          <w:caps/>
        </w:rPr>
        <w:t>Mr SHOJOL AHMED</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1E5726">
        <w:rPr>
          <w:rFonts w:ascii="Book Antiqua" w:hAnsi="Book Antiqua" w:cs="Arial"/>
          <w:b/>
          <w:caps/>
        </w:rPr>
        <w:t>NOT MADE</w:t>
      </w:r>
      <w:r w:rsidRPr="00D949B7">
        <w:rPr>
          <w:rFonts w:ascii="Book Antiqua" w:hAnsi="Book Antiqua" w:cs="Arial"/>
          <w:b/>
          <w:caps/>
        </w:rPr>
        <w:t>)</w:t>
      </w:r>
    </w:p>
    <w:p w:rsidR="00704B61" w:rsidRPr="009B7433" w:rsidRDefault="00704B61" w:rsidP="00A15234">
      <w:pPr>
        <w:jc w:val="center"/>
        <w:rPr>
          <w:rFonts w:ascii="Book Antiqua" w:hAnsi="Book Antiqua" w:cs="Arial"/>
          <w:b/>
        </w:rPr>
      </w:pP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349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E5295A" w:rsidRPr="009B7433" w:rsidRDefault="00E5295A"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9E307A">
        <w:rPr>
          <w:rFonts w:ascii="Book Antiqua" w:hAnsi="Book Antiqua" w:cs="Arial"/>
        </w:rPr>
        <w:t xml:space="preserve">Mr M K Mustafa </w:t>
      </w:r>
      <w:r w:rsidR="00FA5E9A">
        <w:rPr>
          <w:rFonts w:ascii="Book Antiqua" w:hAnsi="Book Antiqua" w:cs="Arial"/>
        </w:rPr>
        <w:t>of</w:t>
      </w:r>
      <w:r w:rsidR="009E307A">
        <w:rPr>
          <w:rFonts w:ascii="Book Antiqua" w:hAnsi="Book Antiqua" w:cs="Arial"/>
        </w:rPr>
        <w:t xml:space="preserve"> </w:t>
      </w:r>
      <w:proofErr w:type="spellStart"/>
      <w:r w:rsidR="009E307A">
        <w:rPr>
          <w:rFonts w:ascii="Book Antiqua" w:hAnsi="Book Antiqua" w:cs="Arial"/>
        </w:rPr>
        <w:t>Kalam</w:t>
      </w:r>
      <w:proofErr w:type="spellEnd"/>
      <w:r w:rsidR="009E307A">
        <w:rPr>
          <w:rFonts w:ascii="Book Antiqua" w:hAnsi="Book Antiqua" w:cs="Arial"/>
        </w:rPr>
        <w:t xml:space="preserve"> Solicitors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9E307A">
        <w:rPr>
          <w:rFonts w:ascii="Book Antiqua" w:hAnsi="Book Antiqua" w:cs="Arial"/>
        </w:rPr>
        <w:t xml:space="preserve">Mr N Bramble,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4E0963" w:rsidRDefault="009E307A" w:rsidP="00273201">
      <w:pPr>
        <w:numPr>
          <w:ilvl w:val="0"/>
          <w:numId w:val="1"/>
        </w:numPr>
        <w:tabs>
          <w:tab w:val="clear" w:pos="567"/>
        </w:tabs>
        <w:spacing w:before="240"/>
        <w:rPr>
          <w:rFonts w:ascii="Book Antiqua" w:hAnsi="Book Antiqua" w:cs="Arial"/>
        </w:rPr>
      </w:pPr>
      <w:r>
        <w:rPr>
          <w:rFonts w:ascii="Book Antiqua" w:hAnsi="Book Antiqua" w:cs="Arial"/>
        </w:rPr>
        <w:t xml:space="preserve">The appellant is a citizen of Bangladesh born on 30 December 1977.  He is appealing against the decision of Judge of the First-tier Tribunal Beg promulgated on 15 </w:t>
      </w:r>
      <w:r>
        <w:rPr>
          <w:rFonts w:ascii="Book Antiqua" w:hAnsi="Book Antiqua" w:cs="Arial"/>
        </w:rPr>
        <w:lastRenderedPageBreak/>
        <w:t xml:space="preserve">November 2017 whereby his appeal against the decision of the respondent dated 23 May 2016 to refuse his application for leave to remain based upon his family and private life was dismissed.  </w:t>
      </w:r>
    </w:p>
    <w:p w:rsidR="009D348A" w:rsidRDefault="009E307A" w:rsidP="00273201">
      <w:pPr>
        <w:numPr>
          <w:ilvl w:val="0"/>
          <w:numId w:val="1"/>
        </w:numPr>
        <w:tabs>
          <w:tab w:val="clear" w:pos="567"/>
        </w:tabs>
        <w:spacing w:before="240"/>
        <w:rPr>
          <w:rFonts w:ascii="Book Antiqua" w:hAnsi="Book Antiqua" w:cs="Arial"/>
        </w:rPr>
      </w:pPr>
      <w:r>
        <w:rPr>
          <w:rFonts w:ascii="Book Antiqua" w:hAnsi="Book Antiqua" w:cs="Arial"/>
        </w:rPr>
        <w:t>The Secretary of State refused the appellant’s application on the basis that Educational Testi</w:t>
      </w:r>
      <w:r w:rsidR="00547127">
        <w:rPr>
          <w:rFonts w:ascii="Book Antiqua" w:hAnsi="Book Antiqua" w:cs="Arial"/>
        </w:rPr>
        <w:t>ng Services (ETS) had informed hi</w:t>
      </w:r>
      <w:r>
        <w:rPr>
          <w:rFonts w:ascii="Book Antiqua" w:hAnsi="Book Antiqua" w:cs="Arial"/>
        </w:rPr>
        <w:t xml:space="preserve">m </w:t>
      </w:r>
      <w:r w:rsidR="00547127">
        <w:rPr>
          <w:rFonts w:ascii="Book Antiqua" w:hAnsi="Book Antiqua" w:cs="Arial"/>
        </w:rPr>
        <w:t xml:space="preserve">that </w:t>
      </w:r>
      <w:r>
        <w:rPr>
          <w:rFonts w:ascii="Book Antiqua" w:hAnsi="Book Antiqua" w:cs="Arial"/>
        </w:rPr>
        <w:t xml:space="preserve">the appellant had used deception in respect of an English language test by use of a proxy test taker.  </w:t>
      </w:r>
      <w:r w:rsidR="00EC5FC8">
        <w:rPr>
          <w:rFonts w:ascii="Book Antiqua" w:hAnsi="Book Antiqua" w:cs="Arial"/>
        </w:rPr>
        <w:t xml:space="preserve">As a consequence of the finding that the appellant had engaged in fraud, it was found that he did not meet the suitability requirements under Appendix FM of the Immigration Rules and that his removal would not be a disproportionate interference with his right to respect for private and family life under Article 8 ECHR.  </w:t>
      </w:r>
    </w:p>
    <w:p w:rsidR="00FA5E9A" w:rsidRDefault="00EC5FC8" w:rsidP="00273201">
      <w:pPr>
        <w:numPr>
          <w:ilvl w:val="0"/>
          <w:numId w:val="1"/>
        </w:numPr>
        <w:tabs>
          <w:tab w:val="clear" w:pos="567"/>
        </w:tabs>
        <w:spacing w:before="240"/>
        <w:rPr>
          <w:rFonts w:ascii="Book Antiqua" w:hAnsi="Book Antiqua" w:cs="Arial"/>
        </w:rPr>
      </w:pPr>
      <w:r>
        <w:rPr>
          <w:rFonts w:ascii="Book Antiqua" w:hAnsi="Book Antiqua" w:cs="Arial"/>
        </w:rPr>
        <w:t>The appellant appealed and his appeal came before Judge o</w:t>
      </w:r>
      <w:r w:rsidR="00547127">
        <w:rPr>
          <w:rFonts w:ascii="Book Antiqua" w:hAnsi="Book Antiqua" w:cs="Arial"/>
        </w:rPr>
        <w:t xml:space="preserve">f the First-tier Tribunal Beg, who </w:t>
      </w:r>
      <w:r>
        <w:rPr>
          <w:rFonts w:ascii="Book Antiqua" w:hAnsi="Book Antiqua" w:cs="Arial"/>
        </w:rPr>
        <w:t xml:space="preserve">dismissed the </w:t>
      </w:r>
      <w:r w:rsidR="00547127">
        <w:rPr>
          <w:rFonts w:ascii="Book Antiqua" w:hAnsi="Book Antiqua" w:cs="Arial"/>
        </w:rPr>
        <w:t>appeal.  T</w:t>
      </w:r>
      <w:r>
        <w:rPr>
          <w:rFonts w:ascii="Book Antiqua" w:hAnsi="Book Antiqua" w:cs="Arial"/>
        </w:rPr>
        <w:t xml:space="preserve">he </w:t>
      </w:r>
      <w:r w:rsidR="00547127">
        <w:rPr>
          <w:rFonts w:ascii="Book Antiqua" w:hAnsi="Book Antiqua" w:cs="Arial"/>
        </w:rPr>
        <w:t xml:space="preserve">judge </w:t>
      </w:r>
      <w:r>
        <w:rPr>
          <w:rFonts w:ascii="Book Antiqua" w:hAnsi="Book Antiqua" w:cs="Arial"/>
        </w:rPr>
        <w:t>found that the appellant had engaged in fraud.  She then proceeded to consider in light of the finding in respect of fraud whether removal of the appellant would be contrary to Article 8 ECHR and concluded that it would not as the interference with his and his family’s Article 8 rights would be proportionate.  The judge reached this conclusion notwithstanding that the appellant is married to a British</w:t>
      </w:r>
      <w:r w:rsidR="00FA5E9A">
        <w:rPr>
          <w:rFonts w:ascii="Book Antiqua" w:hAnsi="Book Antiqua" w:cs="Arial"/>
        </w:rPr>
        <w:t xml:space="preserve"> citizen and has a British child, born on 10 </w:t>
      </w:r>
      <w:r>
        <w:rPr>
          <w:rFonts w:ascii="Book Antiqua" w:hAnsi="Book Antiqua" w:cs="Arial"/>
        </w:rPr>
        <w:t xml:space="preserve">November 2015.  </w:t>
      </w:r>
    </w:p>
    <w:p w:rsidR="00EC5FC8" w:rsidRPr="00FA5E9A" w:rsidRDefault="00EC5FC8" w:rsidP="00FA5E9A">
      <w:pPr>
        <w:numPr>
          <w:ilvl w:val="0"/>
          <w:numId w:val="1"/>
        </w:numPr>
        <w:tabs>
          <w:tab w:val="clear" w:pos="567"/>
        </w:tabs>
        <w:spacing w:before="240"/>
        <w:rPr>
          <w:rFonts w:ascii="Book Antiqua" w:hAnsi="Book Antiqua" w:cs="Arial"/>
        </w:rPr>
      </w:pPr>
      <w:r w:rsidRPr="00FA5E9A">
        <w:rPr>
          <w:rFonts w:ascii="Book Antiqua" w:hAnsi="Book Antiqua" w:cs="Arial"/>
        </w:rPr>
        <w:t xml:space="preserve">The judge found at paragraph 32 </w:t>
      </w:r>
      <w:r w:rsidR="00547127">
        <w:rPr>
          <w:rFonts w:ascii="Book Antiqua" w:hAnsi="Book Antiqua" w:cs="Arial"/>
        </w:rPr>
        <w:t xml:space="preserve">of the decision </w:t>
      </w:r>
      <w:r w:rsidRPr="00FA5E9A">
        <w:rPr>
          <w:rFonts w:ascii="Book Antiqua" w:hAnsi="Book Antiqua" w:cs="Arial"/>
        </w:rPr>
        <w:t xml:space="preserve">that the appellant’s child is young enough to adapt to life in Bangladesh with his parents and that if the appellant’s wife decided to remain in the UK she could do so with the child.  The judge stated: </w:t>
      </w:r>
    </w:p>
    <w:p w:rsidR="00EC5FC8" w:rsidRPr="00EC5FC8" w:rsidRDefault="00EC5FC8" w:rsidP="00EC5FC8">
      <w:pPr>
        <w:spacing w:before="240"/>
        <w:ind w:left="1134"/>
        <w:rPr>
          <w:rFonts w:ascii="Book Antiqua" w:hAnsi="Book Antiqua" w:cs="Arial"/>
          <w:sz w:val="22"/>
          <w:szCs w:val="22"/>
        </w:rPr>
      </w:pPr>
      <w:r w:rsidRPr="00EC5FC8">
        <w:rPr>
          <w:rFonts w:ascii="Book Antiqua" w:hAnsi="Book Antiqua" w:cs="Arial"/>
          <w:sz w:val="22"/>
          <w:szCs w:val="22"/>
        </w:rPr>
        <w:t>“I find that if the appellant’s wife decides to remain in this country with her child he will continue to be cared for by his mother who is his primary carer.  He will be able to visit his father in Bangladesh with his mother and retain contact by telephone”.</w:t>
      </w:r>
    </w:p>
    <w:p w:rsidR="00EC5FC8" w:rsidRDefault="00EC5FC8" w:rsidP="00273201">
      <w:pPr>
        <w:numPr>
          <w:ilvl w:val="0"/>
          <w:numId w:val="1"/>
        </w:numPr>
        <w:tabs>
          <w:tab w:val="clear" w:pos="567"/>
        </w:tabs>
        <w:spacing w:before="240"/>
        <w:rPr>
          <w:rFonts w:ascii="Book Antiqua" w:hAnsi="Book Antiqua" w:cs="Arial"/>
        </w:rPr>
      </w:pPr>
      <w:r>
        <w:rPr>
          <w:rFonts w:ascii="Book Antiqua" w:hAnsi="Book Antiqua" w:cs="Arial"/>
        </w:rPr>
        <w:t>At paragraph 34 the judge set out the relevant provisions of Section 117B of the Nationality, Immigration and Asylum Act 2002</w:t>
      </w:r>
      <w:r w:rsidR="00FA5E9A">
        <w:rPr>
          <w:rFonts w:ascii="Book Antiqua" w:hAnsi="Book Antiqua" w:cs="Arial"/>
        </w:rPr>
        <w:t xml:space="preserve"> (“the 2002 Act”)</w:t>
      </w:r>
      <w:r>
        <w:rPr>
          <w:rFonts w:ascii="Book Antiqua" w:hAnsi="Book Antiqua" w:cs="Arial"/>
        </w:rPr>
        <w:t>.  The judge then</w:t>
      </w:r>
      <w:r w:rsidR="00FA5E9A">
        <w:rPr>
          <w:rFonts w:ascii="Book Antiqua" w:hAnsi="Book Antiqua" w:cs="Arial"/>
        </w:rPr>
        <w:t>,</w:t>
      </w:r>
      <w:r>
        <w:rPr>
          <w:rFonts w:ascii="Book Antiqua" w:hAnsi="Book Antiqua" w:cs="Arial"/>
        </w:rPr>
        <w:t xml:space="preserve"> at paragraph 35</w:t>
      </w:r>
      <w:r w:rsidR="00FA5E9A">
        <w:rPr>
          <w:rFonts w:ascii="Book Antiqua" w:hAnsi="Book Antiqua" w:cs="Arial"/>
        </w:rPr>
        <w:t>,</w:t>
      </w:r>
      <w:r>
        <w:rPr>
          <w:rFonts w:ascii="Book Antiqua" w:hAnsi="Book Antiqua" w:cs="Arial"/>
        </w:rPr>
        <w:t xml:space="preserve"> stated: </w:t>
      </w:r>
    </w:p>
    <w:p w:rsidR="00EC5FC8" w:rsidRPr="00EC5FC8" w:rsidRDefault="00EC5FC8" w:rsidP="00EC5FC8">
      <w:pPr>
        <w:spacing w:before="240"/>
        <w:ind w:left="1134"/>
        <w:rPr>
          <w:rFonts w:ascii="Book Antiqua" w:hAnsi="Book Antiqua" w:cs="Arial"/>
          <w:sz w:val="22"/>
          <w:szCs w:val="22"/>
        </w:rPr>
      </w:pPr>
      <w:r w:rsidRPr="00EC5FC8">
        <w:rPr>
          <w:rFonts w:ascii="Book Antiqua" w:hAnsi="Book Antiqua" w:cs="Arial"/>
          <w:sz w:val="22"/>
          <w:szCs w:val="22"/>
        </w:rPr>
        <w:t>“I find that the appellant established a private life in the United Kingdom in the full knowledge that he had no right to live in this country having employed deception in the past.  I take into account the English language certificate from Trinity College, London, which is dated 8 March 2016 and shows that the appellant was awarded grade 2 in spoken English at CEFR level A1.  However I find for the reasons that I have already given, that the appellant’s reliance upon a fraudulently obtained TOEIC certificate is highly relevant when considering the public interest.  I accept that the appellant is self-employed and that there is no reliance upon public funds.  I also accept that his wife is working.  However in taking the evidence as a whole on a balance of probabilities, I find that any interference in the appellant’s Article 8 rights will be proportionate.  I find that immigration control is in the public interest”.</w:t>
      </w:r>
    </w:p>
    <w:p w:rsidR="00805322" w:rsidRPr="004E0963" w:rsidRDefault="00EC5FC8" w:rsidP="004E0963">
      <w:pPr>
        <w:numPr>
          <w:ilvl w:val="0"/>
          <w:numId w:val="1"/>
        </w:numPr>
        <w:tabs>
          <w:tab w:val="clear" w:pos="567"/>
        </w:tabs>
        <w:spacing w:before="240"/>
        <w:rPr>
          <w:rFonts w:ascii="Book Antiqua" w:hAnsi="Book Antiqua" w:cs="Arial"/>
        </w:rPr>
      </w:pPr>
      <w:r>
        <w:rPr>
          <w:rFonts w:ascii="Book Antiqua" w:hAnsi="Book Antiqua" w:cs="Arial"/>
        </w:rPr>
        <w:t xml:space="preserve">The appellant appealed </w:t>
      </w:r>
      <w:r w:rsidR="00805322">
        <w:rPr>
          <w:rFonts w:ascii="Book Antiqua" w:hAnsi="Book Antiqua" w:cs="Arial"/>
        </w:rPr>
        <w:t xml:space="preserve">on two grounds.  The first ground argued that the judge erred by failing to have proper regard to Section 117B(6) of the Nationality, Immigration and Asylum Act 2002.  The second ground argued that the judge’s assessment of whether the ETS TOEIC certificate was fraudulently obtained </w:t>
      </w:r>
      <w:r w:rsidR="00805322">
        <w:rPr>
          <w:rFonts w:ascii="Book Antiqua" w:hAnsi="Book Antiqua" w:cs="Arial"/>
        </w:rPr>
        <w:lastRenderedPageBreak/>
        <w:t>contained errors of law.</w:t>
      </w:r>
      <w:r w:rsidR="004E0963">
        <w:rPr>
          <w:rFonts w:ascii="Book Antiqua" w:hAnsi="Book Antiqua" w:cs="Arial"/>
        </w:rPr>
        <w:t xml:space="preserve">  </w:t>
      </w:r>
      <w:r w:rsidR="00805322" w:rsidRPr="004E0963">
        <w:rPr>
          <w:rFonts w:ascii="Book Antiqua" w:hAnsi="Book Antiqua" w:cs="Arial"/>
        </w:rPr>
        <w:t xml:space="preserve">Permission to appeal was granted only in respect of the first ground of the appeal.  </w:t>
      </w:r>
    </w:p>
    <w:p w:rsidR="00FA5E9A" w:rsidRDefault="00805322" w:rsidP="00273201">
      <w:pPr>
        <w:numPr>
          <w:ilvl w:val="0"/>
          <w:numId w:val="1"/>
        </w:numPr>
        <w:tabs>
          <w:tab w:val="clear" w:pos="567"/>
        </w:tabs>
        <w:spacing w:before="240"/>
        <w:rPr>
          <w:rFonts w:ascii="Book Antiqua" w:hAnsi="Book Antiqua" w:cs="Arial"/>
        </w:rPr>
      </w:pPr>
      <w:r>
        <w:rPr>
          <w:rFonts w:ascii="Book Antiqua" w:hAnsi="Book Antiqua" w:cs="Arial"/>
        </w:rPr>
        <w:t xml:space="preserve">At the error of law hearing I heard submissions from Mr Mustafa on behalf of the appellant and Mr Bramble on behalf of the respondent.  </w:t>
      </w:r>
    </w:p>
    <w:p w:rsidR="00805322" w:rsidRDefault="00805322" w:rsidP="00273201">
      <w:pPr>
        <w:numPr>
          <w:ilvl w:val="0"/>
          <w:numId w:val="1"/>
        </w:numPr>
        <w:tabs>
          <w:tab w:val="clear" w:pos="567"/>
        </w:tabs>
        <w:spacing w:before="240"/>
        <w:rPr>
          <w:rFonts w:ascii="Book Antiqua" w:hAnsi="Book Antiqua" w:cs="Arial"/>
        </w:rPr>
      </w:pPr>
      <w:r>
        <w:rPr>
          <w:rFonts w:ascii="Book Antiqua" w:hAnsi="Book Antiqua" w:cs="Arial"/>
        </w:rPr>
        <w:t>The argument advanced by Mr Mustafa is that the judge was required to have regard to Section 117</w:t>
      </w:r>
      <w:proofErr w:type="gramStart"/>
      <w:r>
        <w:rPr>
          <w:rFonts w:ascii="Book Antiqua" w:hAnsi="Book Antiqua" w:cs="Arial"/>
        </w:rPr>
        <w:t>B(</w:t>
      </w:r>
      <w:proofErr w:type="gramEnd"/>
      <w:r>
        <w:rPr>
          <w:rFonts w:ascii="Book Antiqua" w:hAnsi="Book Antiqua" w:cs="Arial"/>
        </w:rPr>
        <w:t>6)</w:t>
      </w:r>
      <w:r w:rsidR="00547127">
        <w:rPr>
          <w:rFonts w:ascii="Book Antiqua" w:hAnsi="Book Antiqua" w:cs="Arial"/>
        </w:rPr>
        <w:t xml:space="preserve"> of the 2002 Act</w:t>
      </w:r>
      <w:r>
        <w:rPr>
          <w:rFonts w:ascii="Book Antiqua" w:hAnsi="Book Antiqua" w:cs="Arial"/>
        </w:rPr>
        <w:t xml:space="preserve"> but failed to do so.  Mr Bramble accepted that the decision does not contain a direct evaluation of Section 117</w:t>
      </w:r>
      <w:proofErr w:type="gramStart"/>
      <w:r>
        <w:rPr>
          <w:rFonts w:ascii="Book Antiqua" w:hAnsi="Book Antiqua" w:cs="Arial"/>
        </w:rPr>
        <w:t>B(</w:t>
      </w:r>
      <w:proofErr w:type="gramEnd"/>
      <w:r>
        <w:rPr>
          <w:rFonts w:ascii="Book Antiqua" w:hAnsi="Book Antiqua" w:cs="Arial"/>
        </w:rPr>
        <w:t xml:space="preserve">6) </w:t>
      </w:r>
      <w:r w:rsidR="00FA5E9A">
        <w:rPr>
          <w:rFonts w:ascii="Book Antiqua" w:hAnsi="Book Antiqua" w:cs="Arial"/>
        </w:rPr>
        <w:t xml:space="preserve">of the 2002 Act </w:t>
      </w:r>
      <w:r>
        <w:rPr>
          <w:rFonts w:ascii="Book Antiqua" w:hAnsi="Book Antiqua" w:cs="Arial"/>
        </w:rPr>
        <w:t>but argued that this was not material as the judge’s analysis properly construed dealt with the issues relevant to Section 117B(6).  In parti</w:t>
      </w:r>
      <w:r w:rsidR="00547127">
        <w:rPr>
          <w:rFonts w:ascii="Book Antiqua" w:hAnsi="Book Antiqua" w:cs="Arial"/>
        </w:rPr>
        <w:t>cular, he argued that</w:t>
      </w:r>
      <w:r w:rsidR="00FA5E9A">
        <w:rPr>
          <w:rFonts w:ascii="Book Antiqua" w:hAnsi="Book Antiqua" w:cs="Arial"/>
        </w:rPr>
        <w:t xml:space="preserve"> the judge </w:t>
      </w:r>
      <w:r w:rsidR="00547127">
        <w:rPr>
          <w:rFonts w:ascii="Book Antiqua" w:hAnsi="Book Antiqua" w:cs="Arial"/>
        </w:rPr>
        <w:t xml:space="preserve">had </w:t>
      </w:r>
      <w:r w:rsidR="00FA5E9A">
        <w:rPr>
          <w:rFonts w:ascii="Book Antiqua" w:hAnsi="Book Antiqua" w:cs="Arial"/>
        </w:rPr>
        <w:t>found</w:t>
      </w:r>
      <w:r w:rsidR="00547127">
        <w:rPr>
          <w:rFonts w:ascii="Book Antiqua" w:hAnsi="Book Antiqua" w:cs="Arial"/>
        </w:rPr>
        <w:t xml:space="preserve"> </w:t>
      </w:r>
      <w:r w:rsidR="00FA5E9A">
        <w:rPr>
          <w:rFonts w:ascii="Book Antiqua" w:hAnsi="Book Antiqua" w:cs="Arial"/>
        </w:rPr>
        <w:t>-</w:t>
      </w:r>
      <w:r>
        <w:rPr>
          <w:rFonts w:ascii="Book Antiqua" w:hAnsi="Book Antiqua" w:cs="Arial"/>
        </w:rPr>
        <w:t xml:space="preserve"> and it was not disputed</w:t>
      </w:r>
      <w:r w:rsidR="00FA5E9A">
        <w:rPr>
          <w:rFonts w:ascii="Book Antiqua" w:hAnsi="Book Antiqua" w:cs="Arial"/>
        </w:rPr>
        <w:t xml:space="preserve"> -</w:t>
      </w:r>
      <w:r>
        <w:rPr>
          <w:rFonts w:ascii="Book Antiqua" w:hAnsi="Book Antiqua" w:cs="Arial"/>
        </w:rPr>
        <w:t xml:space="preserve"> that the child would be able to remain in the UK with his mother and therefore the consequence of the removal of the appellant would not be that the appellant’s child would be expected to leave the UK.  </w:t>
      </w:r>
    </w:p>
    <w:p w:rsidR="00FA5E9A" w:rsidRDefault="00FA5E9A" w:rsidP="00E5295A">
      <w:pPr>
        <w:spacing w:before="240"/>
        <w:rPr>
          <w:rFonts w:ascii="Book Antiqua" w:hAnsi="Book Antiqua" w:cs="Arial"/>
        </w:rPr>
      </w:pPr>
      <w:r>
        <w:rPr>
          <w:rFonts w:ascii="Book Antiqua" w:hAnsi="Book Antiqua" w:cs="Arial"/>
          <w:b/>
          <w:u w:val="single"/>
        </w:rPr>
        <w:t>Error of Law Decision</w:t>
      </w:r>
    </w:p>
    <w:p w:rsidR="00FA5E9A" w:rsidRPr="00547127" w:rsidRDefault="00547127" w:rsidP="00547127">
      <w:pPr>
        <w:numPr>
          <w:ilvl w:val="0"/>
          <w:numId w:val="1"/>
        </w:numPr>
        <w:tabs>
          <w:tab w:val="clear" w:pos="567"/>
        </w:tabs>
        <w:spacing w:before="240"/>
        <w:rPr>
          <w:rFonts w:ascii="Book Antiqua" w:hAnsi="Book Antiqua" w:cs="Arial"/>
        </w:rPr>
      </w:pPr>
      <w:r>
        <w:rPr>
          <w:rFonts w:ascii="Book Antiqua" w:hAnsi="Book Antiqua" w:cs="Arial"/>
        </w:rPr>
        <w:t xml:space="preserve">In assessing the proportionality of the appellant’s removal from the UK, the judge was required to have regard to </w:t>
      </w:r>
      <w:r w:rsidR="00FA5E9A" w:rsidRPr="00547127">
        <w:rPr>
          <w:rFonts w:ascii="Book Antiqua" w:hAnsi="Book Antiqua" w:cs="Arial"/>
        </w:rPr>
        <w:t xml:space="preserve">Section 117B(6) of the 2002 </w:t>
      </w:r>
      <w:r w:rsidR="001A3252" w:rsidRPr="00547127">
        <w:rPr>
          <w:rFonts w:ascii="Book Antiqua" w:hAnsi="Book Antiqua" w:cs="Arial"/>
        </w:rPr>
        <w:t>A</w:t>
      </w:r>
      <w:r w:rsidR="00FA5E9A" w:rsidRPr="00547127">
        <w:rPr>
          <w:rFonts w:ascii="Book Antiqua" w:hAnsi="Book Antiqua" w:cs="Arial"/>
        </w:rPr>
        <w:t>ct</w:t>
      </w:r>
      <w:r>
        <w:rPr>
          <w:rFonts w:ascii="Book Antiqua" w:hAnsi="Book Antiqua" w:cs="Arial"/>
        </w:rPr>
        <w:t>, which</w:t>
      </w:r>
      <w:r w:rsidR="00FA5E9A" w:rsidRPr="00547127">
        <w:rPr>
          <w:rFonts w:ascii="Book Antiqua" w:hAnsi="Book Antiqua" w:cs="Arial"/>
        </w:rPr>
        <w:t xml:space="preserve"> </w:t>
      </w:r>
      <w:r w:rsidR="001A3252" w:rsidRPr="00547127">
        <w:rPr>
          <w:rFonts w:ascii="Book Antiqua" w:hAnsi="Book Antiqua" w:cs="Arial"/>
        </w:rPr>
        <w:t xml:space="preserve">states that: </w:t>
      </w:r>
    </w:p>
    <w:p w:rsidR="00805322" w:rsidRPr="004E0963" w:rsidRDefault="001A3252" w:rsidP="004E0963">
      <w:pPr>
        <w:spacing w:before="240"/>
        <w:ind w:left="1134"/>
        <w:rPr>
          <w:rFonts w:ascii="Book Antiqua" w:hAnsi="Book Antiqua" w:cs="Arial"/>
          <w:sz w:val="22"/>
          <w:szCs w:val="22"/>
        </w:rPr>
      </w:pPr>
      <w:r w:rsidRPr="004E0963">
        <w:rPr>
          <w:rFonts w:ascii="Book Antiqua" w:hAnsi="Book Antiqua" w:cs="Arial"/>
          <w:sz w:val="22"/>
          <w:szCs w:val="22"/>
        </w:rPr>
        <w:t xml:space="preserve"> </w:t>
      </w:r>
      <w:r w:rsidR="00805322" w:rsidRPr="004E0963">
        <w:rPr>
          <w:rFonts w:ascii="Book Antiqua" w:hAnsi="Book Antiqua" w:cs="Arial"/>
          <w:sz w:val="22"/>
          <w:szCs w:val="22"/>
        </w:rPr>
        <w:t xml:space="preserve">“In the case of a person who is not liable to deportation, the public interest does not require the person’s removal where –     </w:t>
      </w:r>
    </w:p>
    <w:p w:rsidR="00805322" w:rsidRPr="004E0963" w:rsidRDefault="00805322" w:rsidP="004E0963">
      <w:pPr>
        <w:numPr>
          <w:ilvl w:val="1"/>
          <w:numId w:val="1"/>
        </w:numPr>
        <w:tabs>
          <w:tab w:val="clear" w:pos="1134"/>
          <w:tab w:val="num" w:pos="1701"/>
        </w:tabs>
        <w:spacing w:before="240"/>
        <w:ind w:left="1701"/>
        <w:rPr>
          <w:rFonts w:ascii="Book Antiqua" w:hAnsi="Book Antiqua" w:cs="Arial"/>
          <w:sz w:val="22"/>
          <w:szCs w:val="22"/>
        </w:rPr>
      </w:pPr>
      <w:r w:rsidRPr="004E0963">
        <w:rPr>
          <w:rFonts w:ascii="Book Antiqua" w:hAnsi="Book Antiqua" w:cs="Arial"/>
          <w:sz w:val="22"/>
          <w:szCs w:val="22"/>
        </w:rPr>
        <w:t>the person has a genuine and subsisting parental relationship with a qualifying child, and</w:t>
      </w:r>
    </w:p>
    <w:p w:rsidR="00805322" w:rsidRPr="004E0963" w:rsidRDefault="00805322" w:rsidP="004E0963">
      <w:pPr>
        <w:numPr>
          <w:ilvl w:val="1"/>
          <w:numId w:val="1"/>
        </w:numPr>
        <w:tabs>
          <w:tab w:val="clear" w:pos="1134"/>
          <w:tab w:val="num" w:pos="1701"/>
        </w:tabs>
        <w:spacing w:before="240"/>
        <w:ind w:left="1701"/>
        <w:rPr>
          <w:rFonts w:ascii="Book Antiqua" w:hAnsi="Book Antiqua" w:cs="Arial"/>
          <w:sz w:val="22"/>
          <w:szCs w:val="22"/>
        </w:rPr>
      </w:pPr>
      <w:r w:rsidRPr="004E0963">
        <w:rPr>
          <w:rFonts w:ascii="Book Antiqua" w:hAnsi="Book Antiqua" w:cs="Arial"/>
          <w:sz w:val="22"/>
          <w:szCs w:val="22"/>
        </w:rPr>
        <w:t>it would not be reasonable to expect the child to leave the United Kingdom</w:t>
      </w:r>
      <w:r w:rsidR="004E0963">
        <w:rPr>
          <w:rFonts w:ascii="Book Antiqua" w:hAnsi="Book Antiqua" w:cs="Arial"/>
          <w:sz w:val="22"/>
          <w:szCs w:val="22"/>
        </w:rPr>
        <w:t>”</w:t>
      </w:r>
      <w:r w:rsidRPr="004E0963">
        <w:rPr>
          <w:rFonts w:ascii="Book Antiqua" w:hAnsi="Book Antiqua" w:cs="Arial"/>
          <w:sz w:val="22"/>
          <w:szCs w:val="22"/>
        </w:rPr>
        <w:t>.</w:t>
      </w:r>
    </w:p>
    <w:p w:rsidR="001A3252" w:rsidRDefault="001A3252" w:rsidP="00273201">
      <w:pPr>
        <w:numPr>
          <w:ilvl w:val="0"/>
          <w:numId w:val="1"/>
        </w:numPr>
        <w:tabs>
          <w:tab w:val="clear" w:pos="567"/>
        </w:tabs>
        <w:spacing w:before="240"/>
        <w:rPr>
          <w:rFonts w:ascii="Book Antiqua" w:hAnsi="Book Antiqua" w:cs="Arial"/>
        </w:rPr>
      </w:pPr>
      <w:r>
        <w:rPr>
          <w:rFonts w:ascii="Book Antiqua" w:hAnsi="Book Antiqua" w:cs="Arial"/>
        </w:rPr>
        <w:t>It was not in dispute that the appellant’s child is a “qualifying child”, that the appellant has a genuine and subsisting relationship with him, and that the appellant is not liable to deportation.  Therefore, the only issue under Section 117</w:t>
      </w:r>
      <w:proofErr w:type="gramStart"/>
      <w:r>
        <w:rPr>
          <w:rFonts w:ascii="Book Antiqua" w:hAnsi="Book Antiqua" w:cs="Arial"/>
        </w:rPr>
        <w:t>B(</w:t>
      </w:r>
      <w:proofErr w:type="gramEnd"/>
      <w:r>
        <w:rPr>
          <w:rFonts w:ascii="Book Antiqua" w:hAnsi="Book Antiqua" w:cs="Arial"/>
        </w:rPr>
        <w:t>6) for the judge to</w:t>
      </w:r>
      <w:r w:rsidR="00547127">
        <w:rPr>
          <w:rFonts w:ascii="Book Antiqua" w:hAnsi="Book Antiqua" w:cs="Arial"/>
        </w:rPr>
        <w:t xml:space="preserve"> resolve was whether it would “n</w:t>
      </w:r>
      <w:r>
        <w:rPr>
          <w:rFonts w:ascii="Book Antiqua" w:hAnsi="Book Antiqua" w:cs="Arial"/>
        </w:rPr>
        <w:t xml:space="preserve">ot be reasonable to expect” the appellant’s son to leave the UK.  </w:t>
      </w:r>
    </w:p>
    <w:p w:rsidR="001A3252" w:rsidRDefault="001A3252" w:rsidP="00273201">
      <w:pPr>
        <w:numPr>
          <w:ilvl w:val="0"/>
          <w:numId w:val="1"/>
        </w:numPr>
        <w:tabs>
          <w:tab w:val="clear" w:pos="567"/>
        </w:tabs>
        <w:spacing w:before="240"/>
        <w:rPr>
          <w:rFonts w:ascii="Book Antiqua" w:hAnsi="Book Antiqua" w:cs="Arial"/>
        </w:rPr>
      </w:pPr>
      <w:r>
        <w:rPr>
          <w:rFonts w:ascii="Book Antiqua" w:hAnsi="Book Antiqua" w:cs="Arial"/>
        </w:rPr>
        <w:t xml:space="preserve">The judge has considered the </w:t>
      </w:r>
      <w:r w:rsidR="001A0C72">
        <w:rPr>
          <w:rFonts w:ascii="Book Antiqua" w:hAnsi="Book Antiqua" w:cs="Arial"/>
        </w:rPr>
        <w:t>“</w:t>
      </w:r>
      <w:r>
        <w:rPr>
          <w:rFonts w:ascii="Book Antiqua" w:hAnsi="Book Antiqua" w:cs="Arial"/>
        </w:rPr>
        <w:t>best interests</w:t>
      </w:r>
      <w:r w:rsidR="001A0C72">
        <w:rPr>
          <w:rFonts w:ascii="Book Antiqua" w:hAnsi="Book Antiqua" w:cs="Arial"/>
        </w:rPr>
        <w:t xml:space="preserve">” of the appellant’s child, finding that it would be in his best interest to remain with his parents, but absent from the decision is any consideration of the issue of whether it would be reasonable for the appellant’s son to leave the UK.  “Reasonableness to be expected to leave the UK” and “best interests” are not the same and I do not agree with Mr Bramble that an inference as to reasonableness can be made from the judge’s evaluation of the child’s best interests.  The decision therefore contains a material error of law and is set aside. </w:t>
      </w:r>
    </w:p>
    <w:p w:rsidR="001A0C72" w:rsidRPr="001A0C72" w:rsidRDefault="001A0C72" w:rsidP="00E5295A">
      <w:pPr>
        <w:spacing w:before="240"/>
        <w:rPr>
          <w:rFonts w:ascii="Book Antiqua" w:hAnsi="Book Antiqua" w:cs="Arial"/>
          <w:b/>
          <w:u w:val="single"/>
        </w:rPr>
      </w:pPr>
      <w:r>
        <w:rPr>
          <w:rFonts w:ascii="Book Antiqua" w:hAnsi="Book Antiqua" w:cs="Arial"/>
          <w:b/>
          <w:u w:val="single"/>
        </w:rPr>
        <w:t>Re-Made Decision</w:t>
      </w:r>
    </w:p>
    <w:p w:rsidR="001A0C72" w:rsidRDefault="001A0C72" w:rsidP="00273201">
      <w:pPr>
        <w:numPr>
          <w:ilvl w:val="0"/>
          <w:numId w:val="1"/>
        </w:numPr>
        <w:tabs>
          <w:tab w:val="clear" w:pos="567"/>
        </w:tabs>
        <w:spacing w:before="240"/>
        <w:rPr>
          <w:rFonts w:ascii="Book Antiqua" w:hAnsi="Book Antiqua" w:cs="Arial"/>
        </w:rPr>
      </w:pPr>
      <w:r>
        <w:rPr>
          <w:rFonts w:ascii="Book Antiqua" w:hAnsi="Book Antiqua" w:cs="Arial"/>
        </w:rPr>
        <w:t xml:space="preserve">It is not in dispute that the appellant, who is married to a </w:t>
      </w:r>
      <w:r w:rsidR="00994A5A">
        <w:rPr>
          <w:rFonts w:ascii="Book Antiqua" w:hAnsi="Book Antiqua" w:cs="Arial"/>
        </w:rPr>
        <w:t>British c</w:t>
      </w:r>
      <w:r>
        <w:rPr>
          <w:rFonts w:ascii="Book Antiqua" w:hAnsi="Book Antiqua" w:cs="Arial"/>
        </w:rPr>
        <w:t xml:space="preserve">itizen </w:t>
      </w:r>
      <w:r w:rsidR="00994A5A">
        <w:rPr>
          <w:rFonts w:ascii="Book Antiqua" w:hAnsi="Book Antiqua" w:cs="Arial"/>
        </w:rPr>
        <w:t xml:space="preserve">and has a son born on 10 November 2015 who is a British citizen, has a family life in the UK that engages the operation of Article 8 ECHR.  The issue in dispute is whether removal of the appellant from the UK would be a disproportionate interference with his (and his family’s) right to respect for their family life.  </w:t>
      </w:r>
    </w:p>
    <w:p w:rsidR="00994A5A" w:rsidRDefault="00994A5A" w:rsidP="00273201">
      <w:pPr>
        <w:numPr>
          <w:ilvl w:val="0"/>
          <w:numId w:val="1"/>
        </w:numPr>
        <w:tabs>
          <w:tab w:val="clear" w:pos="567"/>
        </w:tabs>
        <w:spacing w:before="240"/>
        <w:rPr>
          <w:rFonts w:ascii="Book Antiqua" w:hAnsi="Book Antiqua" w:cs="Arial"/>
        </w:rPr>
      </w:pPr>
      <w:r>
        <w:rPr>
          <w:rFonts w:ascii="Book Antiqua" w:hAnsi="Book Antiqua" w:cs="Arial"/>
        </w:rPr>
        <w:lastRenderedPageBreak/>
        <w:t>It is clear from the evidence (and I find as a fact) that if the appellant were to be removed his wife and his son would remain in the UK without him.  This, therefore, is not a case where removal of an appellant will result in a British citizen child having to leave the UK.  Rather, it is a case where the consequence of removal is that a British citizen child will be separated from his father (but continue to live with his mother</w:t>
      </w:r>
      <w:r w:rsidR="00547127">
        <w:rPr>
          <w:rFonts w:ascii="Book Antiqua" w:hAnsi="Book Antiqua" w:cs="Arial"/>
        </w:rPr>
        <w:t xml:space="preserve"> in the UK</w:t>
      </w:r>
      <w:r>
        <w:rPr>
          <w:rFonts w:ascii="Book Antiqua" w:hAnsi="Book Antiqua" w:cs="Arial"/>
        </w:rPr>
        <w:t xml:space="preserve">).  </w:t>
      </w:r>
    </w:p>
    <w:p w:rsidR="009304D6" w:rsidRDefault="009304D6" w:rsidP="00273201">
      <w:pPr>
        <w:numPr>
          <w:ilvl w:val="0"/>
          <w:numId w:val="1"/>
        </w:numPr>
        <w:tabs>
          <w:tab w:val="clear" w:pos="567"/>
        </w:tabs>
        <w:spacing w:before="240"/>
        <w:rPr>
          <w:rFonts w:ascii="Book Antiqua" w:hAnsi="Book Antiqua" w:cs="Arial"/>
        </w:rPr>
      </w:pPr>
      <w:r>
        <w:rPr>
          <w:rFonts w:ascii="Book Antiqua" w:hAnsi="Book Antiqua" w:cs="Arial"/>
        </w:rPr>
        <w:t>Where the proportionality of a person’s removal is under consideration it is necessary to have regard to the factors enumerated in Part 5A of the 2002 Act.  Section 117B(6) of the 2002 Act stipulates that where, as here, a person is not liable to deportation the public interest does not require his removal where –</w:t>
      </w:r>
    </w:p>
    <w:p w:rsidR="009304D6" w:rsidRDefault="009304D6" w:rsidP="009304D6">
      <w:pPr>
        <w:numPr>
          <w:ilvl w:val="1"/>
          <w:numId w:val="1"/>
        </w:numPr>
        <w:spacing w:before="240"/>
        <w:rPr>
          <w:rFonts w:ascii="Book Antiqua" w:hAnsi="Book Antiqua" w:cs="Arial"/>
        </w:rPr>
      </w:pPr>
      <w:r>
        <w:rPr>
          <w:rFonts w:ascii="Book Antiqua" w:hAnsi="Book Antiqua" w:cs="Arial"/>
        </w:rPr>
        <w:t>the person has a genuine and subsisting parental relationship with a qualifying child, and</w:t>
      </w:r>
    </w:p>
    <w:p w:rsidR="009304D6" w:rsidRDefault="009304D6" w:rsidP="009304D6">
      <w:pPr>
        <w:numPr>
          <w:ilvl w:val="1"/>
          <w:numId w:val="1"/>
        </w:numPr>
        <w:spacing w:before="240"/>
        <w:rPr>
          <w:rFonts w:ascii="Book Antiqua" w:hAnsi="Book Antiqua" w:cs="Arial"/>
        </w:rPr>
      </w:pPr>
      <w:r>
        <w:rPr>
          <w:rFonts w:ascii="Book Antiqua" w:hAnsi="Book Antiqua" w:cs="Arial"/>
        </w:rPr>
        <w:t>it would not be reasonable to expect the child to leave the UK.</w:t>
      </w:r>
    </w:p>
    <w:p w:rsidR="009304D6" w:rsidRPr="00E5295A" w:rsidRDefault="009304D6" w:rsidP="00E5295A">
      <w:pPr>
        <w:pStyle w:val="ListParagraph"/>
        <w:numPr>
          <w:ilvl w:val="0"/>
          <w:numId w:val="1"/>
        </w:numPr>
        <w:spacing w:before="240"/>
        <w:rPr>
          <w:rFonts w:ascii="Book Antiqua" w:hAnsi="Book Antiqua" w:cs="Arial"/>
        </w:rPr>
      </w:pPr>
      <w:r w:rsidRPr="00E5295A">
        <w:rPr>
          <w:rFonts w:ascii="Book Antiqua" w:hAnsi="Book Antiqua" w:cs="Arial"/>
        </w:rPr>
        <w:t xml:space="preserve">In this case, it is not in dispute that the appellant has a genuine and subsisting parental relationship with </w:t>
      </w:r>
      <w:r w:rsidR="00547127" w:rsidRPr="00E5295A">
        <w:rPr>
          <w:rFonts w:ascii="Book Antiqua" w:hAnsi="Book Antiqua" w:cs="Arial"/>
        </w:rPr>
        <w:t xml:space="preserve">a qualifying </w:t>
      </w:r>
      <w:r w:rsidRPr="00E5295A">
        <w:rPr>
          <w:rFonts w:ascii="Book Antiqua" w:hAnsi="Book Antiqua" w:cs="Arial"/>
        </w:rPr>
        <w:t>child.  The question to be addressed is wheth</w:t>
      </w:r>
      <w:r w:rsidR="00994A5A" w:rsidRPr="00E5295A">
        <w:rPr>
          <w:rFonts w:ascii="Book Antiqua" w:hAnsi="Book Antiqua" w:cs="Arial"/>
        </w:rPr>
        <w:t xml:space="preserve">er it is reasonable to expect </w:t>
      </w:r>
      <w:r w:rsidR="00154595" w:rsidRPr="00E5295A">
        <w:rPr>
          <w:rFonts w:ascii="Book Antiqua" w:hAnsi="Book Antiqua" w:cs="Arial"/>
        </w:rPr>
        <w:t>his</w:t>
      </w:r>
      <w:r w:rsidRPr="00E5295A">
        <w:rPr>
          <w:rFonts w:ascii="Book Antiqua" w:hAnsi="Book Antiqua" w:cs="Arial"/>
        </w:rPr>
        <w:t xml:space="preserve"> child to leave the United Kingdom.</w:t>
      </w:r>
    </w:p>
    <w:p w:rsidR="009304D6" w:rsidRDefault="009304D6" w:rsidP="00273201">
      <w:pPr>
        <w:numPr>
          <w:ilvl w:val="0"/>
          <w:numId w:val="1"/>
        </w:numPr>
        <w:tabs>
          <w:tab w:val="clear" w:pos="567"/>
        </w:tabs>
        <w:spacing w:before="240"/>
        <w:rPr>
          <w:rFonts w:ascii="Book Antiqua" w:hAnsi="Book Antiqua" w:cs="Arial"/>
        </w:rPr>
      </w:pPr>
      <w:r>
        <w:rPr>
          <w:rFonts w:ascii="Book Antiqua" w:hAnsi="Book Antiqua" w:cs="Arial"/>
        </w:rPr>
        <w:t xml:space="preserve">It has been made clear by the Court of Appeal in </w:t>
      </w:r>
      <w:r w:rsidRPr="009304D6">
        <w:rPr>
          <w:rFonts w:ascii="Book Antiqua" w:hAnsi="Book Antiqua" w:cs="Arial"/>
          <w:i/>
        </w:rPr>
        <w:t>MA (Pakistan)</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705 </w:t>
      </w:r>
      <w:r w:rsidR="00547127">
        <w:rPr>
          <w:rFonts w:ascii="Book Antiqua" w:hAnsi="Book Antiqua" w:cs="Arial"/>
        </w:rPr>
        <w:t xml:space="preserve">at paras. 19-20 </w:t>
      </w:r>
      <w:r>
        <w:rPr>
          <w:rFonts w:ascii="Book Antiqua" w:hAnsi="Book Antiqua" w:cs="Arial"/>
        </w:rPr>
        <w:t xml:space="preserve">that if </w:t>
      </w:r>
      <w:r w:rsidR="00547127">
        <w:rPr>
          <w:rFonts w:ascii="Book Antiqua" w:hAnsi="Book Antiqua" w:cs="Arial"/>
        </w:rPr>
        <w:t>the criteria of section 117</w:t>
      </w:r>
      <w:proofErr w:type="gramStart"/>
      <w:r w:rsidR="00547127">
        <w:rPr>
          <w:rFonts w:ascii="Book Antiqua" w:hAnsi="Book Antiqua" w:cs="Arial"/>
        </w:rPr>
        <w:t>B(</w:t>
      </w:r>
      <w:proofErr w:type="gramEnd"/>
      <w:r w:rsidR="00547127">
        <w:rPr>
          <w:rFonts w:ascii="Book Antiqua" w:hAnsi="Book Antiqua" w:cs="Arial"/>
        </w:rPr>
        <w:t xml:space="preserve">6) are satisfied </w:t>
      </w:r>
      <w:r>
        <w:rPr>
          <w:rFonts w:ascii="Book Antiqua" w:hAnsi="Book Antiqua" w:cs="Arial"/>
        </w:rPr>
        <w:t xml:space="preserve">the public interest would not require the appellant’s removal.  However, the question of reasonableness is a broad one which must encompass amongst other things consideration of the conduct and immigration history of the appellant.  </w:t>
      </w:r>
      <w:r w:rsidR="00547127">
        <w:rPr>
          <w:rFonts w:ascii="Book Antiqua" w:hAnsi="Book Antiqua" w:cs="Arial"/>
        </w:rPr>
        <w:t xml:space="preserve">The central issue in this appeal, therefore, is whether it would be reasonable to expect the appellant’s son to leave the UK, with “reasonableness” being given a broad interpretation as set out in </w:t>
      </w:r>
      <w:r w:rsidR="00547127" w:rsidRPr="009304D6">
        <w:rPr>
          <w:rFonts w:ascii="Book Antiqua" w:hAnsi="Book Antiqua" w:cs="Arial"/>
          <w:i/>
        </w:rPr>
        <w:t>MA (Pakistan)</w:t>
      </w:r>
      <w:r w:rsidR="00547127">
        <w:rPr>
          <w:rFonts w:ascii="Book Antiqua" w:hAnsi="Book Antiqua" w:cs="Arial"/>
          <w:i/>
        </w:rPr>
        <w:t>.</w:t>
      </w:r>
    </w:p>
    <w:p w:rsidR="002D119D" w:rsidRDefault="009304D6" w:rsidP="00273201">
      <w:pPr>
        <w:numPr>
          <w:ilvl w:val="0"/>
          <w:numId w:val="1"/>
        </w:numPr>
        <w:tabs>
          <w:tab w:val="clear" w:pos="567"/>
        </w:tabs>
        <w:spacing w:before="240"/>
        <w:rPr>
          <w:rFonts w:ascii="Book Antiqua" w:hAnsi="Book Antiqua" w:cs="Arial"/>
        </w:rPr>
      </w:pPr>
      <w:r>
        <w:rPr>
          <w:rFonts w:ascii="Book Antiqua" w:hAnsi="Book Antiqua" w:cs="Arial"/>
        </w:rPr>
        <w:t>My starting point to address whether it would be reasonable to expect the appellant’s child to leave the UK is the respondent’s guidance published on 22 February 2018 titled Family Migration</w:t>
      </w:r>
      <w:r w:rsidR="002D119D">
        <w:rPr>
          <w:rFonts w:ascii="Book Antiqua" w:hAnsi="Book Antiqua" w:cs="Arial"/>
        </w:rPr>
        <w:t>:</w:t>
      </w:r>
      <w:r>
        <w:rPr>
          <w:rFonts w:ascii="Book Antiqua" w:hAnsi="Book Antiqua" w:cs="Arial"/>
        </w:rPr>
        <w:t xml:space="preserve"> Appendix FM Section 1.0b </w:t>
      </w:r>
      <w:r w:rsidR="002D119D">
        <w:rPr>
          <w:rFonts w:ascii="Book Antiqua" w:hAnsi="Book Antiqua" w:cs="Arial"/>
        </w:rPr>
        <w:t xml:space="preserve">– </w:t>
      </w:r>
      <w:r>
        <w:rPr>
          <w:rFonts w:ascii="Book Antiqua" w:hAnsi="Book Antiqua" w:cs="Arial"/>
        </w:rPr>
        <w:t xml:space="preserve">Family </w:t>
      </w:r>
      <w:r w:rsidR="002D119D">
        <w:rPr>
          <w:rFonts w:ascii="Book Antiqua" w:hAnsi="Book Antiqua" w:cs="Arial"/>
        </w:rPr>
        <w:t>Life (</w:t>
      </w:r>
      <w:r>
        <w:rPr>
          <w:rFonts w:ascii="Book Antiqua" w:hAnsi="Book Antiqua" w:cs="Arial"/>
        </w:rPr>
        <w:t xml:space="preserve">as a </w:t>
      </w:r>
      <w:r w:rsidR="002D119D">
        <w:rPr>
          <w:rFonts w:ascii="Book Antiqua" w:hAnsi="Book Antiqua" w:cs="Arial"/>
        </w:rPr>
        <w:t xml:space="preserve">Partner </w:t>
      </w:r>
      <w:r>
        <w:rPr>
          <w:rFonts w:ascii="Book Antiqua" w:hAnsi="Book Antiqua" w:cs="Arial"/>
        </w:rPr>
        <w:t xml:space="preserve">or </w:t>
      </w:r>
      <w:r w:rsidR="002D119D">
        <w:rPr>
          <w:rFonts w:ascii="Book Antiqua" w:hAnsi="Book Antiqua" w:cs="Arial"/>
        </w:rPr>
        <w:t xml:space="preserve">Parent) </w:t>
      </w:r>
      <w:r>
        <w:rPr>
          <w:rFonts w:ascii="Book Antiqua" w:hAnsi="Book Antiqua" w:cs="Arial"/>
        </w:rPr>
        <w:t xml:space="preserve">and </w:t>
      </w:r>
      <w:r w:rsidR="002D119D">
        <w:rPr>
          <w:rFonts w:ascii="Book Antiqua" w:hAnsi="Book Antiqua" w:cs="Arial"/>
        </w:rPr>
        <w:t>Private L</w:t>
      </w:r>
      <w:r>
        <w:rPr>
          <w:rFonts w:ascii="Book Antiqua" w:hAnsi="Book Antiqua" w:cs="Arial"/>
        </w:rPr>
        <w:t>ife</w:t>
      </w:r>
      <w:r w:rsidR="002D119D">
        <w:rPr>
          <w:rFonts w:ascii="Book Antiqua" w:hAnsi="Book Antiqua" w:cs="Arial"/>
        </w:rPr>
        <w:t>:</w:t>
      </w:r>
      <w:r>
        <w:rPr>
          <w:rFonts w:ascii="Book Antiqua" w:hAnsi="Book Antiqua" w:cs="Arial"/>
        </w:rPr>
        <w:t xml:space="preserve"> </w:t>
      </w:r>
      <w:r w:rsidR="002D119D">
        <w:rPr>
          <w:rFonts w:ascii="Book Antiqua" w:hAnsi="Book Antiqua" w:cs="Arial"/>
        </w:rPr>
        <w:t>10-</w:t>
      </w:r>
      <w:r>
        <w:rPr>
          <w:rFonts w:ascii="Book Antiqua" w:hAnsi="Book Antiqua" w:cs="Arial"/>
        </w:rPr>
        <w:t xml:space="preserve"> </w:t>
      </w:r>
      <w:r w:rsidR="002D119D">
        <w:rPr>
          <w:rFonts w:ascii="Book Antiqua" w:hAnsi="Book Antiqua" w:cs="Arial"/>
        </w:rPr>
        <w:t>Year Routes</w:t>
      </w:r>
      <w:r>
        <w:rPr>
          <w:rFonts w:ascii="Book Antiqua" w:hAnsi="Book Antiqua" w:cs="Arial"/>
        </w:rPr>
        <w:t>.  This guidance sets out at page</w:t>
      </w:r>
      <w:r w:rsidR="00AB78D4">
        <w:rPr>
          <w:rFonts w:ascii="Book Antiqua" w:hAnsi="Book Antiqua" w:cs="Arial"/>
        </w:rPr>
        <w:t>s</w:t>
      </w:r>
      <w:r>
        <w:rPr>
          <w:rFonts w:ascii="Book Antiqua" w:hAnsi="Book Antiqua" w:cs="Arial"/>
        </w:rPr>
        <w:t xml:space="preserve"> 76 and 77 when it would be reasonable to expect a child to leave the UK.  In respect of children who are British citizens the guidance distinguishes between when the child would have to leave the UK and would not have to leave the UK.  It states that </w:t>
      </w:r>
      <w:r w:rsidR="00F0793A">
        <w:rPr>
          <w:rFonts w:ascii="Book Antiqua" w:hAnsi="Book Antiqua" w:cs="Arial"/>
        </w:rPr>
        <w:t xml:space="preserve">where a </w:t>
      </w:r>
      <w:r>
        <w:rPr>
          <w:rFonts w:ascii="Book Antiqua" w:hAnsi="Book Antiqua" w:cs="Arial"/>
        </w:rPr>
        <w:t>child</w:t>
      </w:r>
      <w:r w:rsidR="00F0793A">
        <w:rPr>
          <w:rFonts w:ascii="Book Antiqua" w:hAnsi="Book Antiqua" w:cs="Arial"/>
        </w:rPr>
        <w:t xml:space="preserve"> would have to leave the UK</w:t>
      </w:r>
      <w:r w:rsidR="002D119D">
        <w:rPr>
          <w:rFonts w:ascii="Book Antiqua" w:hAnsi="Book Antiqua" w:cs="Arial"/>
        </w:rPr>
        <w:t>:</w:t>
      </w:r>
      <w:r w:rsidR="00F0793A">
        <w:rPr>
          <w:rFonts w:ascii="Book Antiqua" w:hAnsi="Book Antiqua" w:cs="Arial"/>
        </w:rPr>
        <w:t xml:space="preserve"> </w:t>
      </w:r>
    </w:p>
    <w:p w:rsidR="002D119D" w:rsidRPr="002D119D" w:rsidRDefault="00F0793A" w:rsidP="002D119D">
      <w:pPr>
        <w:spacing w:before="240"/>
        <w:ind w:left="1134"/>
        <w:rPr>
          <w:rFonts w:ascii="Book Antiqua" w:hAnsi="Book Antiqua" w:cs="Arial"/>
          <w:sz w:val="22"/>
          <w:szCs w:val="22"/>
        </w:rPr>
      </w:pPr>
      <w:r w:rsidRPr="002D119D">
        <w:rPr>
          <w:rFonts w:ascii="Book Antiqua" w:hAnsi="Book Antiqua" w:cs="Arial"/>
          <w:sz w:val="22"/>
          <w:szCs w:val="22"/>
        </w:rPr>
        <w:t>“</w:t>
      </w:r>
      <w:r w:rsidR="002D119D" w:rsidRPr="002D119D">
        <w:rPr>
          <w:rFonts w:ascii="Book Antiqua" w:hAnsi="Book Antiqua" w:cs="Arial"/>
          <w:sz w:val="22"/>
          <w:szCs w:val="22"/>
        </w:rPr>
        <w:t xml:space="preserve">It </w:t>
      </w:r>
      <w:r w:rsidRPr="002D119D">
        <w:rPr>
          <w:rFonts w:ascii="Book Antiqua" w:hAnsi="Book Antiqua" w:cs="Arial"/>
          <w:sz w:val="22"/>
          <w:szCs w:val="22"/>
        </w:rPr>
        <w:t>will not be reasonable to expect them to leave the UK with the applicant parent or primary carer facing removal.  Accordingly, where this means that the child would have to leave the UK because</w:t>
      </w:r>
      <w:r w:rsidR="002D119D" w:rsidRPr="002D119D">
        <w:rPr>
          <w:rFonts w:ascii="Book Antiqua" w:hAnsi="Book Antiqua" w:cs="Arial"/>
          <w:sz w:val="22"/>
          <w:szCs w:val="22"/>
        </w:rPr>
        <w:t>,</w:t>
      </w:r>
      <w:r w:rsidRPr="002D119D">
        <w:rPr>
          <w:rFonts w:ascii="Book Antiqua" w:hAnsi="Book Antiqua" w:cs="Arial"/>
          <w:sz w:val="22"/>
          <w:szCs w:val="22"/>
        </w:rPr>
        <w:t xml:space="preserve"> in practice</w:t>
      </w:r>
      <w:r w:rsidR="002D119D" w:rsidRPr="002D119D">
        <w:rPr>
          <w:rFonts w:ascii="Book Antiqua" w:hAnsi="Book Antiqua" w:cs="Arial"/>
          <w:sz w:val="22"/>
          <w:szCs w:val="22"/>
        </w:rPr>
        <w:t>,</w:t>
      </w:r>
      <w:r w:rsidRPr="002D119D">
        <w:rPr>
          <w:rFonts w:ascii="Book Antiqua" w:hAnsi="Book Antiqua" w:cs="Arial"/>
          <w:sz w:val="22"/>
          <w:szCs w:val="22"/>
        </w:rPr>
        <w:t xml:space="preserve"> </w:t>
      </w:r>
      <w:r w:rsidR="002D119D" w:rsidRPr="002D119D">
        <w:rPr>
          <w:rFonts w:ascii="Book Antiqua" w:hAnsi="Book Antiqua" w:cs="Arial"/>
          <w:sz w:val="22"/>
          <w:szCs w:val="22"/>
        </w:rPr>
        <w:t>the child</w:t>
      </w:r>
      <w:r w:rsidRPr="002D119D">
        <w:rPr>
          <w:rFonts w:ascii="Book Antiqua" w:hAnsi="Book Antiqua" w:cs="Arial"/>
          <w:sz w:val="22"/>
          <w:szCs w:val="22"/>
        </w:rPr>
        <w:t xml:space="preserve"> will not</w:t>
      </w:r>
      <w:r w:rsidR="002D119D" w:rsidRPr="002D119D">
        <w:rPr>
          <w:rFonts w:ascii="Book Antiqua" w:hAnsi="Book Antiqua" w:cs="Arial"/>
          <w:sz w:val="22"/>
          <w:szCs w:val="22"/>
        </w:rPr>
        <w:t>,</w:t>
      </w:r>
      <w:r w:rsidRPr="002D119D">
        <w:rPr>
          <w:rFonts w:ascii="Book Antiqua" w:hAnsi="Book Antiqua" w:cs="Arial"/>
          <w:sz w:val="22"/>
          <w:szCs w:val="22"/>
        </w:rPr>
        <w:t xml:space="preserve"> or is not likely to</w:t>
      </w:r>
      <w:r w:rsidR="002D119D" w:rsidRPr="002D119D">
        <w:rPr>
          <w:rFonts w:ascii="Book Antiqua" w:hAnsi="Book Antiqua" w:cs="Arial"/>
          <w:sz w:val="22"/>
          <w:szCs w:val="22"/>
        </w:rPr>
        <w:t>,</w:t>
      </w:r>
      <w:r w:rsidRPr="002D119D">
        <w:rPr>
          <w:rFonts w:ascii="Book Antiqua" w:hAnsi="Book Antiqua" w:cs="Arial"/>
          <w:sz w:val="22"/>
          <w:szCs w:val="22"/>
        </w:rPr>
        <w:t xml:space="preserve"> continue to live in the UK with another parent or primary carer</w:t>
      </w:r>
      <w:r w:rsidR="002D119D" w:rsidRPr="002D119D">
        <w:rPr>
          <w:rFonts w:ascii="Book Antiqua" w:hAnsi="Book Antiqua" w:cs="Arial"/>
          <w:sz w:val="22"/>
          <w:szCs w:val="22"/>
        </w:rPr>
        <w:t>,</w:t>
      </w:r>
      <w:r w:rsidRPr="002D119D">
        <w:rPr>
          <w:rFonts w:ascii="Book Antiqua" w:hAnsi="Book Antiqua" w:cs="Arial"/>
          <w:sz w:val="22"/>
          <w:szCs w:val="22"/>
        </w:rPr>
        <w:t xml:space="preserve"> EX.1(a) is likely to apply</w:t>
      </w:r>
      <w:r w:rsidR="002D119D" w:rsidRPr="002D119D">
        <w:rPr>
          <w:rFonts w:ascii="Book Antiqua" w:hAnsi="Book Antiqua" w:cs="Arial"/>
          <w:sz w:val="22"/>
          <w:szCs w:val="22"/>
        </w:rPr>
        <w:t>”</w:t>
      </w:r>
      <w:r w:rsidRPr="002D119D">
        <w:rPr>
          <w:rFonts w:ascii="Book Antiqua" w:hAnsi="Book Antiqua" w:cs="Arial"/>
          <w:sz w:val="22"/>
          <w:szCs w:val="22"/>
        </w:rPr>
        <w:t xml:space="preserve">.  </w:t>
      </w:r>
    </w:p>
    <w:p w:rsidR="002D119D" w:rsidRPr="00547127" w:rsidRDefault="00F0793A" w:rsidP="00547127">
      <w:pPr>
        <w:pStyle w:val="ListParagraph"/>
        <w:numPr>
          <w:ilvl w:val="0"/>
          <w:numId w:val="1"/>
        </w:numPr>
        <w:spacing w:before="240"/>
        <w:rPr>
          <w:rFonts w:ascii="Book Antiqua" w:hAnsi="Book Antiqua" w:cs="Arial"/>
        </w:rPr>
      </w:pPr>
      <w:r w:rsidRPr="00547127">
        <w:rPr>
          <w:rFonts w:ascii="Book Antiqua" w:hAnsi="Book Antiqua" w:cs="Arial"/>
        </w:rPr>
        <w:t>The guidance then goes on to consider the reasonableness of expecting an appellant to leave the UK where the consequence would be separation between the appellant and his child.  The guidance</w:t>
      </w:r>
      <w:r w:rsidR="00AB78D4" w:rsidRPr="00547127">
        <w:rPr>
          <w:rFonts w:ascii="Book Antiqua" w:hAnsi="Book Antiqua" w:cs="Arial"/>
        </w:rPr>
        <w:t xml:space="preserve"> relevant to these circumstances</w:t>
      </w:r>
      <w:r w:rsidRPr="00547127">
        <w:rPr>
          <w:rFonts w:ascii="Book Antiqua" w:hAnsi="Book Antiqua" w:cs="Arial"/>
        </w:rPr>
        <w:t xml:space="preserve"> states</w:t>
      </w:r>
      <w:r w:rsidR="002D119D" w:rsidRPr="00547127">
        <w:rPr>
          <w:rFonts w:ascii="Book Antiqua" w:hAnsi="Book Antiqua" w:cs="Arial"/>
        </w:rPr>
        <w:t>:</w:t>
      </w:r>
      <w:r w:rsidRPr="00547127">
        <w:rPr>
          <w:rFonts w:ascii="Book Antiqua" w:hAnsi="Book Antiqua" w:cs="Arial"/>
        </w:rPr>
        <w:t xml:space="preserve"> </w:t>
      </w:r>
    </w:p>
    <w:p w:rsidR="00F0793A" w:rsidRPr="002D119D" w:rsidRDefault="00F0793A" w:rsidP="002D119D">
      <w:pPr>
        <w:spacing w:before="240"/>
        <w:ind w:left="1134"/>
        <w:rPr>
          <w:rFonts w:ascii="Book Antiqua" w:hAnsi="Book Antiqua" w:cs="Arial"/>
          <w:sz w:val="22"/>
          <w:szCs w:val="22"/>
        </w:rPr>
      </w:pPr>
      <w:r w:rsidRPr="002D119D">
        <w:rPr>
          <w:rFonts w:ascii="Book Antiqua" w:hAnsi="Book Antiqua" w:cs="Arial"/>
          <w:sz w:val="22"/>
          <w:szCs w:val="22"/>
        </w:rPr>
        <w:lastRenderedPageBreak/>
        <w:t>“</w:t>
      </w:r>
      <w:r w:rsidR="002D119D" w:rsidRPr="002D119D">
        <w:rPr>
          <w:rFonts w:ascii="Book Antiqua" w:hAnsi="Book Antiqua" w:cs="Arial"/>
          <w:sz w:val="22"/>
          <w:szCs w:val="22"/>
        </w:rPr>
        <w:t xml:space="preserve">In </w:t>
      </w:r>
      <w:r w:rsidRPr="002D119D">
        <w:rPr>
          <w:rFonts w:ascii="Book Antiqua" w:hAnsi="Book Antiqua" w:cs="Arial"/>
          <w:sz w:val="22"/>
          <w:szCs w:val="22"/>
        </w:rPr>
        <w:t>particular circumstances it may be appropriate to refuse to grant leave to a parent or primary carer where the</w:t>
      </w:r>
      <w:r w:rsidR="002D119D" w:rsidRPr="002D119D">
        <w:rPr>
          <w:rFonts w:ascii="Book Antiqua" w:hAnsi="Book Antiqua" w:cs="Arial"/>
          <w:sz w:val="22"/>
          <w:szCs w:val="22"/>
        </w:rPr>
        <w:t>ir</w:t>
      </w:r>
      <w:r w:rsidRPr="002D119D">
        <w:rPr>
          <w:rFonts w:ascii="Book Antiqua" w:hAnsi="Book Antiqua" w:cs="Arial"/>
          <w:sz w:val="22"/>
          <w:szCs w:val="22"/>
        </w:rPr>
        <w:t xml:space="preserve"> conduct gives rise to public interest considerations of such weight as to justify their removal</w:t>
      </w:r>
      <w:r w:rsidR="002D119D" w:rsidRPr="002D119D">
        <w:rPr>
          <w:rFonts w:ascii="Book Antiqua" w:hAnsi="Book Antiqua" w:cs="Arial"/>
          <w:sz w:val="22"/>
          <w:szCs w:val="22"/>
        </w:rPr>
        <w:t>,</w:t>
      </w:r>
      <w:r w:rsidRPr="002D119D">
        <w:rPr>
          <w:rFonts w:ascii="Book Antiqua" w:hAnsi="Book Antiqua" w:cs="Arial"/>
          <w:sz w:val="22"/>
          <w:szCs w:val="22"/>
        </w:rPr>
        <w:t xml:space="preserve"> where the British citizen child could remain in the UK with another parent or alternative primary carer</w:t>
      </w:r>
      <w:r w:rsidR="002D119D" w:rsidRPr="002D119D">
        <w:rPr>
          <w:rFonts w:ascii="Book Antiqua" w:hAnsi="Book Antiqua" w:cs="Arial"/>
          <w:sz w:val="22"/>
          <w:szCs w:val="22"/>
        </w:rPr>
        <w:t>,</w:t>
      </w:r>
      <w:r w:rsidRPr="002D119D">
        <w:rPr>
          <w:rFonts w:ascii="Book Antiqua" w:hAnsi="Book Antiqua" w:cs="Arial"/>
          <w:sz w:val="22"/>
          <w:szCs w:val="22"/>
        </w:rPr>
        <w:t xml:space="preserve"> who is a British citizen or settled in the UK or </w:t>
      </w:r>
      <w:r w:rsidR="002D119D" w:rsidRPr="002D119D">
        <w:rPr>
          <w:rFonts w:ascii="Book Antiqua" w:hAnsi="Book Antiqua" w:cs="Arial"/>
          <w:sz w:val="22"/>
          <w:szCs w:val="22"/>
        </w:rPr>
        <w:t xml:space="preserve">who </w:t>
      </w:r>
      <w:r w:rsidRPr="002D119D">
        <w:rPr>
          <w:rFonts w:ascii="Book Antiqua" w:hAnsi="Book Antiqua" w:cs="Arial"/>
          <w:sz w:val="22"/>
          <w:szCs w:val="22"/>
        </w:rPr>
        <w:t>has or is being granted leave to remain.  The circumstances envisaged include those in which to grant leave could undermine our immigration controls</w:t>
      </w:r>
      <w:r w:rsidR="002D119D" w:rsidRPr="002D119D">
        <w:rPr>
          <w:rFonts w:ascii="Book Antiqua" w:hAnsi="Book Antiqua" w:cs="Arial"/>
          <w:sz w:val="22"/>
          <w:szCs w:val="22"/>
        </w:rPr>
        <w:t>,</w:t>
      </w:r>
      <w:r w:rsidRPr="002D119D">
        <w:rPr>
          <w:rFonts w:ascii="Book Antiqua" w:hAnsi="Book Antiqua" w:cs="Arial"/>
          <w:sz w:val="22"/>
          <w:szCs w:val="22"/>
        </w:rPr>
        <w:t xml:space="preserve"> for example the applicant has committed significant or persistent criminal offences falling below the threshold</w:t>
      </w:r>
      <w:r w:rsidR="002D119D" w:rsidRPr="002D119D">
        <w:rPr>
          <w:rFonts w:ascii="Book Antiqua" w:hAnsi="Book Antiqua" w:cs="Arial"/>
          <w:sz w:val="22"/>
          <w:szCs w:val="22"/>
        </w:rPr>
        <w:t>s</w:t>
      </w:r>
      <w:r w:rsidRPr="002D119D">
        <w:rPr>
          <w:rFonts w:ascii="Book Antiqua" w:hAnsi="Book Antiqua" w:cs="Arial"/>
          <w:sz w:val="22"/>
          <w:szCs w:val="22"/>
        </w:rPr>
        <w:t xml:space="preserve"> for deportation set out in paragraph 398 of the Immigration Rules or has a very poor immigration history</w:t>
      </w:r>
      <w:r w:rsidR="002D119D" w:rsidRPr="002D119D">
        <w:rPr>
          <w:rFonts w:ascii="Book Antiqua" w:hAnsi="Book Antiqua" w:cs="Arial"/>
          <w:sz w:val="22"/>
          <w:szCs w:val="22"/>
        </w:rPr>
        <w:t>,</w:t>
      </w:r>
      <w:r w:rsidRPr="002D119D">
        <w:rPr>
          <w:rFonts w:ascii="Book Antiqua" w:hAnsi="Book Antiqua" w:cs="Arial"/>
          <w:sz w:val="22"/>
          <w:szCs w:val="22"/>
        </w:rPr>
        <w:t xml:space="preserve"> having repeatedly and deliberately breached the Immigration Rules”.  </w:t>
      </w:r>
    </w:p>
    <w:p w:rsidR="00E5295A" w:rsidRPr="00E5295A" w:rsidRDefault="00F0793A" w:rsidP="00547127">
      <w:pPr>
        <w:pStyle w:val="ListParagraph"/>
        <w:numPr>
          <w:ilvl w:val="0"/>
          <w:numId w:val="1"/>
        </w:numPr>
        <w:spacing w:before="240"/>
        <w:rPr>
          <w:rFonts w:ascii="Book Antiqua" w:hAnsi="Book Antiqua" w:cs="Arial"/>
        </w:rPr>
      </w:pPr>
      <w:r w:rsidRPr="00547127">
        <w:rPr>
          <w:rFonts w:ascii="Book Antiqua" w:hAnsi="Book Antiqua" w:cs="Arial"/>
        </w:rPr>
        <w:t xml:space="preserve">The appellant has deliberately committed a very serious breach of the Immigration Rules by using deception to obtain an English language certificate.  </w:t>
      </w:r>
      <w:r w:rsidR="00C546E2" w:rsidRPr="00547127">
        <w:rPr>
          <w:rFonts w:ascii="Book Antiqua" w:hAnsi="Book Antiqua" w:cs="Arial"/>
        </w:rPr>
        <w:t>M</w:t>
      </w:r>
      <w:r w:rsidRPr="00547127">
        <w:rPr>
          <w:rFonts w:ascii="Book Antiqua" w:hAnsi="Book Antiqua" w:cs="Arial"/>
        </w:rPr>
        <w:t>r Bramble argued that this act is of sufficient gravity to place the appellant within the category of a</w:t>
      </w:r>
      <w:r w:rsidR="00E5295A">
        <w:rPr>
          <w:rFonts w:ascii="Book Antiqua" w:hAnsi="Book Antiqua" w:cs="Arial"/>
        </w:rPr>
        <w:t>pplicant envisaged by the guidance</w:t>
      </w:r>
      <w:r w:rsidRPr="00547127">
        <w:rPr>
          <w:rFonts w:ascii="Book Antiqua" w:hAnsi="Book Antiqua" w:cs="Arial"/>
        </w:rPr>
        <w:t xml:space="preserve"> as being someone who should be refused a grant of leave, notwithstanding that he has a British citizen child. Mr Mustafa argued that although the conduct of the appellant in</w:t>
      </w:r>
      <w:r w:rsidR="002301B9">
        <w:rPr>
          <w:rFonts w:ascii="Book Antiqua" w:hAnsi="Book Antiqua" w:cs="Arial"/>
        </w:rPr>
        <w:t xml:space="preserve"> using fraud is</w:t>
      </w:r>
      <w:r w:rsidRPr="00547127">
        <w:rPr>
          <w:rFonts w:ascii="Book Antiqua" w:hAnsi="Book Antiqua" w:cs="Arial"/>
        </w:rPr>
        <w:t xml:space="preserve"> a serious matter, it does not rise to the level contemplated by the policy.  I agree with Mr Mustafa</w:t>
      </w:r>
      <w:r w:rsidR="002D119D" w:rsidRPr="00547127">
        <w:rPr>
          <w:rFonts w:ascii="Book Antiqua" w:hAnsi="Book Antiqua" w:cs="Arial"/>
        </w:rPr>
        <w:t>.  T</w:t>
      </w:r>
      <w:r w:rsidRPr="00547127">
        <w:rPr>
          <w:rFonts w:ascii="Book Antiqua" w:hAnsi="Book Antiqua" w:cs="Arial"/>
        </w:rPr>
        <w:t xml:space="preserve">he </w:t>
      </w:r>
      <w:r w:rsidR="002301B9">
        <w:rPr>
          <w:rFonts w:ascii="Book Antiqua" w:hAnsi="Book Antiqua" w:cs="Arial"/>
        </w:rPr>
        <w:t xml:space="preserve">guidance </w:t>
      </w:r>
      <w:r w:rsidRPr="00547127">
        <w:rPr>
          <w:rFonts w:ascii="Book Antiqua" w:hAnsi="Book Antiqua" w:cs="Arial"/>
        </w:rPr>
        <w:t>refers to the commission of significant or persistent criminal offences.  Although the appellant committed a crime, he is not a persistent criminal and notwithstanding the significance of what he has done it does not consti</w:t>
      </w:r>
      <w:r w:rsidR="002301B9">
        <w:rPr>
          <w:rFonts w:ascii="Book Antiqua" w:hAnsi="Book Antiqua" w:cs="Arial"/>
        </w:rPr>
        <w:t>tute a significant crime.  The guidance</w:t>
      </w:r>
      <w:r w:rsidRPr="00547127">
        <w:rPr>
          <w:rFonts w:ascii="Book Antiqua" w:hAnsi="Book Antiqua" w:cs="Arial"/>
        </w:rPr>
        <w:t xml:space="preserve"> also refers to someone who has “repeatedly</w:t>
      </w:r>
      <w:r w:rsidRPr="00547127">
        <w:rPr>
          <w:rFonts w:ascii="Book Antiqua" w:hAnsi="Book Antiqua" w:cs="Arial"/>
          <w:b/>
          <w:u w:val="single"/>
        </w:rPr>
        <w:t xml:space="preserve"> and</w:t>
      </w:r>
      <w:r w:rsidRPr="00547127">
        <w:rPr>
          <w:rFonts w:ascii="Book Antiqua" w:hAnsi="Book Antiqua" w:cs="Arial"/>
        </w:rPr>
        <w:t xml:space="preserve"> deliberately breached the Immigration Rules”. </w:t>
      </w:r>
      <w:r w:rsidR="00E5295A">
        <w:rPr>
          <w:rFonts w:ascii="Book Antiqua" w:hAnsi="Book Antiqua" w:cs="Arial"/>
        </w:rPr>
        <w:t>The appellant deliberately breached the Rules, but only on one occasion.</w:t>
      </w:r>
      <w:r w:rsidRPr="00547127">
        <w:rPr>
          <w:rFonts w:ascii="Book Antiqua" w:hAnsi="Book Antiqua" w:cs="Arial"/>
        </w:rPr>
        <w:t xml:space="preserve"> </w:t>
      </w:r>
      <w:r w:rsidR="00547127">
        <w:rPr>
          <w:rFonts w:ascii="Book Antiqua" w:hAnsi="Book Antiqua" w:cs="Arial"/>
        </w:rPr>
        <w:t>Accordingly, I am satisfied that r</w:t>
      </w:r>
      <w:r w:rsidR="00C546E2" w:rsidRPr="00547127">
        <w:rPr>
          <w:rFonts w:ascii="Book Antiqua" w:hAnsi="Book Antiqua" w:cs="Arial"/>
        </w:rPr>
        <w:t>emoval of appellant is not consistent with the</w:t>
      </w:r>
      <w:r w:rsidR="00547127">
        <w:rPr>
          <w:rFonts w:ascii="Book Antiqua" w:hAnsi="Book Antiqua" w:cs="Arial"/>
        </w:rPr>
        <w:t xml:space="preserve"> respondent’s own </w:t>
      </w:r>
      <w:r w:rsidR="00E5295A">
        <w:rPr>
          <w:rFonts w:ascii="Book Antiqua" w:hAnsi="Book Antiqua" w:cs="Arial"/>
        </w:rPr>
        <w:t xml:space="preserve">guidance. As explained in </w:t>
      </w:r>
      <w:r w:rsidR="00E5295A" w:rsidRPr="00E5295A">
        <w:rPr>
          <w:rFonts w:ascii="Book Antiqua" w:hAnsi="Book Antiqua" w:cs="Arial"/>
          <w:i/>
        </w:rPr>
        <w:t>SF and others</w:t>
      </w:r>
      <w:r w:rsidR="00E5295A" w:rsidRPr="00E5295A">
        <w:rPr>
          <w:rFonts w:ascii="Book Antiqua" w:hAnsi="Book Antiqua" w:cs="Arial"/>
        </w:rPr>
        <w:t xml:space="preserve"> (Guidance, post-2014 Act) Albania [2017] UKUT 00120(IAC) at paragraph 12:</w:t>
      </w:r>
    </w:p>
    <w:p w:rsidR="00547127" w:rsidRPr="00E5295A" w:rsidRDefault="00E5295A" w:rsidP="00E5295A">
      <w:pPr>
        <w:spacing w:before="240"/>
        <w:ind w:left="1134"/>
        <w:rPr>
          <w:rFonts w:ascii="Book Antiqua" w:hAnsi="Book Antiqua" w:cs="Arial"/>
          <w:sz w:val="22"/>
          <w:szCs w:val="22"/>
        </w:rPr>
      </w:pPr>
      <w:r w:rsidRPr="00E5295A">
        <w:rPr>
          <w:rFonts w:ascii="Book Antiqua" w:hAnsi="Book Antiqua" w:cs="Arial"/>
          <w:sz w:val="22"/>
          <w:szCs w:val="22"/>
        </w:rPr>
        <w:t>On occasion, perhaps where it has more information than the Secretary of State had or might have had, or perhaps if a case is exceptional, the Tribunal may find a reason for departing from such guidance. But where there is clear guidance which covers a case where an assessment has to be made, and where the guidance clearly demonstrates what the outcome of the assessment would have been made by the Secretary of State, it would, we think, be the normal practice for the Tribunal to take such guidance into account and to apply it in assessing the same consideration in a case that came before it.</w:t>
      </w:r>
    </w:p>
    <w:p w:rsidR="00547127" w:rsidRPr="00E5295A" w:rsidRDefault="002301B9" w:rsidP="00547127">
      <w:pPr>
        <w:pStyle w:val="ListParagraph"/>
        <w:numPr>
          <w:ilvl w:val="0"/>
          <w:numId w:val="1"/>
        </w:numPr>
        <w:spacing w:before="240"/>
        <w:rPr>
          <w:rFonts w:ascii="Book Antiqua" w:hAnsi="Book Antiqua" w:cs="Arial"/>
        </w:rPr>
      </w:pPr>
      <w:r>
        <w:rPr>
          <w:rFonts w:ascii="Book Antiqua" w:hAnsi="Book Antiqua" w:cs="Arial"/>
        </w:rPr>
        <w:t xml:space="preserve">Applying </w:t>
      </w:r>
      <w:r w:rsidR="00E5295A">
        <w:rPr>
          <w:rFonts w:ascii="Book Antiqua" w:hAnsi="Book Antiqua" w:cs="Arial"/>
        </w:rPr>
        <w:t xml:space="preserve">the respondent’s guidance, </w:t>
      </w:r>
      <w:r w:rsidR="00E5295A" w:rsidRPr="00E5295A">
        <w:rPr>
          <w:rFonts w:ascii="Book Antiqua" w:hAnsi="Book Antiqua" w:cs="Arial"/>
        </w:rPr>
        <w:t xml:space="preserve">this is a case where it would be unreasonable to expect the appellant’s </w:t>
      </w:r>
      <w:r w:rsidR="00126548">
        <w:rPr>
          <w:rFonts w:ascii="Book Antiqua" w:hAnsi="Book Antiqua" w:cs="Arial"/>
        </w:rPr>
        <w:t xml:space="preserve">son to leave the United Kingdom and therefore, under </w:t>
      </w:r>
      <w:r w:rsidR="00307F42">
        <w:rPr>
          <w:rFonts w:ascii="Book Antiqua" w:hAnsi="Book Antiqua" w:cs="Arial"/>
        </w:rPr>
        <w:t>section 117</w:t>
      </w:r>
      <w:proofErr w:type="gramStart"/>
      <w:r w:rsidR="00307F42">
        <w:rPr>
          <w:rFonts w:ascii="Book Antiqua" w:hAnsi="Book Antiqua" w:cs="Arial"/>
        </w:rPr>
        <w:t>B(</w:t>
      </w:r>
      <w:proofErr w:type="gramEnd"/>
      <w:r w:rsidR="00307F42">
        <w:rPr>
          <w:rFonts w:ascii="Book Antiqua" w:hAnsi="Book Antiqua" w:cs="Arial"/>
        </w:rPr>
        <w:t>6)</w:t>
      </w:r>
      <w:r w:rsidR="00126548">
        <w:rPr>
          <w:rFonts w:ascii="Book Antiqua" w:hAnsi="Book Antiqua" w:cs="Arial"/>
        </w:rPr>
        <w:t>,</w:t>
      </w:r>
      <w:r w:rsidR="00307F42">
        <w:rPr>
          <w:rFonts w:ascii="Book Antiqua" w:hAnsi="Book Antiqua" w:cs="Arial"/>
        </w:rPr>
        <w:t xml:space="preserve"> the public interest does not require the appellant</w:t>
      </w:r>
      <w:r w:rsidR="00126548">
        <w:rPr>
          <w:rFonts w:ascii="Book Antiqua" w:hAnsi="Book Antiqua" w:cs="Arial"/>
        </w:rPr>
        <w:t xml:space="preserve">’s removal. As the public interest does not require the appellant’s removal, his removal would be a disproportionate interference with his, and his family’s, right to respect for their family life under Article 8 ECHR. </w:t>
      </w:r>
      <w:r w:rsidR="00E5295A" w:rsidRPr="00E5295A">
        <w:rPr>
          <w:rFonts w:ascii="Book Antiqua" w:hAnsi="Book Antiqua" w:cs="Arial"/>
        </w:rPr>
        <w:t>I therefore set aside the decision of the First-tier Tribunal and substitute a decision allowing the appeal.</w:t>
      </w:r>
    </w:p>
    <w:p w:rsidR="00E5295A" w:rsidRPr="00E5295A" w:rsidRDefault="00E5295A" w:rsidP="00E5295A">
      <w:pPr>
        <w:spacing w:before="240"/>
        <w:rPr>
          <w:rFonts w:ascii="Book Antiqua" w:hAnsi="Book Antiqua" w:cs="Arial"/>
          <w:b/>
        </w:rPr>
      </w:pPr>
      <w:r w:rsidRPr="00E5295A">
        <w:rPr>
          <w:rFonts w:ascii="Book Antiqua" w:hAnsi="Book Antiqua" w:cs="Arial"/>
          <w:b/>
        </w:rPr>
        <w:t>Decision</w:t>
      </w:r>
    </w:p>
    <w:p w:rsidR="00DE6D93" w:rsidRDefault="00E5295A" w:rsidP="00DE6D93">
      <w:pPr>
        <w:numPr>
          <w:ilvl w:val="1"/>
          <w:numId w:val="1"/>
        </w:numPr>
        <w:spacing w:before="240"/>
        <w:rPr>
          <w:rFonts w:ascii="Book Antiqua" w:hAnsi="Book Antiqua" w:cs="Arial"/>
        </w:rPr>
      </w:pPr>
      <w:r>
        <w:rPr>
          <w:rFonts w:ascii="Book Antiqua" w:hAnsi="Book Antiqua" w:cs="Arial"/>
        </w:rPr>
        <w:t>T</w:t>
      </w:r>
      <w:r w:rsidR="00DE6D93">
        <w:rPr>
          <w:rFonts w:ascii="Book Antiqua" w:hAnsi="Book Antiqua" w:cs="Arial"/>
        </w:rPr>
        <w:t>he decision of the First-tier Tribunal contains a materia</w:t>
      </w:r>
      <w:r>
        <w:rPr>
          <w:rFonts w:ascii="Book Antiqua" w:hAnsi="Book Antiqua" w:cs="Arial"/>
        </w:rPr>
        <w:t>l error of law and is set aside.</w:t>
      </w:r>
    </w:p>
    <w:p w:rsidR="00DE6D93" w:rsidRDefault="00DE6D93" w:rsidP="00DE6D93">
      <w:pPr>
        <w:numPr>
          <w:ilvl w:val="1"/>
          <w:numId w:val="1"/>
        </w:numPr>
        <w:spacing w:before="240"/>
        <w:rPr>
          <w:rFonts w:ascii="Book Antiqua" w:hAnsi="Book Antiqua" w:cs="Arial"/>
        </w:rPr>
      </w:pPr>
      <w:r>
        <w:rPr>
          <w:rFonts w:ascii="Book Antiqua" w:hAnsi="Book Antiqua" w:cs="Arial"/>
        </w:rPr>
        <w:lastRenderedPageBreak/>
        <w:t xml:space="preserve">I re-make the decision by allowing the appellant’s appeal.  </w:t>
      </w:r>
    </w:p>
    <w:p w:rsidR="00D949B7" w:rsidRPr="00D949B7" w:rsidRDefault="00D949B7" w:rsidP="00273201">
      <w:pPr>
        <w:rPr>
          <w:rFonts w:ascii="Book Antiqua" w:hAnsi="Book Antiqua" w:cs="Arial"/>
        </w:rPr>
      </w:pPr>
    </w:p>
    <w:p w:rsidR="001F2716" w:rsidRPr="009B7433" w:rsidRDefault="001F2716" w:rsidP="00273201">
      <w:pPr>
        <w:rPr>
          <w:rFonts w:ascii="Book Antiqua" w:hAnsi="Book Antiqua" w:cs="Arial"/>
        </w:rPr>
      </w:pPr>
    </w:p>
    <w:p w:rsidR="00F613A5" w:rsidRDefault="00F613A5" w:rsidP="00273201">
      <w:pPr>
        <w:rPr>
          <w:rFonts w:ascii="Book Antiqua" w:hAnsi="Book Antiqua" w:cs="Arial"/>
          <w:color w:val="000000"/>
        </w:rPr>
      </w:pPr>
    </w:p>
    <w:tbl>
      <w:tblPr>
        <w:tblW w:w="0" w:type="auto"/>
        <w:tblLook w:val="01E0" w:firstRow="1" w:lastRow="1" w:firstColumn="1" w:lastColumn="1" w:noHBand="0" w:noVBand="0"/>
      </w:tblPr>
      <w:tblGrid>
        <w:gridCol w:w="4817"/>
        <w:gridCol w:w="4821"/>
      </w:tblGrid>
      <w:tr w:rsidR="00E5295A" w:rsidRPr="00B53DCC" w:rsidTr="00E5295A">
        <w:trPr>
          <w:trHeight w:val="277"/>
        </w:trPr>
        <w:tc>
          <w:tcPr>
            <w:tcW w:w="4916" w:type="dxa"/>
          </w:tcPr>
          <w:p w:rsidR="00E5295A" w:rsidRDefault="00E5295A" w:rsidP="00E5295A">
            <w:pPr>
              <w:tabs>
                <w:tab w:val="left" w:pos="2520"/>
              </w:tabs>
              <w:rPr>
                <w:rFonts w:ascii="Book Antiqua" w:hAnsi="Book Antiqua" w:cs="Arial"/>
              </w:rPr>
            </w:pPr>
          </w:p>
          <w:p w:rsidR="00E5295A" w:rsidRPr="00B53DCC" w:rsidRDefault="00E5295A" w:rsidP="00E5295A">
            <w:pPr>
              <w:tabs>
                <w:tab w:val="left" w:pos="2520"/>
              </w:tabs>
              <w:rPr>
                <w:rFonts w:ascii="Book Antiqua" w:hAnsi="Book Antiqua" w:cs="Arial"/>
              </w:rPr>
            </w:pPr>
            <w:r w:rsidRPr="00B53DCC">
              <w:rPr>
                <w:rFonts w:ascii="Book Antiqua" w:hAnsi="Book Antiqua" w:cs="Arial"/>
              </w:rPr>
              <w:t>Signed</w:t>
            </w:r>
          </w:p>
          <w:p w:rsidR="00E5295A" w:rsidRPr="00B53DCC" w:rsidRDefault="00E5295A" w:rsidP="00E5295A">
            <w:pPr>
              <w:tabs>
                <w:tab w:val="left" w:pos="2520"/>
              </w:tabs>
              <w:rPr>
                <w:rFonts w:ascii="Book Antiqua" w:hAnsi="Book Antiqua" w:cs="Arial"/>
              </w:rPr>
            </w:pPr>
            <w:r>
              <w:rPr>
                <w:rFonts w:ascii="Book Antiqua" w:hAnsi="Book Antiqua" w:cs="Arial"/>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3"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pic:spPr>
                      </pic:pic>
                    </a:graphicData>
                  </a:graphic>
                </wp:anchor>
              </w:drawing>
            </w:r>
          </w:p>
          <w:p w:rsidR="00E5295A" w:rsidRPr="00B53DCC" w:rsidRDefault="00E5295A" w:rsidP="00E5295A">
            <w:pPr>
              <w:tabs>
                <w:tab w:val="left" w:pos="2520"/>
              </w:tabs>
              <w:rPr>
                <w:rFonts w:ascii="Book Antiqua" w:hAnsi="Book Antiqua" w:cs="Arial"/>
              </w:rPr>
            </w:pPr>
          </w:p>
        </w:tc>
        <w:tc>
          <w:tcPr>
            <w:tcW w:w="4916" w:type="dxa"/>
          </w:tcPr>
          <w:p w:rsidR="00E5295A" w:rsidRPr="00B53DCC" w:rsidRDefault="00E5295A" w:rsidP="00E5295A">
            <w:pPr>
              <w:tabs>
                <w:tab w:val="left" w:pos="2520"/>
              </w:tabs>
              <w:rPr>
                <w:rFonts w:ascii="Book Antiqua" w:hAnsi="Book Antiqua" w:cs="Arial"/>
              </w:rPr>
            </w:pPr>
          </w:p>
        </w:tc>
      </w:tr>
      <w:tr w:rsidR="00E5295A" w:rsidRPr="00B53DCC" w:rsidTr="00E5295A">
        <w:trPr>
          <w:trHeight w:val="1383"/>
        </w:trPr>
        <w:tc>
          <w:tcPr>
            <w:tcW w:w="4916" w:type="dxa"/>
          </w:tcPr>
          <w:p w:rsidR="00E5295A" w:rsidRDefault="00E5295A" w:rsidP="00E5295A">
            <w:pPr>
              <w:tabs>
                <w:tab w:val="left" w:pos="2520"/>
              </w:tabs>
              <w:rPr>
                <w:rFonts w:ascii="Book Antiqua" w:hAnsi="Book Antiqua" w:cs="Arial"/>
              </w:rPr>
            </w:pPr>
          </w:p>
          <w:p w:rsidR="00E5295A" w:rsidRPr="00B53DCC" w:rsidRDefault="00E5295A" w:rsidP="00E5295A">
            <w:pPr>
              <w:tabs>
                <w:tab w:val="left" w:pos="2520"/>
              </w:tabs>
              <w:rPr>
                <w:rFonts w:ascii="Book Antiqua" w:hAnsi="Book Antiqua" w:cs="Arial"/>
              </w:rPr>
            </w:pPr>
            <w:r w:rsidRPr="00B53DCC">
              <w:rPr>
                <w:rFonts w:ascii="Book Antiqua" w:hAnsi="Book Antiqua" w:cs="Arial"/>
              </w:rPr>
              <w:t>Deputy Upper Tribunal Judge Sheridan</w:t>
            </w:r>
          </w:p>
        </w:tc>
        <w:tc>
          <w:tcPr>
            <w:tcW w:w="4916" w:type="dxa"/>
          </w:tcPr>
          <w:p w:rsidR="00E5295A" w:rsidRPr="00B53DCC" w:rsidRDefault="00E5295A" w:rsidP="00E5295A">
            <w:pPr>
              <w:tabs>
                <w:tab w:val="left" w:pos="2520"/>
              </w:tabs>
              <w:rPr>
                <w:rFonts w:ascii="Book Antiqua" w:hAnsi="Book Antiqua" w:cs="Arial"/>
              </w:rPr>
            </w:pPr>
          </w:p>
          <w:p w:rsidR="00E5295A" w:rsidRDefault="00E5295A" w:rsidP="00E5295A">
            <w:pPr>
              <w:tabs>
                <w:tab w:val="left" w:pos="2520"/>
              </w:tabs>
              <w:rPr>
                <w:rFonts w:ascii="Book Antiqua" w:hAnsi="Book Antiqua" w:cs="Arial"/>
              </w:rPr>
            </w:pPr>
            <w:r w:rsidRPr="00B53DCC">
              <w:rPr>
                <w:rFonts w:ascii="Book Antiqua" w:hAnsi="Book Antiqua" w:cs="Arial"/>
              </w:rPr>
              <w:t>Dated</w:t>
            </w:r>
            <w:r>
              <w:rPr>
                <w:rFonts w:ascii="Book Antiqua" w:hAnsi="Book Antiqua" w:cs="Arial"/>
              </w:rPr>
              <w:t xml:space="preserve">: 11 September </w:t>
            </w:r>
            <w:r w:rsidRPr="00B53DCC">
              <w:rPr>
                <w:rFonts w:ascii="Book Antiqua" w:hAnsi="Book Antiqua" w:cs="Arial"/>
              </w:rPr>
              <w:t>201</w:t>
            </w:r>
            <w:r>
              <w:rPr>
                <w:rFonts w:ascii="Book Antiqua" w:hAnsi="Book Antiqua" w:cs="Arial"/>
              </w:rPr>
              <w:t>8</w:t>
            </w:r>
          </w:p>
          <w:p w:rsidR="001E0207" w:rsidRDefault="001E0207" w:rsidP="00E5295A">
            <w:pPr>
              <w:tabs>
                <w:tab w:val="left" w:pos="2520"/>
              </w:tabs>
              <w:rPr>
                <w:rFonts w:ascii="Book Antiqua" w:hAnsi="Book Antiqua" w:cs="Arial"/>
              </w:rPr>
            </w:pPr>
          </w:p>
          <w:p w:rsidR="001E0207" w:rsidRDefault="001E0207" w:rsidP="00E5295A">
            <w:pPr>
              <w:tabs>
                <w:tab w:val="left" w:pos="2520"/>
              </w:tabs>
              <w:rPr>
                <w:rFonts w:ascii="Book Antiqua" w:hAnsi="Book Antiqua" w:cs="Arial"/>
              </w:rPr>
            </w:pPr>
          </w:p>
          <w:p w:rsidR="001E0207" w:rsidRDefault="001E0207" w:rsidP="00E5295A">
            <w:pPr>
              <w:tabs>
                <w:tab w:val="left" w:pos="2520"/>
              </w:tabs>
              <w:rPr>
                <w:rFonts w:ascii="Book Antiqua" w:hAnsi="Book Antiqua" w:cs="Arial"/>
              </w:rPr>
            </w:pPr>
          </w:p>
          <w:p w:rsidR="001E0207" w:rsidRDefault="001E0207" w:rsidP="00E5295A">
            <w:pPr>
              <w:tabs>
                <w:tab w:val="left" w:pos="2520"/>
              </w:tabs>
              <w:rPr>
                <w:rFonts w:ascii="Book Antiqua" w:hAnsi="Book Antiqua" w:cs="Arial"/>
              </w:rPr>
            </w:pPr>
          </w:p>
          <w:p w:rsidR="001E0207" w:rsidRPr="00B53DCC" w:rsidRDefault="001E0207" w:rsidP="00E5295A">
            <w:pPr>
              <w:tabs>
                <w:tab w:val="left" w:pos="2520"/>
              </w:tabs>
              <w:rPr>
                <w:rFonts w:ascii="Book Antiqua" w:hAnsi="Book Antiqua" w:cs="Arial"/>
              </w:rPr>
            </w:pPr>
          </w:p>
        </w:tc>
      </w:tr>
    </w:tbl>
    <w:p w:rsidR="00F613A5" w:rsidRDefault="00F613A5" w:rsidP="00273201">
      <w:pPr>
        <w:rPr>
          <w:rFonts w:ascii="Book Antiqua" w:hAnsi="Book Antiqua" w:cs="Arial"/>
          <w:b/>
          <w:u w:val="single"/>
        </w:rPr>
      </w:pPr>
    </w:p>
    <w:p w:rsidR="00B95326" w:rsidRPr="009B7433" w:rsidRDefault="00B95326" w:rsidP="001E0207">
      <w:pPr>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F42" w:rsidRDefault="00307F42">
      <w:r>
        <w:separator/>
      </w:r>
    </w:p>
  </w:endnote>
  <w:endnote w:type="continuationSeparator" w:id="0">
    <w:p w:rsidR="00307F42" w:rsidRDefault="00307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F42" w:rsidRPr="009B7433" w:rsidRDefault="00307F42"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5C669D">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F42" w:rsidRPr="009B7433" w:rsidRDefault="00307F42"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F42" w:rsidRDefault="00307F42">
      <w:r>
        <w:separator/>
      </w:r>
    </w:p>
  </w:footnote>
  <w:footnote w:type="continuationSeparator" w:id="0">
    <w:p w:rsidR="00307F42" w:rsidRDefault="00307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F42" w:rsidRPr="009B7433" w:rsidRDefault="00307F42"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HU/14234/2016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F42" w:rsidRPr="009B7433" w:rsidRDefault="00307F42">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16CFB55-612C-45B7-8A8B-E130CB8B7D04}"/>
    <w:docVar w:name="dgnword-eventsink" w:val="131503800"/>
  </w:docVars>
  <w:rsids>
    <w:rsidRoot w:val="009E307A"/>
    <w:rsid w:val="00000621"/>
    <w:rsid w:val="000036C2"/>
    <w:rsid w:val="00016C1A"/>
    <w:rsid w:val="00031E02"/>
    <w:rsid w:val="00033588"/>
    <w:rsid w:val="00033D3D"/>
    <w:rsid w:val="0004776F"/>
    <w:rsid w:val="00052895"/>
    <w:rsid w:val="00062F02"/>
    <w:rsid w:val="00071A7E"/>
    <w:rsid w:val="000746C0"/>
    <w:rsid w:val="00074D1D"/>
    <w:rsid w:val="00092580"/>
    <w:rsid w:val="00093D4D"/>
    <w:rsid w:val="000A0743"/>
    <w:rsid w:val="000D5D94"/>
    <w:rsid w:val="000F1A0E"/>
    <w:rsid w:val="001165A7"/>
    <w:rsid w:val="00126548"/>
    <w:rsid w:val="00154595"/>
    <w:rsid w:val="0016508E"/>
    <w:rsid w:val="00167D3A"/>
    <w:rsid w:val="00173F50"/>
    <w:rsid w:val="00185986"/>
    <w:rsid w:val="001A0C72"/>
    <w:rsid w:val="001A3082"/>
    <w:rsid w:val="001A3252"/>
    <w:rsid w:val="001B186A"/>
    <w:rsid w:val="001B2F75"/>
    <w:rsid w:val="001C6F5F"/>
    <w:rsid w:val="001D6167"/>
    <w:rsid w:val="001E0207"/>
    <w:rsid w:val="001E5726"/>
    <w:rsid w:val="001F2716"/>
    <w:rsid w:val="001F3AC0"/>
    <w:rsid w:val="00207617"/>
    <w:rsid w:val="002301B9"/>
    <w:rsid w:val="0023134B"/>
    <w:rsid w:val="00273201"/>
    <w:rsid w:val="00283659"/>
    <w:rsid w:val="002902DB"/>
    <w:rsid w:val="002C6BD4"/>
    <w:rsid w:val="002D119D"/>
    <w:rsid w:val="002D68BF"/>
    <w:rsid w:val="002E4541"/>
    <w:rsid w:val="002F6B98"/>
    <w:rsid w:val="00307F42"/>
    <w:rsid w:val="00336CBF"/>
    <w:rsid w:val="00343FE3"/>
    <w:rsid w:val="003546C8"/>
    <w:rsid w:val="00357822"/>
    <w:rsid w:val="0037777D"/>
    <w:rsid w:val="003825D4"/>
    <w:rsid w:val="003A7CF2"/>
    <w:rsid w:val="003C5CE5"/>
    <w:rsid w:val="003D25F1"/>
    <w:rsid w:val="003D60DD"/>
    <w:rsid w:val="003D6FAD"/>
    <w:rsid w:val="003E267B"/>
    <w:rsid w:val="003E7CD1"/>
    <w:rsid w:val="00402B9E"/>
    <w:rsid w:val="004249CB"/>
    <w:rsid w:val="0044127D"/>
    <w:rsid w:val="004448DB"/>
    <w:rsid w:val="00446C9A"/>
    <w:rsid w:val="00446F1E"/>
    <w:rsid w:val="00452F2B"/>
    <w:rsid w:val="00477193"/>
    <w:rsid w:val="004A1848"/>
    <w:rsid w:val="004A2D15"/>
    <w:rsid w:val="004A534C"/>
    <w:rsid w:val="004A6F4A"/>
    <w:rsid w:val="004B70D7"/>
    <w:rsid w:val="004D6B45"/>
    <w:rsid w:val="004E0963"/>
    <w:rsid w:val="004E4717"/>
    <w:rsid w:val="004F2676"/>
    <w:rsid w:val="004F2FFD"/>
    <w:rsid w:val="00507FEC"/>
    <w:rsid w:val="00510F0E"/>
    <w:rsid w:val="00547127"/>
    <w:rsid w:val="005479E1"/>
    <w:rsid w:val="00553028"/>
    <w:rsid w:val="00553E0A"/>
    <w:rsid w:val="005570FD"/>
    <w:rsid w:val="005575EA"/>
    <w:rsid w:val="0057790C"/>
    <w:rsid w:val="00593795"/>
    <w:rsid w:val="005A75FF"/>
    <w:rsid w:val="005C669D"/>
    <w:rsid w:val="005D10AB"/>
    <w:rsid w:val="00601D8F"/>
    <w:rsid w:val="00605582"/>
    <w:rsid w:val="00611F34"/>
    <w:rsid w:val="00621FE8"/>
    <w:rsid w:val="006434B6"/>
    <w:rsid w:val="00653E97"/>
    <w:rsid w:val="006667DB"/>
    <w:rsid w:val="00684A74"/>
    <w:rsid w:val="0068620A"/>
    <w:rsid w:val="00690B8A"/>
    <w:rsid w:val="006B4AB3"/>
    <w:rsid w:val="006C2FB8"/>
    <w:rsid w:val="006F2CF1"/>
    <w:rsid w:val="007038ED"/>
    <w:rsid w:val="00703BC3"/>
    <w:rsid w:val="00704B61"/>
    <w:rsid w:val="00715A64"/>
    <w:rsid w:val="007217D8"/>
    <w:rsid w:val="00740C1F"/>
    <w:rsid w:val="007552A9"/>
    <w:rsid w:val="0075658A"/>
    <w:rsid w:val="00761858"/>
    <w:rsid w:val="00767D59"/>
    <w:rsid w:val="00776E97"/>
    <w:rsid w:val="00780F86"/>
    <w:rsid w:val="007845C5"/>
    <w:rsid w:val="007912AD"/>
    <w:rsid w:val="007B0824"/>
    <w:rsid w:val="007B5D3C"/>
    <w:rsid w:val="00805322"/>
    <w:rsid w:val="00815011"/>
    <w:rsid w:val="00821B72"/>
    <w:rsid w:val="0082229E"/>
    <w:rsid w:val="00823EF2"/>
    <w:rsid w:val="008303B8"/>
    <w:rsid w:val="00833DCE"/>
    <w:rsid w:val="00833E86"/>
    <w:rsid w:val="00871D34"/>
    <w:rsid w:val="008A10F2"/>
    <w:rsid w:val="008A25EC"/>
    <w:rsid w:val="008A6059"/>
    <w:rsid w:val="008B17FF"/>
    <w:rsid w:val="008B270C"/>
    <w:rsid w:val="008B5078"/>
    <w:rsid w:val="008C3D3D"/>
    <w:rsid w:val="008D4131"/>
    <w:rsid w:val="008F1932"/>
    <w:rsid w:val="0090151B"/>
    <w:rsid w:val="009042A9"/>
    <w:rsid w:val="00921062"/>
    <w:rsid w:val="009304D6"/>
    <w:rsid w:val="00936004"/>
    <w:rsid w:val="009722BC"/>
    <w:rsid w:val="009727A3"/>
    <w:rsid w:val="00987774"/>
    <w:rsid w:val="00994A5A"/>
    <w:rsid w:val="009A11E8"/>
    <w:rsid w:val="009B7433"/>
    <w:rsid w:val="009C57C8"/>
    <w:rsid w:val="009D348A"/>
    <w:rsid w:val="009E307A"/>
    <w:rsid w:val="009F5220"/>
    <w:rsid w:val="00A07919"/>
    <w:rsid w:val="00A15234"/>
    <w:rsid w:val="00A172F5"/>
    <w:rsid w:val="00A201AB"/>
    <w:rsid w:val="00A31C8B"/>
    <w:rsid w:val="00A509FA"/>
    <w:rsid w:val="00A63266"/>
    <w:rsid w:val="00A845DC"/>
    <w:rsid w:val="00A879DA"/>
    <w:rsid w:val="00AB78D4"/>
    <w:rsid w:val="00B26AA2"/>
    <w:rsid w:val="00B3524D"/>
    <w:rsid w:val="00B40F69"/>
    <w:rsid w:val="00B46616"/>
    <w:rsid w:val="00B528BB"/>
    <w:rsid w:val="00B7040A"/>
    <w:rsid w:val="00B83391"/>
    <w:rsid w:val="00B95326"/>
    <w:rsid w:val="00BD4196"/>
    <w:rsid w:val="00BF22CA"/>
    <w:rsid w:val="00BF23BB"/>
    <w:rsid w:val="00C037BF"/>
    <w:rsid w:val="00C26032"/>
    <w:rsid w:val="00C345E1"/>
    <w:rsid w:val="00C3752F"/>
    <w:rsid w:val="00C43BFD"/>
    <w:rsid w:val="00C546E2"/>
    <w:rsid w:val="00C6048A"/>
    <w:rsid w:val="00CB6E35"/>
    <w:rsid w:val="00CE09B1"/>
    <w:rsid w:val="00CE1A46"/>
    <w:rsid w:val="00D05EA6"/>
    <w:rsid w:val="00D20757"/>
    <w:rsid w:val="00D22636"/>
    <w:rsid w:val="00D34971"/>
    <w:rsid w:val="00D40FD9"/>
    <w:rsid w:val="00D53769"/>
    <w:rsid w:val="00D6602D"/>
    <w:rsid w:val="00D85C13"/>
    <w:rsid w:val="00D9111A"/>
    <w:rsid w:val="00D91BE3"/>
    <w:rsid w:val="00D949B7"/>
    <w:rsid w:val="00D94AFC"/>
    <w:rsid w:val="00DB70AE"/>
    <w:rsid w:val="00DD5071"/>
    <w:rsid w:val="00DD5C39"/>
    <w:rsid w:val="00DE6D93"/>
    <w:rsid w:val="00DE7DB7"/>
    <w:rsid w:val="00E00A0A"/>
    <w:rsid w:val="00E05AD9"/>
    <w:rsid w:val="00E066DE"/>
    <w:rsid w:val="00E07F57"/>
    <w:rsid w:val="00E30683"/>
    <w:rsid w:val="00E42107"/>
    <w:rsid w:val="00E453D8"/>
    <w:rsid w:val="00E50BCE"/>
    <w:rsid w:val="00E5295A"/>
    <w:rsid w:val="00E574BF"/>
    <w:rsid w:val="00E61292"/>
    <w:rsid w:val="00E77C4D"/>
    <w:rsid w:val="00E81D01"/>
    <w:rsid w:val="00EB485A"/>
    <w:rsid w:val="00EC5FC8"/>
    <w:rsid w:val="00EE45D8"/>
    <w:rsid w:val="00F0793A"/>
    <w:rsid w:val="00F22EDA"/>
    <w:rsid w:val="00F40176"/>
    <w:rsid w:val="00F470D6"/>
    <w:rsid w:val="00F5589A"/>
    <w:rsid w:val="00F613A5"/>
    <w:rsid w:val="00FA5E9A"/>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2F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547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2246</Words>
  <Characters>10933</Characters>
  <Application>Microsoft Office Word</Application>
  <DocSecurity>0</DocSecurity>
  <Lines>91</Lines>
  <Paragraphs>26</Paragraphs>
  <ScaleCrop>false</ScaleCrop>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2018-10-02T14:15:00Z</dcterms:created>
  <dcterms:modified xsi:type="dcterms:W3CDTF">2018-10-02T14:15:00Z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