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8E2" w:rsidRPr="00E140EF" w:rsidRDefault="008725BD" w:rsidP="007A58E2">
      <w:pPr>
        <w:spacing w:after="0" w:line="240" w:lineRule="auto"/>
        <w:jc w:val="center"/>
        <w:rPr>
          <w:rFonts w:cs="Arial"/>
          <w:color w:val="000000"/>
          <w:sz w:val="16"/>
          <w:szCs w:val="16"/>
          <w:lang w:eastAsia="en-GB"/>
        </w:rPr>
      </w:pPr>
      <w:r w:rsidRPr="00E140EF">
        <w:rPr>
          <w:rFonts w:ascii="Times New Roman" w:hAnsi="Times New Roman"/>
          <w:noProof/>
          <w:sz w:val="16"/>
          <w:szCs w:val="16"/>
          <w:lang w:eastAsia="en-GB"/>
        </w:rPr>
        <w:drawing>
          <wp:inline distT="0" distB="0" distL="0" distR="0">
            <wp:extent cx="1454150" cy="11112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3" b="-7669"/>
                    <a:stretch>
                      <a:fillRect/>
                    </a:stretch>
                  </pic:blipFill>
                  <pic:spPr bwMode="auto">
                    <a:xfrm>
                      <a:off x="0" y="0"/>
                      <a:ext cx="1454150" cy="1111250"/>
                    </a:xfrm>
                    <a:prstGeom prst="rect">
                      <a:avLst/>
                    </a:prstGeom>
                    <a:noFill/>
                    <a:ln>
                      <a:noFill/>
                    </a:ln>
                  </pic:spPr>
                </pic:pic>
              </a:graphicData>
            </a:graphic>
          </wp:inline>
        </w:drawing>
      </w:r>
    </w:p>
    <w:p w:rsidR="00E140EF" w:rsidRPr="00E140EF" w:rsidRDefault="00E140EF" w:rsidP="00E140EF">
      <w:pPr>
        <w:spacing w:after="0" w:line="240" w:lineRule="auto"/>
        <w:rPr>
          <w:rFonts w:cs="Arial"/>
          <w:color w:val="000000"/>
          <w:sz w:val="16"/>
          <w:szCs w:val="16"/>
          <w:lang w:eastAsia="en-GB"/>
        </w:rPr>
      </w:pPr>
    </w:p>
    <w:p w:rsidR="007A58E2" w:rsidRPr="00B07E0B" w:rsidRDefault="007A58E2" w:rsidP="007A58E2">
      <w:pPr>
        <w:tabs>
          <w:tab w:val="right" w:pos="9720"/>
        </w:tabs>
        <w:spacing w:after="0" w:line="240" w:lineRule="auto"/>
        <w:ind w:right="-82"/>
        <w:rPr>
          <w:rFonts w:cs="Arial"/>
          <w:b/>
          <w:color w:val="000000"/>
          <w:szCs w:val="24"/>
          <w:lang w:eastAsia="en-GB"/>
        </w:rPr>
      </w:pPr>
      <w:r w:rsidRPr="00B07E0B">
        <w:rPr>
          <w:rFonts w:cs="Arial"/>
          <w:b/>
          <w:color w:val="000000"/>
          <w:szCs w:val="24"/>
          <w:lang w:eastAsia="en-GB"/>
        </w:rPr>
        <w:t xml:space="preserve">Upper Tribunal </w:t>
      </w:r>
    </w:p>
    <w:p w:rsidR="002E0433" w:rsidRDefault="007A58E2" w:rsidP="007A58E2">
      <w:pPr>
        <w:tabs>
          <w:tab w:val="right" w:pos="9720"/>
        </w:tabs>
        <w:spacing w:after="0" w:line="240" w:lineRule="auto"/>
        <w:ind w:right="-82"/>
        <w:rPr>
          <w:rFonts w:cs="Arial"/>
          <w:caps/>
          <w:color w:val="000000"/>
          <w:szCs w:val="24"/>
          <w:lang w:eastAsia="en-GB"/>
        </w:rPr>
      </w:pPr>
      <w:r w:rsidRPr="00B07E0B">
        <w:rPr>
          <w:rFonts w:cs="Arial"/>
          <w:b/>
          <w:color w:val="000000"/>
          <w:szCs w:val="24"/>
          <w:lang w:eastAsia="en-GB"/>
        </w:rPr>
        <w:t>(Immigration and Asylum Chamber)</w:t>
      </w:r>
      <w:r w:rsidRPr="00B07E0B">
        <w:rPr>
          <w:rFonts w:cs="Arial"/>
          <w:b/>
          <w:color w:val="000000"/>
          <w:szCs w:val="24"/>
          <w:lang w:eastAsia="en-GB"/>
        </w:rPr>
        <w:tab/>
      </w:r>
      <w:r w:rsidRPr="00B07E0B">
        <w:rPr>
          <w:rFonts w:cs="Arial"/>
          <w:color w:val="000000"/>
          <w:szCs w:val="24"/>
          <w:lang w:eastAsia="en-GB"/>
        </w:rPr>
        <w:t xml:space="preserve">Appeal Number: </w:t>
      </w:r>
      <w:r>
        <w:rPr>
          <w:rFonts w:cs="Arial"/>
          <w:color w:val="000000"/>
          <w:szCs w:val="24"/>
          <w:lang w:eastAsia="en-GB"/>
        </w:rPr>
        <w:t xml:space="preserve"> </w:t>
      </w:r>
      <w:bookmarkStart w:id="0" w:name="_Hlk523474455"/>
      <w:bookmarkStart w:id="1" w:name="_GoBack"/>
      <w:r>
        <w:rPr>
          <w:rFonts w:cs="Arial"/>
          <w:color w:val="000000"/>
          <w:szCs w:val="24"/>
          <w:lang w:eastAsia="en-GB"/>
        </w:rPr>
        <w:t>HU</w:t>
      </w:r>
      <w:r w:rsidRPr="00B07E0B">
        <w:rPr>
          <w:rFonts w:cs="Arial"/>
          <w:caps/>
          <w:color w:val="000000"/>
          <w:szCs w:val="24"/>
          <w:lang w:eastAsia="en-GB"/>
        </w:rPr>
        <w:t>/</w:t>
      </w:r>
      <w:r w:rsidR="00612104">
        <w:rPr>
          <w:rFonts w:cs="Arial"/>
          <w:caps/>
          <w:color w:val="000000"/>
          <w:szCs w:val="24"/>
          <w:lang w:eastAsia="en-GB"/>
        </w:rPr>
        <w:t>14318</w:t>
      </w:r>
      <w:r w:rsidR="00A83082">
        <w:rPr>
          <w:rFonts w:cs="Arial"/>
          <w:caps/>
          <w:color w:val="000000"/>
          <w:szCs w:val="24"/>
          <w:lang w:eastAsia="en-GB"/>
        </w:rPr>
        <w:t>/</w:t>
      </w:r>
      <w:r w:rsidR="002E0433">
        <w:rPr>
          <w:rFonts w:cs="Arial"/>
          <w:caps/>
          <w:color w:val="000000"/>
          <w:szCs w:val="24"/>
          <w:lang w:eastAsia="en-GB"/>
        </w:rPr>
        <w:t>2016</w:t>
      </w:r>
      <w:bookmarkEnd w:id="1"/>
    </w:p>
    <w:p w:rsidR="002E0433" w:rsidRDefault="002E0433" w:rsidP="002E0433">
      <w:pPr>
        <w:tabs>
          <w:tab w:val="right" w:pos="9720"/>
        </w:tabs>
        <w:spacing w:after="0" w:line="240" w:lineRule="auto"/>
        <w:ind w:right="-82"/>
        <w:jc w:val="right"/>
        <w:rPr>
          <w:rFonts w:cs="Arial"/>
          <w:caps/>
          <w:color w:val="000000"/>
          <w:szCs w:val="24"/>
          <w:lang w:eastAsia="en-GB"/>
        </w:rPr>
      </w:pPr>
      <w:r>
        <w:rPr>
          <w:rFonts w:cs="Arial"/>
          <w:caps/>
          <w:color w:val="000000"/>
          <w:szCs w:val="24"/>
          <w:lang w:eastAsia="en-GB"/>
        </w:rPr>
        <w:t>HU/143</w:t>
      </w:r>
      <w:r w:rsidR="00A83082">
        <w:rPr>
          <w:rFonts w:cs="Arial"/>
          <w:caps/>
          <w:color w:val="000000"/>
          <w:szCs w:val="24"/>
          <w:lang w:eastAsia="en-GB"/>
        </w:rPr>
        <w:t>24/</w:t>
      </w:r>
      <w:r>
        <w:rPr>
          <w:rFonts w:cs="Arial"/>
          <w:caps/>
          <w:color w:val="000000"/>
          <w:szCs w:val="24"/>
          <w:lang w:eastAsia="en-GB"/>
        </w:rPr>
        <w:t>2016</w:t>
      </w:r>
    </w:p>
    <w:p w:rsidR="002E0433" w:rsidRDefault="002E0433" w:rsidP="002E0433">
      <w:pPr>
        <w:tabs>
          <w:tab w:val="right" w:pos="9720"/>
        </w:tabs>
        <w:spacing w:after="0" w:line="240" w:lineRule="auto"/>
        <w:ind w:right="-82"/>
        <w:jc w:val="right"/>
        <w:rPr>
          <w:rFonts w:cs="Arial"/>
          <w:caps/>
          <w:color w:val="000000"/>
          <w:szCs w:val="24"/>
          <w:lang w:eastAsia="en-GB"/>
        </w:rPr>
      </w:pPr>
      <w:r>
        <w:rPr>
          <w:rFonts w:cs="Arial"/>
          <w:caps/>
          <w:color w:val="000000"/>
          <w:szCs w:val="24"/>
          <w:lang w:eastAsia="en-GB"/>
        </w:rPr>
        <w:t>HU/143</w:t>
      </w:r>
      <w:r w:rsidR="00A83082">
        <w:rPr>
          <w:rFonts w:cs="Arial"/>
          <w:caps/>
          <w:color w:val="000000"/>
          <w:szCs w:val="24"/>
          <w:lang w:eastAsia="en-GB"/>
        </w:rPr>
        <w:t>30/</w:t>
      </w:r>
      <w:r>
        <w:rPr>
          <w:rFonts w:cs="Arial"/>
          <w:caps/>
          <w:color w:val="000000"/>
          <w:szCs w:val="24"/>
          <w:lang w:eastAsia="en-GB"/>
        </w:rPr>
        <w:t>2016</w:t>
      </w:r>
    </w:p>
    <w:p w:rsidR="007A58E2" w:rsidRDefault="002E0433" w:rsidP="002E0433">
      <w:pPr>
        <w:tabs>
          <w:tab w:val="right" w:pos="9720"/>
        </w:tabs>
        <w:spacing w:after="0" w:line="240" w:lineRule="auto"/>
        <w:ind w:right="-82"/>
        <w:jc w:val="right"/>
        <w:rPr>
          <w:rFonts w:cs="Arial"/>
          <w:caps/>
          <w:color w:val="000000"/>
          <w:szCs w:val="24"/>
          <w:lang w:eastAsia="en-GB"/>
        </w:rPr>
      </w:pPr>
      <w:r>
        <w:rPr>
          <w:rFonts w:cs="Arial"/>
          <w:caps/>
          <w:color w:val="000000"/>
          <w:szCs w:val="24"/>
          <w:lang w:eastAsia="en-GB"/>
        </w:rPr>
        <w:t>HU/143</w:t>
      </w:r>
      <w:r w:rsidR="00A83082">
        <w:rPr>
          <w:rFonts w:cs="Arial"/>
          <w:caps/>
          <w:color w:val="000000"/>
          <w:szCs w:val="24"/>
          <w:lang w:eastAsia="en-GB"/>
        </w:rPr>
        <w:t>33</w:t>
      </w:r>
      <w:r w:rsidR="007A58E2" w:rsidRPr="00B07E0B">
        <w:rPr>
          <w:rFonts w:cs="Arial"/>
          <w:caps/>
          <w:color w:val="000000"/>
          <w:szCs w:val="24"/>
          <w:lang w:eastAsia="en-GB"/>
        </w:rPr>
        <w:t>/201</w:t>
      </w:r>
      <w:r w:rsidR="00612104">
        <w:rPr>
          <w:rFonts w:cs="Arial"/>
          <w:caps/>
          <w:color w:val="000000"/>
          <w:szCs w:val="24"/>
          <w:lang w:eastAsia="en-GB"/>
        </w:rPr>
        <w:t>6</w:t>
      </w:r>
    </w:p>
    <w:bookmarkEnd w:id="0"/>
    <w:p w:rsidR="007A58E2" w:rsidRDefault="007A58E2" w:rsidP="00E140EF">
      <w:pPr>
        <w:tabs>
          <w:tab w:val="right" w:pos="9720"/>
        </w:tabs>
        <w:spacing w:after="0" w:line="240" w:lineRule="auto"/>
        <w:ind w:right="-82"/>
        <w:jc w:val="center"/>
        <w:rPr>
          <w:rFonts w:cs="Arial"/>
          <w:color w:val="000000"/>
          <w:szCs w:val="24"/>
          <w:lang w:eastAsia="en-GB"/>
        </w:rPr>
      </w:pPr>
    </w:p>
    <w:p w:rsidR="00E140EF" w:rsidRPr="00B07E0B" w:rsidRDefault="00E140EF" w:rsidP="00E140EF">
      <w:pPr>
        <w:tabs>
          <w:tab w:val="right" w:pos="9720"/>
        </w:tabs>
        <w:spacing w:after="0" w:line="240" w:lineRule="auto"/>
        <w:ind w:right="-82"/>
        <w:jc w:val="center"/>
        <w:rPr>
          <w:rFonts w:cs="Arial"/>
          <w:color w:val="000000"/>
          <w:szCs w:val="24"/>
          <w:lang w:eastAsia="en-GB"/>
        </w:rPr>
      </w:pPr>
    </w:p>
    <w:p w:rsidR="007A58E2" w:rsidRPr="00B07E0B" w:rsidRDefault="007A58E2" w:rsidP="00E140EF">
      <w:pPr>
        <w:spacing w:after="0" w:line="240" w:lineRule="auto"/>
        <w:jc w:val="center"/>
        <w:rPr>
          <w:rFonts w:cs="Arial"/>
          <w:b/>
          <w:color w:val="000000"/>
          <w:szCs w:val="24"/>
          <w:u w:val="single"/>
          <w:lang w:eastAsia="en-GB"/>
        </w:rPr>
      </w:pPr>
      <w:r w:rsidRPr="00B07E0B">
        <w:rPr>
          <w:rFonts w:cs="Arial"/>
          <w:b/>
          <w:color w:val="000000"/>
          <w:szCs w:val="24"/>
          <w:u w:val="single"/>
          <w:lang w:eastAsia="en-GB"/>
        </w:rPr>
        <w:t>THE IMMIGRATION ACTS</w:t>
      </w:r>
    </w:p>
    <w:p w:rsidR="007A58E2" w:rsidRPr="00B07E0B" w:rsidRDefault="007A58E2" w:rsidP="00E140EF">
      <w:pPr>
        <w:spacing w:after="0" w:line="240" w:lineRule="auto"/>
        <w:jc w:val="center"/>
        <w:rPr>
          <w:rFonts w:cs="Arial"/>
          <w:b/>
          <w:szCs w:val="24"/>
          <w:u w:val="single"/>
          <w:lang w:eastAsia="en-GB"/>
        </w:rPr>
      </w:pPr>
    </w:p>
    <w:p w:rsidR="007A58E2" w:rsidRPr="00C94884" w:rsidRDefault="007A58E2" w:rsidP="00E140EF">
      <w:pPr>
        <w:spacing w:after="0" w:line="240" w:lineRule="auto"/>
        <w:jc w:val="center"/>
        <w:rPr>
          <w:rFonts w:cs="Arial"/>
          <w:szCs w:val="24"/>
          <w:u w:val="single"/>
          <w:lang w:eastAsia="en-GB"/>
        </w:rPr>
      </w:pPr>
    </w:p>
    <w:tbl>
      <w:tblPr>
        <w:tblW w:w="5000" w:type="pct"/>
        <w:tblLook w:val="01E0" w:firstRow="1" w:lastRow="1" w:firstColumn="1" w:lastColumn="1" w:noHBand="0" w:noVBand="0"/>
      </w:tblPr>
      <w:tblGrid>
        <w:gridCol w:w="4819"/>
        <w:gridCol w:w="4819"/>
      </w:tblGrid>
      <w:tr w:rsidR="007A58E2" w:rsidRPr="00E140EF" w:rsidTr="00E140EF">
        <w:tc>
          <w:tcPr>
            <w:tcW w:w="2500" w:type="pct"/>
          </w:tcPr>
          <w:p w:rsidR="007A58E2" w:rsidRPr="00E140EF" w:rsidRDefault="007A58E2" w:rsidP="009268D9">
            <w:pPr>
              <w:spacing w:after="0" w:line="240" w:lineRule="auto"/>
              <w:jc w:val="both"/>
              <w:rPr>
                <w:rFonts w:cs="Arial"/>
                <w:szCs w:val="24"/>
                <w:lang w:eastAsia="en-GB"/>
              </w:rPr>
            </w:pPr>
            <w:r w:rsidRPr="00E140EF">
              <w:rPr>
                <w:rFonts w:cs="Arial"/>
                <w:szCs w:val="24"/>
                <w:lang w:eastAsia="en-GB"/>
              </w:rPr>
              <w:t xml:space="preserve">Heard at Field House </w:t>
            </w:r>
          </w:p>
        </w:tc>
        <w:tc>
          <w:tcPr>
            <w:tcW w:w="2500" w:type="pct"/>
          </w:tcPr>
          <w:p w:rsidR="007A58E2" w:rsidRPr="00E140EF" w:rsidRDefault="007A58E2" w:rsidP="00E140EF">
            <w:pPr>
              <w:spacing w:after="0" w:line="240" w:lineRule="auto"/>
              <w:jc w:val="right"/>
              <w:rPr>
                <w:rFonts w:cs="Arial"/>
                <w:color w:val="000000"/>
                <w:szCs w:val="24"/>
                <w:lang w:eastAsia="en-GB"/>
              </w:rPr>
            </w:pPr>
            <w:r w:rsidRPr="00E140EF">
              <w:rPr>
                <w:rFonts w:cs="Arial"/>
                <w:color w:val="000000"/>
                <w:szCs w:val="24"/>
                <w:lang w:eastAsia="en-GB"/>
              </w:rPr>
              <w:t>De</w:t>
            </w:r>
            <w:r w:rsidR="00C94884" w:rsidRPr="00E140EF">
              <w:rPr>
                <w:rFonts w:cs="Arial"/>
                <w:color w:val="000000"/>
                <w:szCs w:val="24"/>
                <w:lang w:eastAsia="en-GB"/>
              </w:rPr>
              <w:t>cision and Reasons</w:t>
            </w:r>
            <w:r w:rsidRPr="00E140EF">
              <w:rPr>
                <w:rFonts w:cs="Arial"/>
                <w:color w:val="000000"/>
                <w:szCs w:val="24"/>
                <w:lang w:eastAsia="en-GB"/>
              </w:rPr>
              <w:t xml:space="preserve"> Promulgated</w:t>
            </w:r>
          </w:p>
        </w:tc>
      </w:tr>
      <w:tr w:rsidR="007A58E2" w:rsidRPr="00E140EF" w:rsidTr="00E140EF">
        <w:tc>
          <w:tcPr>
            <w:tcW w:w="2500" w:type="pct"/>
          </w:tcPr>
          <w:p w:rsidR="007A58E2" w:rsidRPr="00E140EF" w:rsidRDefault="007A58E2" w:rsidP="009268D9">
            <w:pPr>
              <w:spacing w:after="0" w:line="240" w:lineRule="auto"/>
              <w:jc w:val="both"/>
              <w:rPr>
                <w:rFonts w:cs="Arial"/>
                <w:szCs w:val="24"/>
                <w:lang w:eastAsia="en-GB"/>
              </w:rPr>
            </w:pPr>
            <w:r w:rsidRPr="00E140EF">
              <w:rPr>
                <w:rFonts w:cs="Arial"/>
                <w:szCs w:val="24"/>
                <w:lang w:eastAsia="en-GB"/>
              </w:rPr>
              <w:t>On 9 August 2018</w:t>
            </w:r>
          </w:p>
        </w:tc>
        <w:tc>
          <w:tcPr>
            <w:tcW w:w="2500" w:type="pct"/>
          </w:tcPr>
          <w:p w:rsidR="007A58E2" w:rsidRPr="00E140EF" w:rsidRDefault="00C94884" w:rsidP="00E140EF">
            <w:pPr>
              <w:spacing w:after="0" w:line="240" w:lineRule="auto"/>
              <w:jc w:val="right"/>
              <w:rPr>
                <w:rFonts w:cs="Arial"/>
                <w:szCs w:val="24"/>
                <w:lang w:eastAsia="en-GB"/>
              </w:rPr>
            </w:pPr>
            <w:r w:rsidRPr="00E140EF">
              <w:rPr>
                <w:rFonts w:cs="Arial"/>
                <w:szCs w:val="24"/>
                <w:lang w:eastAsia="en-GB"/>
              </w:rPr>
              <w:t xml:space="preserve">On 4 September 2018  </w:t>
            </w:r>
          </w:p>
        </w:tc>
      </w:tr>
      <w:tr w:rsidR="007A58E2" w:rsidRPr="00E140EF" w:rsidTr="00E140EF">
        <w:tc>
          <w:tcPr>
            <w:tcW w:w="2500" w:type="pct"/>
          </w:tcPr>
          <w:p w:rsidR="007A58E2" w:rsidRPr="00E140EF" w:rsidRDefault="007A58E2" w:rsidP="009268D9">
            <w:pPr>
              <w:spacing w:after="0" w:line="240" w:lineRule="auto"/>
              <w:jc w:val="both"/>
              <w:rPr>
                <w:rFonts w:cs="Arial"/>
                <w:b/>
                <w:szCs w:val="24"/>
                <w:lang w:eastAsia="en-GB"/>
              </w:rPr>
            </w:pPr>
          </w:p>
        </w:tc>
        <w:tc>
          <w:tcPr>
            <w:tcW w:w="2500" w:type="pct"/>
          </w:tcPr>
          <w:p w:rsidR="007A58E2" w:rsidRPr="00E140EF" w:rsidRDefault="007A58E2" w:rsidP="00E140EF">
            <w:pPr>
              <w:spacing w:after="0" w:line="240" w:lineRule="auto"/>
              <w:jc w:val="right"/>
              <w:rPr>
                <w:rFonts w:cs="Arial"/>
                <w:b/>
                <w:szCs w:val="24"/>
                <w:lang w:eastAsia="en-GB"/>
              </w:rPr>
            </w:pPr>
          </w:p>
        </w:tc>
      </w:tr>
    </w:tbl>
    <w:p w:rsidR="007A58E2" w:rsidRPr="00B07E0B" w:rsidRDefault="007A58E2" w:rsidP="007A58E2">
      <w:pPr>
        <w:spacing w:after="0" w:line="240" w:lineRule="auto"/>
        <w:jc w:val="center"/>
        <w:rPr>
          <w:rFonts w:cs="Arial"/>
          <w:sz w:val="22"/>
          <w:lang w:eastAsia="en-GB"/>
        </w:rPr>
      </w:pPr>
    </w:p>
    <w:p w:rsidR="007A58E2" w:rsidRPr="00B07E0B" w:rsidRDefault="007A58E2" w:rsidP="007A58E2">
      <w:pPr>
        <w:spacing w:after="0" w:line="240" w:lineRule="auto"/>
        <w:jc w:val="center"/>
        <w:rPr>
          <w:rFonts w:cs="Arial"/>
          <w:b/>
          <w:szCs w:val="24"/>
          <w:lang w:eastAsia="en-GB"/>
        </w:rPr>
      </w:pPr>
      <w:r w:rsidRPr="00B07E0B">
        <w:rPr>
          <w:rFonts w:cs="Arial"/>
          <w:b/>
          <w:szCs w:val="24"/>
          <w:lang w:eastAsia="en-GB"/>
        </w:rPr>
        <w:t>Before</w:t>
      </w:r>
    </w:p>
    <w:p w:rsidR="007A58E2" w:rsidRPr="00B07E0B" w:rsidRDefault="007A58E2" w:rsidP="007A58E2">
      <w:pPr>
        <w:spacing w:after="0" w:line="240" w:lineRule="auto"/>
        <w:jc w:val="center"/>
        <w:rPr>
          <w:rFonts w:cs="Arial"/>
          <w:b/>
          <w:szCs w:val="24"/>
          <w:lang w:eastAsia="en-GB"/>
        </w:rPr>
      </w:pPr>
    </w:p>
    <w:p w:rsidR="007A58E2" w:rsidRPr="00B07E0B" w:rsidRDefault="007A58E2" w:rsidP="007A58E2">
      <w:pPr>
        <w:spacing w:after="0" w:line="240" w:lineRule="auto"/>
        <w:jc w:val="center"/>
        <w:rPr>
          <w:rFonts w:cs="Arial"/>
          <w:b/>
          <w:color w:val="000000"/>
          <w:szCs w:val="24"/>
          <w:lang w:eastAsia="en-GB"/>
        </w:rPr>
      </w:pPr>
      <w:r w:rsidRPr="00B07E0B">
        <w:rPr>
          <w:rFonts w:cs="Arial"/>
          <w:b/>
          <w:color w:val="000000"/>
          <w:szCs w:val="24"/>
          <w:lang w:eastAsia="en-GB"/>
        </w:rPr>
        <w:t xml:space="preserve">UPPER TRIBUNAL JUDGE KEKIĆ  </w:t>
      </w:r>
    </w:p>
    <w:p w:rsidR="007A58E2" w:rsidRPr="00B07E0B" w:rsidRDefault="007A58E2" w:rsidP="007A58E2">
      <w:pPr>
        <w:spacing w:after="0" w:line="240" w:lineRule="auto"/>
        <w:jc w:val="center"/>
        <w:rPr>
          <w:rFonts w:cs="Arial"/>
          <w:b/>
          <w:color w:val="000000"/>
          <w:szCs w:val="24"/>
          <w:lang w:eastAsia="en-GB"/>
        </w:rPr>
      </w:pPr>
    </w:p>
    <w:p w:rsidR="007A58E2" w:rsidRPr="00B07E0B" w:rsidRDefault="007A58E2" w:rsidP="007A58E2">
      <w:pPr>
        <w:spacing w:after="0" w:line="240" w:lineRule="auto"/>
        <w:jc w:val="center"/>
        <w:rPr>
          <w:rFonts w:cs="Arial"/>
          <w:b/>
          <w:szCs w:val="24"/>
          <w:lang w:eastAsia="en-GB"/>
        </w:rPr>
      </w:pPr>
    </w:p>
    <w:p w:rsidR="007A58E2" w:rsidRPr="00B07E0B" w:rsidRDefault="007A58E2" w:rsidP="007A58E2">
      <w:pPr>
        <w:spacing w:after="0" w:line="240" w:lineRule="auto"/>
        <w:jc w:val="center"/>
        <w:rPr>
          <w:rFonts w:cs="Arial"/>
          <w:b/>
          <w:szCs w:val="24"/>
          <w:lang w:eastAsia="en-GB"/>
        </w:rPr>
      </w:pPr>
      <w:r w:rsidRPr="00B07E0B">
        <w:rPr>
          <w:rFonts w:cs="Arial"/>
          <w:b/>
          <w:szCs w:val="24"/>
          <w:lang w:eastAsia="en-GB"/>
        </w:rPr>
        <w:t>Between</w:t>
      </w:r>
    </w:p>
    <w:p w:rsidR="007A58E2" w:rsidRPr="00B07E0B" w:rsidRDefault="007A58E2" w:rsidP="007A58E2">
      <w:pPr>
        <w:spacing w:after="0" w:line="240" w:lineRule="auto"/>
        <w:jc w:val="center"/>
        <w:rPr>
          <w:rFonts w:cs="Arial"/>
          <w:b/>
          <w:szCs w:val="24"/>
          <w:lang w:eastAsia="en-GB"/>
        </w:rPr>
      </w:pPr>
    </w:p>
    <w:p w:rsidR="007A58E2" w:rsidRDefault="007A58E2" w:rsidP="007A58E2">
      <w:pPr>
        <w:spacing w:after="0" w:line="240" w:lineRule="auto"/>
        <w:jc w:val="center"/>
        <w:rPr>
          <w:rFonts w:cs="Arial"/>
          <w:b/>
          <w:caps/>
          <w:szCs w:val="24"/>
          <w:lang w:eastAsia="en-GB"/>
        </w:rPr>
      </w:pPr>
      <w:r>
        <w:rPr>
          <w:rFonts w:cs="Arial"/>
          <w:b/>
          <w:caps/>
          <w:szCs w:val="24"/>
          <w:lang w:eastAsia="en-GB"/>
        </w:rPr>
        <w:t>W s</w:t>
      </w:r>
      <w:r w:rsidR="008725BD">
        <w:rPr>
          <w:rFonts w:cs="Arial"/>
          <w:b/>
          <w:caps/>
          <w:szCs w:val="24"/>
          <w:lang w:eastAsia="en-GB"/>
        </w:rPr>
        <w:t xml:space="preserve"> </w:t>
      </w:r>
      <w:proofErr w:type="gramStart"/>
      <w:r w:rsidR="008725BD">
        <w:rPr>
          <w:rFonts w:cs="Arial"/>
          <w:b/>
          <w:caps/>
          <w:szCs w:val="24"/>
          <w:lang w:eastAsia="en-GB"/>
        </w:rPr>
        <w:t>a</w:t>
      </w:r>
      <w:proofErr w:type="gramEnd"/>
      <w:r>
        <w:rPr>
          <w:rFonts w:cs="Arial"/>
          <w:b/>
          <w:caps/>
          <w:szCs w:val="24"/>
          <w:lang w:eastAsia="en-GB"/>
        </w:rPr>
        <w:t xml:space="preserve"> s</w:t>
      </w:r>
    </w:p>
    <w:p w:rsidR="007A58E2" w:rsidRDefault="007A58E2" w:rsidP="007A58E2">
      <w:pPr>
        <w:spacing w:after="0" w:line="240" w:lineRule="auto"/>
        <w:jc w:val="center"/>
        <w:rPr>
          <w:rFonts w:cs="Arial"/>
          <w:b/>
          <w:caps/>
          <w:szCs w:val="24"/>
          <w:lang w:eastAsia="en-GB"/>
        </w:rPr>
      </w:pPr>
      <w:r>
        <w:rPr>
          <w:rFonts w:cs="Arial"/>
          <w:b/>
          <w:caps/>
          <w:szCs w:val="24"/>
          <w:lang w:eastAsia="en-GB"/>
        </w:rPr>
        <w:t>j t</w:t>
      </w:r>
    </w:p>
    <w:p w:rsidR="007A58E2" w:rsidRDefault="007A58E2" w:rsidP="007A58E2">
      <w:pPr>
        <w:spacing w:after="0" w:line="240" w:lineRule="auto"/>
        <w:jc w:val="center"/>
        <w:rPr>
          <w:rFonts w:cs="Arial"/>
          <w:b/>
          <w:caps/>
          <w:szCs w:val="24"/>
          <w:lang w:eastAsia="en-GB"/>
        </w:rPr>
      </w:pPr>
      <w:r>
        <w:rPr>
          <w:rFonts w:cs="Arial"/>
          <w:b/>
          <w:caps/>
          <w:szCs w:val="24"/>
          <w:lang w:eastAsia="en-GB"/>
        </w:rPr>
        <w:t xml:space="preserve">t </w:t>
      </w:r>
      <w:proofErr w:type="spellStart"/>
      <w:r>
        <w:rPr>
          <w:rFonts w:cs="Arial"/>
          <w:b/>
          <w:caps/>
          <w:szCs w:val="24"/>
          <w:lang w:eastAsia="en-GB"/>
        </w:rPr>
        <w:t>t</w:t>
      </w:r>
      <w:proofErr w:type="spellEnd"/>
    </w:p>
    <w:p w:rsidR="007A58E2" w:rsidRPr="00B07E0B" w:rsidRDefault="007A58E2" w:rsidP="007A58E2">
      <w:pPr>
        <w:spacing w:after="0" w:line="240" w:lineRule="auto"/>
        <w:jc w:val="center"/>
        <w:rPr>
          <w:rFonts w:cs="Arial"/>
          <w:b/>
          <w:caps/>
          <w:szCs w:val="24"/>
          <w:lang w:eastAsia="en-GB"/>
        </w:rPr>
      </w:pPr>
      <w:r>
        <w:rPr>
          <w:rFonts w:cs="Arial"/>
          <w:b/>
          <w:caps/>
          <w:szCs w:val="24"/>
          <w:lang w:eastAsia="en-GB"/>
        </w:rPr>
        <w:t>s</w:t>
      </w:r>
      <w:r w:rsidR="008725BD">
        <w:rPr>
          <w:rFonts w:cs="Arial"/>
          <w:b/>
          <w:caps/>
          <w:szCs w:val="24"/>
          <w:lang w:eastAsia="en-GB"/>
        </w:rPr>
        <w:t xml:space="preserve"> </w:t>
      </w:r>
      <w:r>
        <w:rPr>
          <w:rFonts w:cs="Arial"/>
          <w:b/>
          <w:caps/>
          <w:szCs w:val="24"/>
          <w:lang w:eastAsia="en-GB"/>
        </w:rPr>
        <w:t>t</w:t>
      </w:r>
      <w:r w:rsidR="008725BD">
        <w:rPr>
          <w:rFonts w:cs="Arial"/>
          <w:b/>
          <w:caps/>
          <w:szCs w:val="24"/>
          <w:lang w:eastAsia="en-GB"/>
        </w:rPr>
        <w:t xml:space="preserve"> </w:t>
      </w:r>
    </w:p>
    <w:p w:rsidR="007A58E2" w:rsidRPr="00E140EF" w:rsidRDefault="007A58E2" w:rsidP="007A58E2">
      <w:pPr>
        <w:spacing w:after="0" w:line="240" w:lineRule="auto"/>
        <w:jc w:val="center"/>
        <w:rPr>
          <w:rFonts w:cs="Arial"/>
          <w:b/>
          <w:caps/>
          <w:sz w:val="22"/>
          <w:szCs w:val="24"/>
          <w:lang w:eastAsia="en-GB"/>
        </w:rPr>
      </w:pPr>
      <w:r w:rsidRPr="00E140EF">
        <w:rPr>
          <w:rFonts w:cs="Arial"/>
          <w:b/>
          <w:caps/>
          <w:sz w:val="22"/>
          <w:szCs w:val="24"/>
          <w:lang w:eastAsia="en-GB"/>
        </w:rPr>
        <w:t>(anonymity order made)</w:t>
      </w:r>
      <w:r w:rsidR="008725BD" w:rsidRPr="00E140EF">
        <w:rPr>
          <w:rFonts w:cs="Arial"/>
          <w:b/>
          <w:caps/>
          <w:sz w:val="22"/>
          <w:szCs w:val="24"/>
          <w:lang w:eastAsia="en-GB"/>
        </w:rPr>
        <w:t xml:space="preserve"> </w:t>
      </w:r>
    </w:p>
    <w:p w:rsidR="007A58E2" w:rsidRPr="00B07E0B" w:rsidRDefault="007A58E2" w:rsidP="007A58E2">
      <w:pPr>
        <w:spacing w:after="0" w:line="240" w:lineRule="auto"/>
        <w:jc w:val="right"/>
        <w:rPr>
          <w:rFonts w:cs="Arial"/>
          <w:szCs w:val="24"/>
          <w:u w:val="single"/>
          <w:lang w:eastAsia="en-GB"/>
        </w:rPr>
      </w:pPr>
      <w:r w:rsidRPr="00B07E0B">
        <w:rPr>
          <w:rFonts w:cs="Arial"/>
          <w:szCs w:val="24"/>
          <w:u w:val="single"/>
          <w:lang w:eastAsia="en-GB"/>
        </w:rPr>
        <w:t>Appellant</w:t>
      </w:r>
    </w:p>
    <w:p w:rsidR="007A58E2" w:rsidRPr="00B07E0B" w:rsidRDefault="007A58E2" w:rsidP="007A58E2">
      <w:pPr>
        <w:spacing w:after="0" w:line="240" w:lineRule="auto"/>
        <w:jc w:val="center"/>
        <w:rPr>
          <w:rFonts w:cs="Arial"/>
          <w:b/>
          <w:szCs w:val="24"/>
          <w:lang w:eastAsia="en-GB"/>
        </w:rPr>
      </w:pPr>
      <w:r w:rsidRPr="00B07E0B">
        <w:rPr>
          <w:rFonts w:cs="Arial"/>
          <w:b/>
          <w:szCs w:val="24"/>
          <w:lang w:eastAsia="en-GB"/>
        </w:rPr>
        <w:t>and</w:t>
      </w:r>
    </w:p>
    <w:p w:rsidR="007A58E2" w:rsidRPr="00B07E0B" w:rsidRDefault="007A58E2" w:rsidP="007A58E2">
      <w:pPr>
        <w:spacing w:after="0" w:line="240" w:lineRule="auto"/>
        <w:jc w:val="center"/>
        <w:rPr>
          <w:rFonts w:cs="Arial"/>
          <w:b/>
          <w:szCs w:val="24"/>
          <w:lang w:eastAsia="en-GB"/>
        </w:rPr>
      </w:pPr>
    </w:p>
    <w:p w:rsidR="007A58E2" w:rsidRDefault="007A58E2" w:rsidP="007A58E2">
      <w:pPr>
        <w:spacing w:after="0" w:line="240" w:lineRule="auto"/>
        <w:jc w:val="center"/>
        <w:rPr>
          <w:rFonts w:cs="Arial"/>
          <w:b/>
          <w:szCs w:val="24"/>
          <w:lang w:eastAsia="en-GB"/>
        </w:rPr>
      </w:pPr>
      <w:r>
        <w:rPr>
          <w:rFonts w:cs="Arial"/>
          <w:b/>
          <w:szCs w:val="24"/>
          <w:lang w:eastAsia="en-GB"/>
        </w:rPr>
        <w:t>SECRETARY OF STATE FOR THE HOME DEPARTMENT</w:t>
      </w:r>
    </w:p>
    <w:p w:rsidR="007A58E2" w:rsidRPr="00B07E0B" w:rsidRDefault="007A58E2" w:rsidP="007A58E2">
      <w:pPr>
        <w:spacing w:after="0" w:line="240" w:lineRule="auto"/>
        <w:jc w:val="right"/>
        <w:rPr>
          <w:rFonts w:cs="Arial"/>
          <w:szCs w:val="24"/>
          <w:u w:val="single"/>
          <w:lang w:eastAsia="en-GB"/>
        </w:rPr>
      </w:pPr>
      <w:r w:rsidRPr="00B07E0B">
        <w:rPr>
          <w:rFonts w:cs="Arial"/>
          <w:szCs w:val="24"/>
          <w:u w:val="single"/>
          <w:lang w:eastAsia="en-GB"/>
        </w:rPr>
        <w:t>Respondent</w:t>
      </w:r>
    </w:p>
    <w:p w:rsidR="00E140EF" w:rsidRDefault="00E140EF" w:rsidP="007A58E2">
      <w:pPr>
        <w:spacing w:after="0" w:line="240" w:lineRule="auto"/>
        <w:rPr>
          <w:rFonts w:cs="Arial"/>
          <w:b/>
          <w:szCs w:val="24"/>
          <w:u w:val="single"/>
          <w:lang w:eastAsia="en-GB"/>
        </w:rPr>
      </w:pPr>
    </w:p>
    <w:p w:rsidR="00E140EF" w:rsidRDefault="00E140EF" w:rsidP="007A58E2">
      <w:pPr>
        <w:spacing w:after="0" w:line="240" w:lineRule="auto"/>
        <w:rPr>
          <w:rFonts w:cs="Arial"/>
          <w:b/>
          <w:szCs w:val="24"/>
          <w:u w:val="single"/>
          <w:lang w:eastAsia="en-GB"/>
        </w:rPr>
      </w:pPr>
    </w:p>
    <w:p w:rsidR="007A58E2" w:rsidRPr="00B07E0B" w:rsidRDefault="007A58E2" w:rsidP="007A58E2">
      <w:pPr>
        <w:spacing w:after="0" w:line="240" w:lineRule="auto"/>
        <w:rPr>
          <w:rFonts w:cs="Arial"/>
          <w:szCs w:val="24"/>
          <w:lang w:eastAsia="en-GB"/>
        </w:rPr>
      </w:pPr>
      <w:r w:rsidRPr="00B07E0B">
        <w:rPr>
          <w:rFonts w:cs="Arial"/>
          <w:b/>
          <w:szCs w:val="24"/>
          <w:u w:val="single"/>
          <w:lang w:eastAsia="en-GB"/>
        </w:rPr>
        <w:t>Representation</w:t>
      </w:r>
      <w:r w:rsidRPr="00B07E0B">
        <w:rPr>
          <w:rFonts w:cs="Arial"/>
          <w:b/>
          <w:szCs w:val="24"/>
          <w:lang w:eastAsia="en-GB"/>
        </w:rPr>
        <w:t>:</w:t>
      </w:r>
    </w:p>
    <w:p w:rsidR="007A58E2" w:rsidRPr="00B07E0B" w:rsidRDefault="007A58E2" w:rsidP="00E140EF">
      <w:pPr>
        <w:tabs>
          <w:tab w:val="left" w:pos="2552"/>
        </w:tabs>
        <w:spacing w:after="0" w:line="240" w:lineRule="auto"/>
        <w:rPr>
          <w:rFonts w:cs="Arial"/>
          <w:szCs w:val="24"/>
          <w:lang w:eastAsia="en-GB"/>
        </w:rPr>
      </w:pPr>
      <w:r w:rsidRPr="00B07E0B">
        <w:rPr>
          <w:rFonts w:cs="Arial"/>
          <w:szCs w:val="24"/>
          <w:lang w:eastAsia="en-GB"/>
        </w:rPr>
        <w:t>For the Appellant:</w:t>
      </w:r>
      <w:r w:rsidR="00E140EF">
        <w:rPr>
          <w:rFonts w:cs="Arial"/>
          <w:szCs w:val="24"/>
          <w:lang w:eastAsia="en-GB"/>
        </w:rPr>
        <w:tab/>
      </w:r>
      <w:r>
        <w:rPr>
          <w:rFonts w:cs="Arial"/>
          <w:szCs w:val="24"/>
          <w:lang w:eastAsia="en-GB"/>
        </w:rPr>
        <w:t xml:space="preserve">Mr B </w:t>
      </w:r>
      <w:proofErr w:type="spellStart"/>
      <w:r>
        <w:rPr>
          <w:rFonts w:cs="Arial"/>
          <w:szCs w:val="24"/>
          <w:lang w:eastAsia="en-GB"/>
        </w:rPr>
        <w:t>Panial</w:t>
      </w:r>
      <w:proofErr w:type="spellEnd"/>
      <w:r>
        <w:rPr>
          <w:rFonts w:cs="Arial"/>
          <w:szCs w:val="24"/>
          <w:lang w:eastAsia="en-GB"/>
        </w:rPr>
        <w:t xml:space="preserve">, instructed by SEB Solicitors </w:t>
      </w:r>
    </w:p>
    <w:p w:rsidR="007A58E2" w:rsidRPr="00B07E0B" w:rsidRDefault="007A58E2" w:rsidP="00E140EF">
      <w:pPr>
        <w:tabs>
          <w:tab w:val="left" w:pos="2552"/>
        </w:tabs>
        <w:spacing w:after="0" w:line="240" w:lineRule="auto"/>
        <w:rPr>
          <w:rFonts w:cs="Arial"/>
          <w:szCs w:val="24"/>
          <w:lang w:eastAsia="en-GB"/>
        </w:rPr>
      </w:pPr>
      <w:r w:rsidRPr="00B07E0B">
        <w:rPr>
          <w:rFonts w:cs="Arial"/>
          <w:szCs w:val="24"/>
          <w:lang w:eastAsia="en-GB"/>
        </w:rPr>
        <w:t>For the Respondent:</w:t>
      </w:r>
      <w:r w:rsidR="00E140EF">
        <w:rPr>
          <w:rFonts w:cs="Arial"/>
          <w:szCs w:val="24"/>
          <w:lang w:eastAsia="en-GB"/>
        </w:rPr>
        <w:tab/>
      </w:r>
      <w:r w:rsidRPr="00B07E0B">
        <w:rPr>
          <w:rFonts w:cs="Arial"/>
          <w:szCs w:val="24"/>
          <w:lang w:eastAsia="en-GB"/>
        </w:rPr>
        <w:t>M</w:t>
      </w:r>
      <w:r>
        <w:rPr>
          <w:rFonts w:cs="Arial"/>
          <w:szCs w:val="24"/>
          <w:lang w:eastAsia="en-GB"/>
        </w:rPr>
        <w:t>r S Walker</w:t>
      </w:r>
      <w:r w:rsidRPr="00B07E0B">
        <w:rPr>
          <w:rFonts w:cs="Arial"/>
          <w:szCs w:val="24"/>
          <w:lang w:eastAsia="en-GB"/>
        </w:rPr>
        <w:t>, Senior Home Office Presenting Officer</w:t>
      </w:r>
    </w:p>
    <w:p w:rsidR="007A58E2" w:rsidRDefault="007A58E2" w:rsidP="007A58E2">
      <w:pPr>
        <w:tabs>
          <w:tab w:val="left" w:pos="2520"/>
        </w:tabs>
        <w:spacing w:after="0" w:line="240" w:lineRule="auto"/>
        <w:jc w:val="center"/>
        <w:rPr>
          <w:rFonts w:cs="Arial"/>
          <w:szCs w:val="24"/>
          <w:lang w:eastAsia="en-GB"/>
        </w:rPr>
      </w:pPr>
    </w:p>
    <w:p w:rsidR="007A58E2" w:rsidRPr="00B07E0B" w:rsidRDefault="007A58E2" w:rsidP="007A58E2">
      <w:pPr>
        <w:tabs>
          <w:tab w:val="left" w:pos="2520"/>
        </w:tabs>
        <w:spacing w:after="0" w:line="240" w:lineRule="auto"/>
        <w:jc w:val="center"/>
        <w:rPr>
          <w:rFonts w:cs="Arial"/>
          <w:szCs w:val="24"/>
          <w:lang w:eastAsia="en-GB"/>
        </w:rPr>
      </w:pPr>
    </w:p>
    <w:p w:rsidR="007A58E2" w:rsidRPr="00B07E0B" w:rsidRDefault="007A58E2" w:rsidP="007A58E2">
      <w:pPr>
        <w:tabs>
          <w:tab w:val="left" w:pos="2520"/>
        </w:tabs>
        <w:spacing w:after="0" w:line="240" w:lineRule="auto"/>
        <w:jc w:val="center"/>
        <w:rPr>
          <w:rFonts w:cs="Arial"/>
          <w:szCs w:val="24"/>
          <w:lang w:eastAsia="en-GB"/>
        </w:rPr>
      </w:pPr>
      <w:r w:rsidRPr="00B07E0B">
        <w:rPr>
          <w:rFonts w:cs="Arial"/>
          <w:b/>
          <w:szCs w:val="24"/>
          <w:u w:val="single"/>
          <w:lang w:eastAsia="en-GB"/>
        </w:rPr>
        <w:t>DETERMINATION AND REASONS</w:t>
      </w:r>
    </w:p>
    <w:p w:rsidR="00A83082" w:rsidRDefault="007A58E2" w:rsidP="00E140EF">
      <w:pPr>
        <w:numPr>
          <w:ilvl w:val="0"/>
          <w:numId w:val="1"/>
        </w:numPr>
        <w:tabs>
          <w:tab w:val="left" w:pos="1134"/>
        </w:tabs>
        <w:spacing w:before="240" w:after="0" w:line="240" w:lineRule="auto"/>
        <w:ind w:left="1134" w:hanging="567"/>
        <w:jc w:val="both"/>
        <w:rPr>
          <w:rFonts w:cs="Arial"/>
          <w:szCs w:val="24"/>
          <w:lang w:eastAsia="en-GB"/>
        </w:rPr>
      </w:pPr>
      <w:r>
        <w:rPr>
          <w:rFonts w:cs="Arial"/>
          <w:szCs w:val="24"/>
          <w:lang w:eastAsia="en-GB"/>
        </w:rPr>
        <w:lastRenderedPageBreak/>
        <w:t>The appellant</w:t>
      </w:r>
      <w:r w:rsidR="00E0422A">
        <w:rPr>
          <w:rFonts w:cs="Arial"/>
          <w:szCs w:val="24"/>
          <w:lang w:eastAsia="en-GB"/>
        </w:rPr>
        <w:t xml:space="preserve">s are a mother and her </w:t>
      </w:r>
      <w:r>
        <w:rPr>
          <w:rFonts w:cs="Arial"/>
          <w:szCs w:val="24"/>
          <w:lang w:eastAsia="en-GB"/>
        </w:rPr>
        <w:t>depend</w:t>
      </w:r>
      <w:r w:rsidR="009F7A78">
        <w:rPr>
          <w:rFonts w:cs="Arial"/>
          <w:szCs w:val="24"/>
          <w:lang w:eastAsia="en-GB"/>
        </w:rPr>
        <w:t>e</w:t>
      </w:r>
      <w:r>
        <w:rPr>
          <w:rFonts w:cs="Arial"/>
          <w:szCs w:val="24"/>
          <w:lang w:eastAsia="en-GB"/>
        </w:rPr>
        <w:t>nt children</w:t>
      </w:r>
      <w:r w:rsidR="00E0422A">
        <w:rPr>
          <w:rFonts w:cs="Arial"/>
          <w:szCs w:val="24"/>
          <w:lang w:eastAsia="en-GB"/>
        </w:rPr>
        <w:t xml:space="preserve"> who</w:t>
      </w:r>
      <w:r>
        <w:rPr>
          <w:rFonts w:cs="Arial"/>
          <w:szCs w:val="24"/>
          <w:lang w:eastAsia="en-GB"/>
        </w:rPr>
        <w:t xml:space="preserve"> challenge the decision of First-tier Tribunal Judge N M K Lawrence to dismiss </w:t>
      </w:r>
      <w:r w:rsidR="00E0422A">
        <w:rPr>
          <w:rFonts w:cs="Arial"/>
          <w:szCs w:val="24"/>
          <w:lang w:eastAsia="en-GB"/>
        </w:rPr>
        <w:t>their</w:t>
      </w:r>
      <w:r>
        <w:rPr>
          <w:rFonts w:cs="Arial"/>
          <w:szCs w:val="24"/>
          <w:lang w:eastAsia="en-GB"/>
        </w:rPr>
        <w:t xml:space="preserve"> appeal against removal on article 8 grounds. </w:t>
      </w:r>
      <w:r w:rsidR="00E0422A">
        <w:rPr>
          <w:rFonts w:cs="Arial"/>
          <w:szCs w:val="24"/>
          <w:lang w:eastAsia="en-GB"/>
        </w:rPr>
        <w:t xml:space="preserve">They were originally dependants of </w:t>
      </w:r>
      <w:r w:rsidR="00264C29">
        <w:rPr>
          <w:rFonts w:cs="Arial"/>
          <w:szCs w:val="24"/>
          <w:lang w:eastAsia="en-GB"/>
        </w:rPr>
        <w:t>MTT</w:t>
      </w:r>
      <w:r w:rsidR="00E0422A">
        <w:rPr>
          <w:rFonts w:cs="Arial"/>
          <w:szCs w:val="24"/>
          <w:lang w:eastAsia="en-GB"/>
        </w:rPr>
        <w:t xml:space="preserve"> (the husband of the first appellant and father of the child appellants: HU/1431</w:t>
      </w:r>
      <w:r w:rsidR="00A83082">
        <w:rPr>
          <w:rFonts w:cs="Arial"/>
          <w:szCs w:val="24"/>
          <w:lang w:eastAsia="en-GB"/>
        </w:rPr>
        <w:t>6</w:t>
      </w:r>
      <w:r w:rsidR="00E0422A">
        <w:rPr>
          <w:rFonts w:cs="Arial"/>
          <w:szCs w:val="24"/>
          <w:lang w:eastAsia="en-GB"/>
        </w:rPr>
        <w:t xml:space="preserve">/2016) and their appeals were decided as such by the Tribunal. He has subsequently withdrawn his application for permission to appeal. </w:t>
      </w:r>
    </w:p>
    <w:p w:rsidR="007A58E2" w:rsidRDefault="009F7A78" w:rsidP="00E140EF">
      <w:pPr>
        <w:numPr>
          <w:ilvl w:val="0"/>
          <w:numId w:val="1"/>
        </w:numPr>
        <w:tabs>
          <w:tab w:val="left" w:pos="1134"/>
        </w:tabs>
        <w:spacing w:before="240" w:after="0" w:line="240" w:lineRule="auto"/>
        <w:ind w:left="1134" w:hanging="567"/>
        <w:jc w:val="both"/>
        <w:rPr>
          <w:rFonts w:cs="Arial"/>
          <w:szCs w:val="24"/>
          <w:lang w:eastAsia="en-GB"/>
        </w:rPr>
      </w:pPr>
      <w:r>
        <w:rPr>
          <w:rFonts w:cs="Arial"/>
          <w:szCs w:val="24"/>
          <w:lang w:eastAsia="en-GB"/>
        </w:rPr>
        <w:t xml:space="preserve">Although </w:t>
      </w:r>
      <w:r w:rsidR="00E0422A">
        <w:rPr>
          <w:rFonts w:cs="Arial"/>
          <w:szCs w:val="24"/>
          <w:lang w:eastAsia="en-GB"/>
        </w:rPr>
        <w:t>t</w:t>
      </w:r>
      <w:r>
        <w:rPr>
          <w:rFonts w:cs="Arial"/>
          <w:szCs w:val="24"/>
          <w:lang w:eastAsia="en-GB"/>
        </w:rPr>
        <w:t xml:space="preserve">he </w:t>
      </w:r>
      <w:r w:rsidR="00E0422A">
        <w:rPr>
          <w:rFonts w:cs="Arial"/>
          <w:szCs w:val="24"/>
          <w:lang w:eastAsia="en-GB"/>
        </w:rPr>
        <w:t xml:space="preserve">appellants </w:t>
      </w:r>
      <w:r>
        <w:rPr>
          <w:rFonts w:cs="Arial"/>
          <w:szCs w:val="24"/>
          <w:lang w:eastAsia="en-GB"/>
        </w:rPr>
        <w:t xml:space="preserve">initially sought an oral hearing, </w:t>
      </w:r>
      <w:r w:rsidR="00E0422A">
        <w:rPr>
          <w:rFonts w:cs="Arial"/>
          <w:szCs w:val="24"/>
          <w:lang w:eastAsia="en-GB"/>
        </w:rPr>
        <w:t>their</w:t>
      </w:r>
      <w:r>
        <w:rPr>
          <w:rFonts w:cs="Arial"/>
          <w:szCs w:val="24"/>
          <w:lang w:eastAsia="en-GB"/>
        </w:rPr>
        <w:t xml:space="preserve"> representatives requested, on 25 October 2017, that the matter be determined on the papers. This was confirmed by the Tribunal on 26 October 2017 with directions for the all written evidence and submissions to be sent to the Tribunal and the respondent by 1 December 2017. </w:t>
      </w:r>
    </w:p>
    <w:p w:rsidR="007A58E2" w:rsidRDefault="007A58E2" w:rsidP="00E140EF">
      <w:pPr>
        <w:numPr>
          <w:ilvl w:val="0"/>
          <w:numId w:val="1"/>
        </w:numPr>
        <w:tabs>
          <w:tab w:val="left" w:pos="1134"/>
        </w:tabs>
        <w:spacing w:before="240" w:after="0" w:line="240" w:lineRule="auto"/>
        <w:ind w:left="1134" w:hanging="567"/>
        <w:jc w:val="both"/>
        <w:rPr>
          <w:rFonts w:cs="Arial"/>
          <w:szCs w:val="24"/>
          <w:lang w:eastAsia="en-GB"/>
        </w:rPr>
      </w:pPr>
      <w:r>
        <w:rPr>
          <w:rFonts w:cs="Arial"/>
          <w:szCs w:val="24"/>
          <w:lang w:eastAsia="en-GB"/>
        </w:rPr>
        <w:t xml:space="preserve">The appellants are Jordanian nationals born respectively on 4 October 1985, 9 August 2008, 30 March 2010 and 7 October 2012.  </w:t>
      </w:r>
      <w:r w:rsidR="00264C29">
        <w:rPr>
          <w:rFonts w:cs="Arial"/>
          <w:szCs w:val="24"/>
          <w:lang w:eastAsia="en-GB"/>
        </w:rPr>
        <w:t>MTT</w:t>
      </w:r>
      <w:r w:rsidR="00A83082">
        <w:rPr>
          <w:rFonts w:cs="Arial"/>
          <w:szCs w:val="24"/>
          <w:lang w:eastAsia="en-GB"/>
        </w:rPr>
        <w:t>, t</w:t>
      </w:r>
      <w:r>
        <w:rPr>
          <w:rFonts w:cs="Arial"/>
          <w:szCs w:val="24"/>
          <w:lang w:eastAsia="en-GB"/>
        </w:rPr>
        <w:t xml:space="preserve">he </w:t>
      </w:r>
      <w:r w:rsidR="00E0422A">
        <w:rPr>
          <w:rFonts w:cs="Arial"/>
          <w:szCs w:val="24"/>
          <w:lang w:eastAsia="en-GB"/>
        </w:rPr>
        <w:t>husband of the first appellant</w:t>
      </w:r>
      <w:r w:rsidR="00A83082">
        <w:rPr>
          <w:rFonts w:cs="Arial"/>
          <w:szCs w:val="24"/>
          <w:lang w:eastAsia="en-GB"/>
        </w:rPr>
        <w:t>,</w:t>
      </w:r>
      <w:r w:rsidR="00E0422A">
        <w:rPr>
          <w:rFonts w:cs="Arial"/>
          <w:szCs w:val="24"/>
          <w:lang w:eastAsia="en-GB"/>
        </w:rPr>
        <w:t xml:space="preserve"> </w:t>
      </w:r>
      <w:r>
        <w:rPr>
          <w:rFonts w:cs="Arial"/>
          <w:szCs w:val="24"/>
          <w:lang w:eastAsia="en-GB"/>
        </w:rPr>
        <w:t>entered the UK as a student on 12 January 2012 and thereafter obtained further extensions of leave on that basis until 30 January 2015, according to the judge (at paragraph 2) and the respondent's decision letter (at p.2 of 19). On 29 February 2016 he sought leave to remain on human rights grounds</w:t>
      </w:r>
      <w:r w:rsidR="00E0422A">
        <w:rPr>
          <w:rFonts w:cs="Arial"/>
          <w:szCs w:val="24"/>
          <w:lang w:eastAsia="en-GB"/>
        </w:rPr>
        <w:t xml:space="preserve"> with his family as dependants</w:t>
      </w:r>
      <w:r>
        <w:rPr>
          <w:rFonts w:cs="Arial"/>
          <w:szCs w:val="24"/>
          <w:lang w:eastAsia="en-GB"/>
        </w:rPr>
        <w:t xml:space="preserve">. This was refused on 24 May 2016. </w:t>
      </w:r>
      <w:r w:rsidR="00E0422A">
        <w:rPr>
          <w:rFonts w:cs="Arial"/>
          <w:szCs w:val="24"/>
          <w:lang w:eastAsia="en-GB"/>
        </w:rPr>
        <w:t>An appeal was lodged.</w:t>
      </w:r>
      <w:r w:rsidR="00B7554A">
        <w:rPr>
          <w:rFonts w:cs="Arial"/>
          <w:szCs w:val="24"/>
          <w:lang w:eastAsia="en-GB"/>
        </w:rPr>
        <w:t xml:space="preserve"> Judge Lawrence dismissed the appeal by way of a determination promulgated on 29 December 2017.</w:t>
      </w:r>
      <w:r w:rsidR="00B7554A" w:rsidRPr="00B7554A">
        <w:rPr>
          <w:rFonts w:cs="Arial"/>
          <w:szCs w:val="24"/>
          <w:lang w:eastAsia="en-GB"/>
        </w:rPr>
        <w:t xml:space="preserve"> </w:t>
      </w:r>
      <w:r w:rsidR="00E0422A">
        <w:rPr>
          <w:rFonts w:cs="Arial"/>
          <w:szCs w:val="24"/>
          <w:lang w:eastAsia="en-GB"/>
        </w:rPr>
        <w:t xml:space="preserve">The appellants </w:t>
      </w:r>
      <w:r w:rsidR="00B7554A">
        <w:rPr>
          <w:rFonts w:cs="Arial"/>
          <w:szCs w:val="24"/>
          <w:lang w:eastAsia="en-GB"/>
        </w:rPr>
        <w:t>appealed against that decision and permission was granted by First-tier Tribunal Judge</w:t>
      </w:r>
      <w:r w:rsidR="006D6891">
        <w:rPr>
          <w:rFonts w:cs="Arial"/>
          <w:szCs w:val="24"/>
          <w:lang w:eastAsia="en-GB"/>
        </w:rPr>
        <w:t xml:space="preserve"> Boyes on 1 June 2018 on the basis that the judge had arguably not considered all the evidence. He directed that the appellant</w:t>
      </w:r>
      <w:r w:rsidR="00E0422A">
        <w:rPr>
          <w:rFonts w:cs="Arial"/>
          <w:szCs w:val="24"/>
          <w:lang w:eastAsia="en-GB"/>
        </w:rPr>
        <w:t>s</w:t>
      </w:r>
      <w:r w:rsidR="006D6891">
        <w:rPr>
          <w:rFonts w:cs="Arial"/>
          <w:szCs w:val="24"/>
          <w:lang w:eastAsia="en-GB"/>
        </w:rPr>
        <w:t xml:space="preserve"> prepare a schedule setting out all the evidence that was before the judge. </w:t>
      </w:r>
    </w:p>
    <w:p w:rsidR="00305111" w:rsidRDefault="00305111" w:rsidP="00E140EF">
      <w:pPr>
        <w:numPr>
          <w:ilvl w:val="0"/>
          <w:numId w:val="1"/>
        </w:numPr>
        <w:tabs>
          <w:tab w:val="left" w:pos="1134"/>
        </w:tabs>
        <w:spacing w:before="240" w:after="0" w:line="240" w:lineRule="auto"/>
        <w:ind w:left="1134" w:hanging="567"/>
        <w:jc w:val="both"/>
        <w:rPr>
          <w:rFonts w:cs="Arial"/>
          <w:szCs w:val="24"/>
          <w:lang w:eastAsia="en-GB"/>
        </w:rPr>
      </w:pPr>
      <w:r>
        <w:rPr>
          <w:rFonts w:cs="Arial"/>
          <w:szCs w:val="24"/>
          <w:lang w:eastAsia="en-GB"/>
        </w:rPr>
        <w:t>On 8 February 2018, the appellants</w:t>
      </w:r>
      <w:r w:rsidR="00E0422A">
        <w:rPr>
          <w:rFonts w:cs="Arial"/>
          <w:szCs w:val="24"/>
          <w:lang w:eastAsia="en-GB"/>
        </w:rPr>
        <w:t>’</w:t>
      </w:r>
      <w:r>
        <w:rPr>
          <w:rFonts w:cs="Arial"/>
          <w:szCs w:val="24"/>
          <w:lang w:eastAsia="en-GB"/>
        </w:rPr>
        <w:t xml:space="preserve"> solicitors wrote to the Upper Tribunal asking that </w:t>
      </w:r>
      <w:r w:rsidR="00E0422A">
        <w:rPr>
          <w:rFonts w:cs="Arial"/>
          <w:szCs w:val="24"/>
          <w:lang w:eastAsia="en-GB"/>
        </w:rPr>
        <w:t xml:space="preserve">the </w:t>
      </w:r>
      <w:r>
        <w:rPr>
          <w:rFonts w:cs="Arial"/>
          <w:szCs w:val="24"/>
          <w:lang w:eastAsia="en-GB"/>
        </w:rPr>
        <w:t>appeal</w:t>
      </w:r>
      <w:r w:rsidR="00E0422A">
        <w:rPr>
          <w:rFonts w:cs="Arial"/>
          <w:szCs w:val="24"/>
          <w:lang w:eastAsia="en-GB"/>
        </w:rPr>
        <w:t xml:space="preserve"> of </w:t>
      </w:r>
      <w:r w:rsidR="00264C29">
        <w:rPr>
          <w:rFonts w:cs="Arial"/>
          <w:szCs w:val="24"/>
          <w:lang w:eastAsia="en-GB"/>
        </w:rPr>
        <w:t>MTT</w:t>
      </w:r>
      <w:r>
        <w:rPr>
          <w:rFonts w:cs="Arial"/>
          <w:szCs w:val="24"/>
          <w:lang w:eastAsia="en-GB"/>
        </w:rPr>
        <w:t xml:space="preserve"> be treated as withdrawn. It was stated that they would be making a SET (LR) application for him on the basis of long residence. On 20 February 2018 the Upper Tribunal confirmed the withdrawal. On the same date a letter was also sent to the representatives seeking to clarify whether the applications for permission on behalf of the other appellants were also to be withdrawn. No reply was received. </w:t>
      </w:r>
    </w:p>
    <w:p w:rsidR="007A58E2" w:rsidRPr="00713349" w:rsidRDefault="007A58E2" w:rsidP="00E140EF">
      <w:pPr>
        <w:spacing w:before="240" w:after="0" w:line="240" w:lineRule="auto"/>
        <w:ind w:left="1134"/>
        <w:jc w:val="both"/>
        <w:rPr>
          <w:rFonts w:cs="Arial"/>
          <w:b/>
          <w:szCs w:val="24"/>
          <w:lang w:eastAsia="en-GB"/>
        </w:rPr>
      </w:pPr>
      <w:r>
        <w:rPr>
          <w:rFonts w:cs="Arial"/>
          <w:b/>
          <w:szCs w:val="24"/>
          <w:lang w:eastAsia="en-GB"/>
        </w:rPr>
        <w:t xml:space="preserve">The Hearing  </w:t>
      </w:r>
    </w:p>
    <w:p w:rsidR="006D6891" w:rsidRDefault="006D6891" w:rsidP="00E140EF">
      <w:pPr>
        <w:numPr>
          <w:ilvl w:val="0"/>
          <w:numId w:val="1"/>
        </w:numPr>
        <w:tabs>
          <w:tab w:val="left" w:pos="1134"/>
        </w:tabs>
        <w:spacing w:before="240" w:after="0" w:line="240" w:lineRule="auto"/>
        <w:ind w:left="1134" w:hanging="567"/>
        <w:jc w:val="both"/>
        <w:rPr>
          <w:rFonts w:cs="Arial"/>
          <w:szCs w:val="24"/>
          <w:lang w:eastAsia="en-GB"/>
        </w:rPr>
      </w:pPr>
      <w:r>
        <w:rPr>
          <w:rFonts w:cs="Arial"/>
          <w:szCs w:val="24"/>
          <w:lang w:eastAsia="en-GB"/>
        </w:rPr>
        <w:t xml:space="preserve">The matter </w:t>
      </w:r>
      <w:r w:rsidR="00305111">
        <w:rPr>
          <w:rFonts w:cs="Arial"/>
          <w:szCs w:val="24"/>
          <w:lang w:eastAsia="en-GB"/>
        </w:rPr>
        <w:t xml:space="preserve">then </w:t>
      </w:r>
      <w:r>
        <w:rPr>
          <w:rFonts w:cs="Arial"/>
          <w:szCs w:val="24"/>
          <w:lang w:eastAsia="en-GB"/>
        </w:rPr>
        <w:t xml:space="preserve">came before me on 9 August 2018. </w:t>
      </w:r>
    </w:p>
    <w:p w:rsidR="006D6891" w:rsidRDefault="006D6891" w:rsidP="00E140EF">
      <w:pPr>
        <w:numPr>
          <w:ilvl w:val="0"/>
          <w:numId w:val="1"/>
        </w:numPr>
        <w:tabs>
          <w:tab w:val="left" w:pos="1134"/>
        </w:tabs>
        <w:spacing w:before="240" w:after="0" w:line="240" w:lineRule="auto"/>
        <w:ind w:left="1134" w:hanging="567"/>
        <w:jc w:val="both"/>
        <w:rPr>
          <w:rFonts w:cs="Arial"/>
          <w:szCs w:val="24"/>
          <w:lang w:eastAsia="en-GB"/>
        </w:rPr>
      </w:pPr>
      <w:r>
        <w:rPr>
          <w:rFonts w:cs="Arial"/>
          <w:szCs w:val="24"/>
          <w:lang w:eastAsia="en-GB"/>
        </w:rPr>
        <w:t xml:space="preserve">Mr </w:t>
      </w:r>
      <w:proofErr w:type="spellStart"/>
      <w:r>
        <w:rPr>
          <w:rFonts w:cs="Arial"/>
          <w:szCs w:val="24"/>
          <w:lang w:eastAsia="en-GB"/>
        </w:rPr>
        <w:t>Panial</w:t>
      </w:r>
      <w:proofErr w:type="spellEnd"/>
      <w:r>
        <w:rPr>
          <w:rFonts w:cs="Arial"/>
          <w:szCs w:val="24"/>
          <w:lang w:eastAsia="en-GB"/>
        </w:rPr>
        <w:t xml:space="preserve"> notified the court that </w:t>
      </w:r>
      <w:r w:rsidR="00305111">
        <w:rPr>
          <w:rFonts w:cs="Arial"/>
          <w:szCs w:val="24"/>
          <w:lang w:eastAsia="en-GB"/>
        </w:rPr>
        <w:t xml:space="preserve">following his SET (LR) application, </w:t>
      </w:r>
      <w:r w:rsidR="00264C29">
        <w:rPr>
          <w:rFonts w:cs="Arial"/>
          <w:szCs w:val="24"/>
          <w:lang w:eastAsia="en-GB"/>
        </w:rPr>
        <w:t xml:space="preserve">MTT </w:t>
      </w:r>
      <w:r>
        <w:rPr>
          <w:rFonts w:cs="Arial"/>
          <w:szCs w:val="24"/>
          <w:lang w:eastAsia="en-GB"/>
        </w:rPr>
        <w:t xml:space="preserve">had recently been granted indefinite leave to remain on the basis that he had completed ten years of lawful and continuous residence. He maintained, however, that the appeal was still pursued because the appellants had paid £6000 in fees. </w:t>
      </w:r>
    </w:p>
    <w:p w:rsidR="007A58E2" w:rsidRDefault="007A58E2" w:rsidP="00E140EF">
      <w:pPr>
        <w:numPr>
          <w:ilvl w:val="0"/>
          <w:numId w:val="1"/>
        </w:numPr>
        <w:tabs>
          <w:tab w:val="left" w:pos="1134"/>
        </w:tabs>
        <w:spacing w:before="240" w:after="0" w:line="240" w:lineRule="auto"/>
        <w:ind w:left="1134" w:hanging="567"/>
        <w:jc w:val="both"/>
        <w:rPr>
          <w:rFonts w:cs="Arial"/>
          <w:szCs w:val="24"/>
          <w:lang w:eastAsia="en-GB"/>
        </w:rPr>
      </w:pPr>
      <w:r>
        <w:rPr>
          <w:rFonts w:cs="Arial"/>
          <w:szCs w:val="24"/>
          <w:lang w:eastAsia="en-GB"/>
        </w:rPr>
        <w:t xml:space="preserve">I </w:t>
      </w:r>
      <w:r w:rsidR="006D6891">
        <w:rPr>
          <w:rFonts w:cs="Arial"/>
          <w:szCs w:val="24"/>
          <w:lang w:eastAsia="en-GB"/>
        </w:rPr>
        <w:t xml:space="preserve">proceeded to </w:t>
      </w:r>
      <w:r>
        <w:rPr>
          <w:rFonts w:cs="Arial"/>
          <w:szCs w:val="24"/>
          <w:lang w:eastAsia="en-GB"/>
        </w:rPr>
        <w:t>hear submissions</w:t>
      </w:r>
      <w:r w:rsidR="006D6891">
        <w:rPr>
          <w:rFonts w:cs="Arial"/>
          <w:szCs w:val="24"/>
          <w:lang w:eastAsia="en-GB"/>
        </w:rPr>
        <w:t xml:space="preserve">. </w:t>
      </w:r>
      <w:r>
        <w:rPr>
          <w:rFonts w:cs="Arial"/>
          <w:szCs w:val="24"/>
          <w:lang w:eastAsia="en-GB"/>
        </w:rPr>
        <w:t xml:space="preserve"> </w:t>
      </w:r>
      <w:r>
        <w:t>The appellant</w:t>
      </w:r>
      <w:r w:rsidR="006D6891">
        <w:t>s</w:t>
      </w:r>
      <w:r>
        <w:t xml:space="preserve"> were </w:t>
      </w:r>
      <w:r w:rsidR="006D6891">
        <w:t>not present</w:t>
      </w:r>
      <w:r>
        <w:t>.</w:t>
      </w:r>
    </w:p>
    <w:p w:rsidR="007A58E2" w:rsidRDefault="007A58E2" w:rsidP="00E140EF">
      <w:pPr>
        <w:pStyle w:val="ListParagraph"/>
        <w:numPr>
          <w:ilvl w:val="0"/>
          <w:numId w:val="1"/>
        </w:numPr>
        <w:tabs>
          <w:tab w:val="left" w:pos="1134"/>
        </w:tabs>
        <w:spacing w:before="240" w:after="0" w:line="240" w:lineRule="auto"/>
        <w:ind w:left="1134" w:hanging="567"/>
        <w:contextualSpacing w:val="0"/>
        <w:jc w:val="both"/>
      </w:pPr>
      <w:r>
        <w:lastRenderedPageBreak/>
        <w:t xml:space="preserve">Mr </w:t>
      </w:r>
      <w:proofErr w:type="spellStart"/>
      <w:r w:rsidR="006D6891">
        <w:t>Panial</w:t>
      </w:r>
      <w:proofErr w:type="spellEnd"/>
      <w:r w:rsidR="006D6891">
        <w:t xml:space="preserve"> submitted that the judge had failed to properly consider the position of the child appellants. Each member of the family had established a private life. The respondent's decision was not proportionate</w:t>
      </w:r>
      <w:r w:rsidR="0096190B">
        <w:t>,</w:t>
      </w:r>
      <w:r w:rsidR="006D6891">
        <w:t xml:space="preserve"> and the remedy was for the respondent to reconsider his decision and grant leave. The judge had not considered the s.120 notice. He submitted that the decision should be set aside</w:t>
      </w:r>
      <w:r w:rsidR="00E0422A">
        <w:t>,</w:t>
      </w:r>
      <w:r w:rsidR="006D6891">
        <w:t xml:space="preserve"> and the appeal should be remitted back to the First-tier Tribunal. </w:t>
      </w:r>
    </w:p>
    <w:p w:rsidR="000C6843" w:rsidRDefault="007A58E2" w:rsidP="00E140EF">
      <w:pPr>
        <w:pStyle w:val="ListParagraph"/>
        <w:numPr>
          <w:ilvl w:val="0"/>
          <w:numId w:val="1"/>
        </w:numPr>
        <w:tabs>
          <w:tab w:val="left" w:pos="1134"/>
        </w:tabs>
        <w:spacing w:before="240" w:after="0" w:line="240" w:lineRule="auto"/>
        <w:ind w:left="1134" w:hanging="567"/>
        <w:contextualSpacing w:val="0"/>
        <w:jc w:val="both"/>
      </w:pPr>
      <w:r>
        <w:t xml:space="preserve">Mr </w:t>
      </w:r>
      <w:r w:rsidR="006D6891">
        <w:t>Walker</w:t>
      </w:r>
      <w:r>
        <w:t xml:space="preserve"> replied. He pointed out that </w:t>
      </w:r>
      <w:r w:rsidR="000C6843">
        <w:t xml:space="preserve">at the date of the determination on the available evidence, </w:t>
      </w:r>
      <w:r w:rsidR="00264C29">
        <w:t>MTT</w:t>
      </w:r>
      <w:r w:rsidR="000C6843">
        <w:t xml:space="preserve"> had not established he had completed ten years of residence. Although the situation had since moved on, the judge had not made any errors at the time. </w:t>
      </w:r>
    </w:p>
    <w:p w:rsidR="007A58E2" w:rsidRDefault="000C6843" w:rsidP="00E140EF">
      <w:pPr>
        <w:pStyle w:val="ListParagraph"/>
        <w:numPr>
          <w:ilvl w:val="0"/>
          <w:numId w:val="1"/>
        </w:numPr>
        <w:tabs>
          <w:tab w:val="left" w:pos="1134"/>
        </w:tabs>
        <w:spacing w:before="240" w:after="0" w:line="240" w:lineRule="auto"/>
        <w:ind w:left="1134" w:hanging="567"/>
        <w:contextualSpacing w:val="0"/>
        <w:jc w:val="both"/>
      </w:pPr>
      <w:r>
        <w:t xml:space="preserve">In response to my queries, Mr </w:t>
      </w:r>
      <w:proofErr w:type="spellStart"/>
      <w:r>
        <w:t>Panial</w:t>
      </w:r>
      <w:proofErr w:type="spellEnd"/>
      <w:r>
        <w:t xml:space="preserve"> conceded there had been errors in the presentation of the appeal papers by the solicitors</w:t>
      </w:r>
      <w:r w:rsidR="00E0422A">
        <w:t>,</w:t>
      </w:r>
      <w:r>
        <w:t xml:space="preserve"> but he argued that one could see what they were trying to achieve. The only way that all the matters could be taken into account would be at a hearing. </w:t>
      </w:r>
    </w:p>
    <w:p w:rsidR="007A58E2" w:rsidRDefault="007A58E2" w:rsidP="00E140EF">
      <w:pPr>
        <w:pStyle w:val="ListParagraph"/>
        <w:numPr>
          <w:ilvl w:val="0"/>
          <w:numId w:val="1"/>
        </w:numPr>
        <w:tabs>
          <w:tab w:val="left" w:pos="1134"/>
        </w:tabs>
        <w:spacing w:before="240" w:after="0" w:line="240" w:lineRule="auto"/>
        <w:ind w:left="1134" w:hanging="567"/>
        <w:contextualSpacing w:val="0"/>
        <w:jc w:val="both"/>
      </w:pPr>
      <w:r>
        <w:t xml:space="preserve">That completed the submissions.  At the conclusion of the hearing I reserved my determination which I now give with reasons. </w:t>
      </w:r>
    </w:p>
    <w:p w:rsidR="007A58E2" w:rsidRPr="00FE35A4" w:rsidRDefault="007A58E2" w:rsidP="00E140EF">
      <w:pPr>
        <w:pStyle w:val="ListParagraph"/>
        <w:spacing w:before="240" w:after="0" w:line="240" w:lineRule="auto"/>
        <w:ind w:left="1134"/>
        <w:contextualSpacing w:val="0"/>
        <w:jc w:val="both"/>
        <w:rPr>
          <w:b/>
        </w:rPr>
      </w:pPr>
      <w:r w:rsidRPr="00FE35A4">
        <w:rPr>
          <w:b/>
        </w:rPr>
        <w:t>Discussion and Findings</w:t>
      </w:r>
    </w:p>
    <w:p w:rsidR="006D6891" w:rsidRPr="000C6843" w:rsidRDefault="007A58E2" w:rsidP="00E140EF">
      <w:pPr>
        <w:numPr>
          <w:ilvl w:val="0"/>
          <w:numId w:val="1"/>
        </w:numPr>
        <w:tabs>
          <w:tab w:val="left" w:pos="1134"/>
        </w:tabs>
        <w:spacing w:before="240" w:after="0" w:line="240" w:lineRule="auto"/>
        <w:ind w:left="1134" w:hanging="567"/>
        <w:jc w:val="both"/>
        <w:rPr>
          <w:rFonts w:cs="Arial"/>
          <w:szCs w:val="24"/>
          <w:lang w:eastAsia="en-GB"/>
        </w:rPr>
      </w:pPr>
      <w:r>
        <w:t xml:space="preserve">I have had regard to the submissions, the judge's determination and all the other evidence on the Tribunal file. </w:t>
      </w:r>
    </w:p>
    <w:p w:rsidR="000C6843" w:rsidRPr="00491100" w:rsidRDefault="000C6843" w:rsidP="00E140EF">
      <w:pPr>
        <w:numPr>
          <w:ilvl w:val="0"/>
          <w:numId w:val="1"/>
        </w:numPr>
        <w:tabs>
          <w:tab w:val="left" w:pos="1134"/>
        </w:tabs>
        <w:spacing w:before="240" w:after="0" w:line="240" w:lineRule="auto"/>
        <w:ind w:left="1134" w:hanging="567"/>
        <w:jc w:val="both"/>
        <w:rPr>
          <w:rFonts w:cs="Arial"/>
          <w:szCs w:val="24"/>
          <w:lang w:eastAsia="en-GB"/>
        </w:rPr>
      </w:pPr>
      <w:r>
        <w:t xml:space="preserve">The crux of the appellants' case is that the judge had not considered the s.120 notice which was forwarded to the Tribunal on 27 December 2017. </w:t>
      </w:r>
      <w:r w:rsidR="009F7A78">
        <w:t>I</w:t>
      </w:r>
      <w:r>
        <w:t>t should be noted that this was six days after the preparation of the determination</w:t>
      </w:r>
      <w:r w:rsidR="009F7A78">
        <w:t xml:space="preserve"> and twenty</w:t>
      </w:r>
      <w:r w:rsidR="00E0422A">
        <w:t>-</w:t>
      </w:r>
      <w:r w:rsidR="009F7A78">
        <w:t xml:space="preserve">six days after the date by which evidence should have reached the Tribunal according to directions issued on 26 October 2017. </w:t>
      </w:r>
      <w:r>
        <w:t xml:space="preserve">No explanation is provided for why it was sent so late </w:t>
      </w:r>
      <w:r w:rsidR="00491100">
        <w:t xml:space="preserve">or why directions were not complied with. There can be no validity in a complaint that the judge did not deal with material served out of time and after the determination had been prepared. In any event, </w:t>
      </w:r>
      <w:r w:rsidR="00E0422A">
        <w:t xml:space="preserve">the notice pertained to </w:t>
      </w:r>
      <w:r w:rsidR="00264C29">
        <w:t>MTT</w:t>
      </w:r>
      <w:r w:rsidR="00E0422A">
        <w:t xml:space="preserve"> and </w:t>
      </w:r>
      <w:r w:rsidR="00491100">
        <w:t>not only has</w:t>
      </w:r>
      <w:r w:rsidR="00E0422A">
        <w:t xml:space="preserve"> he</w:t>
      </w:r>
      <w:r w:rsidR="00491100">
        <w:t xml:space="preserve"> been granted leave to remain on long residence grounds</w:t>
      </w:r>
      <w:r w:rsidR="00E0422A">
        <w:t>,</w:t>
      </w:r>
      <w:r w:rsidR="00491100">
        <w:t xml:space="preserve"> but he has also withdrawn his </w:t>
      </w:r>
      <w:r w:rsidR="00E0422A">
        <w:t>application for permission to appeal</w:t>
      </w:r>
      <w:r w:rsidR="00491100">
        <w:t>. In the circumstances this argument is academic and is no longer an issue before me since th</w:t>
      </w:r>
      <w:r w:rsidR="00E0422A">
        <w:t>at</w:t>
      </w:r>
      <w:r w:rsidR="00491100">
        <w:t xml:space="preserve"> withdrawal.</w:t>
      </w:r>
    </w:p>
    <w:p w:rsidR="00491100" w:rsidRDefault="00491100" w:rsidP="00E140EF">
      <w:pPr>
        <w:numPr>
          <w:ilvl w:val="0"/>
          <w:numId w:val="1"/>
        </w:numPr>
        <w:tabs>
          <w:tab w:val="left" w:pos="1134"/>
        </w:tabs>
        <w:spacing w:before="240" w:after="0" w:line="240" w:lineRule="auto"/>
        <w:ind w:left="1134" w:hanging="567"/>
        <w:jc w:val="both"/>
        <w:rPr>
          <w:rFonts w:cs="Arial"/>
          <w:szCs w:val="24"/>
          <w:lang w:eastAsia="en-GB"/>
        </w:rPr>
      </w:pPr>
      <w:r>
        <w:rPr>
          <w:rFonts w:cs="Arial"/>
          <w:szCs w:val="24"/>
          <w:lang w:eastAsia="en-GB"/>
        </w:rPr>
        <w:t>There has been no withdrawal in respect of the other appellants although their appeals were presented as dependent upon th</w:t>
      </w:r>
      <w:r w:rsidR="00A83082">
        <w:rPr>
          <w:rFonts w:cs="Arial"/>
          <w:szCs w:val="24"/>
          <w:lang w:eastAsia="en-GB"/>
        </w:rPr>
        <w:t xml:space="preserve">at of their father/husband. </w:t>
      </w:r>
      <w:r>
        <w:rPr>
          <w:rFonts w:cs="Arial"/>
          <w:szCs w:val="24"/>
          <w:lang w:eastAsia="en-GB"/>
        </w:rPr>
        <w:t xml:space="preserve">Mr </w:t>
      </w:r>
      <w:proofErr w:type="spellStart"/>
      <w:r>
        <w:rPr>
          <w:rFonts w:cs="Arial"/>
          <w:szCs w:val="24"/>
          <w:lang w:eastAsia="en-GB"/>
        </w:rPr>
        <w:t>Panial</w:t>
      </w:r>
      <w:proofErr w:type="spellEnd"/>
      <w:r>
        <w:rPr>
          <w:rFonts w:cs="Arial"/>
          <w:szCs w:val="24"/>
          <w:lang w:eastAsia="en-GB"/>
        </w:rPr>
        <w:t xml:space="preserve"> argued that each had his/her own private and family life and I have therefore proceeded to consider whether there is any merit in the complaint that the judge did not properly consider their positions.</w:t>
      </w:r>
    </w:p>
    <w:p w:rsidR="006D6891" w:rsidRDefault="006D6891" w:rsidP="00E140EF">
      <w:pPr>
        <w:numPr>
          <w:ilvl w:val="0"/>
          <w:numId w:val="1"/>
        </w:numPr>
        <w:tabs>
          <w:tab w:val="left" w:pos="1134"/>
        </w:tabs>
        <w:spacing w:before="240" w:after="0" w:line="240" w:lineRule="auto"/>
        <w:ind w:left="1134" w:hanging="567"/>
        <w:jc w:val="both"/>
        <w:rPr>
          <w:rFonts w:cs="Arial"/>
          <w:szCs w:val="24"/>
          <w:lang w:eastAsia="en-GB"/>
        </w:rPr>
      </w:pPr>
      <w:r>
        <w:rPr>
          <w:rFonts w:cs="Arial"/>
          <w:szCs w:val="24"/>
          <w:lang w:eastAsia="en-GB"/>
        </w:rPr>
        <w:t xml:space="preserve">The judge noted that the eldest child had been in the </w:t>
      </w:r>
      <w:smartTag w:uri="urn:schemas-microsoft-com:office:smarttags" w:element="country-region">
        <w:smartTag w:uri="urn:schemas-microsoft-com:office:smarttags" w:element="place">
          <w:r>
            <w:rPr>
              <w:rFonts w:cs="Arial"/>
              <w:szCs w:val="24"/>
              <w:lang w:eastAsia="en-GB"/>
            </w:rPr>
            <w:t>UK</w:t>
          </w:r>
        </w:smartTag>
      </w:smartTag>
      <w:r>
        <w:rPr>
          <w:rFonts w:cs="Arial"/>
          <w:szCs w:val="24"/>
          <w:lang w:eastAsia="en-GB"/>
        </w:rPr>
        <w:t xml:space="preserve"> for at least seven years and that it </w:t>
      </w:r>
      <w:r w:rsidR="00491100">
        <w:rPr>
          <w:rFonts w:cs="Arial"/>
          <w:szCs w:val="24"/>
          <w:lang w:eastAsia="en-GB"/>
        </w:rPr>
        <w:t xml:space="preserve">was argued that it </w:t>
      </w:r>
      <w:r>
        <w:rPr>
          <w:rFonts w:cs="Arial"/>
          <w:szCs w:val="24"/>
          <w:lang w:eastAsia="en-GB"/>
        </w:rPr>
        <w:t>would be unreasonable to expect h</w:t>
      </w:r>
      <w:r w:rsidR="00491100">
        <w:rPr>
          <w:rFonts w:cs="Arial"/>
          <w:szCs w:val="24"/>
          <w:lang w:eastAsia="en-GB"/>
        </w:rPr>
        <w:t>er</w:t>
      </w:r>
      <w:r>
        <w:rPr>
          <w:rFonts w:cs="Arial"/>
          <w:szCs w:val="24"/>
          <w:lang w:eastAsia="en-GB"/>
        </w:rPr>
        <w:t xml:space="preserve"> to leave. He </w:t>
      </w:r>
      <w:r>
        <w:rPr>
          <w:rFonts w:cs="Arial"/>
          <w:szCs w:val="24"/>
          <w:lang w:eastAsia="en-GB"/>
        </w:rPr>
        <w:lastRenderedPageBreak/>
        <w:t>commenced his assessment with that child's best interests (at 8). He also considered the best interests of the other children. He applied relevant case law (at 8-15). He took account of</w:t>
      </w:r>
      <w:r w:rsidR="00491100">
        <w:rPr>
          <w:rFonts w:cs="Arial"/>
          <w:szCs w:val="24"/>
          <w:lang w:eastAsia="en-GB"/>
        </w:rPr>
        <w:t xml:space="preserve"> the reports submitted (at 16), school documents (at 17), and made appropriate findings (at 18-29</w:t>
      </w:r>
      <w:r w:rsidR="00E30985">
        <w:rPr>
          <w:rFonts w:cs="Arial"/>
          <w:szCs w:val="24"/>
          <w:lang w:eastAsia="en-GB"/>
        </w:rPr>
        <w:t>, 35 and 37</w:t>
      </w:r>
      <w:r w:rsidR="00491100">
        <w:rPr>
          <w:rFonts w:cs="Arial"/>
          <w:szCs w:val="24"/>
          <w:lang w:eastAsia="en-GB"/>
        </w:rPr>
        <w:t xml:space="preserve">). He also considered the position of the adult appellants. I am now only concerned with the </w:t>
      </w:r>
      <w:r w:rsidR="00A83082">
        <w:rPr>
          <w:rFonts w:cs="Arial"/>
          <w:szCs w:val="24"/>
          <w:lang w:eastAsia="en-GB"/>
        </w:rPr>
        <w:t>mother of the children</w:t>
      </w:r>
      <w:r w:rsidR="00491100">
        <w:rPr>
          <w:rFonts w:cs="Arial"/>
          <w:szCs w:val="24"/>
          <w:lang w:eastAsia="en-GB"/>
        </w:rPr>
        <w:t xml:space="preserve"> as the </w:t>
      </w:r>
      <w:r w:rsidR="00A83082">
        <w:rPr>
          <w:rFonts w:cs="Arial"/>
          <w:szCs w:val="24"/>
          <w:lang w:eastAsia="en-GB"/>
        </w:rPr>
        <w:t>father</w:t>
      </w:r>
      <w:r w:rsidR="00491100">
        <w:rPr>
          <w:rFonts w:cs="Arial"/>
          <w:szCs w:val="24"/>
          <w:lang w:eastAsia="en-GB"/>
        </w:rPr>
        <w:t xml:space="preserve"> has withdrawn his </w:t>
      </w:r>
      <w:r w:rsidR="00E30985">
        <w:rPr>
          <w:rFonts w:cs="Arial"/>
          <w:szCs w:val="24"/>
          <w:lang w:eastAsia="en-GB"/>
        </w:rPr>
        <w:t>application</w:t>
      </w:r>
      <w:r w:rsidR="00491100">
        <w:rPr>
          <w:rFonts w:cs="Arial"/>
          <w:szCs w:val="24"/>
          <w:lang w:eastAsia="en-GB"/>
        </w:rPr>
        <w:t>. No specifi</w:t>
      </w:r>
      <w:r w:rsidR="00E30985">
        <w:rPr>
          <w:rFonts w:cs="Arial"/>
          <w:szCs w:val="24"/>
          <w:lang w:eastAsia="en-GB"/>
        </w:rPr>
        <w:t>c</w:t>
      </w:r>
      <w:r w:rsidR="00491100">
        <w:rPr>
          <w:rFonts w:cs="Arial"/>
          <w:szCs w:val="24"/>
          <w:lang w:eastAsia="en-GB"/>
        </w:rPr>
        <w:t xml:space="preserve"> information relating to her has been put forward. The judge made his findings at 30-</w:t>
      </w:r>
      <w:r w:rsidR="00E30985">
        <w:rPr>
          <w:rFonts w:cs="Arial"/>
          <w:szCs w:val="24"/>
          <w:lang w:eastAsia="en-GB"/>
        </w:rPr>
        <w:t xml:space="preserve">34 and 36. There is nothing before me to show that these contain any material errors. </w:t>
      </w:r>
    </w:p>
    <w:p w:rsidR="00E30985" w:rsidRDefault="00E30985" w:rsidP="00E140EF">
      <w:pPr>
        <w:numPr>
          <w:ilvl w:val="0"/>
          <w:numId w:val="1"/>
        </w:numPr>
        <w:tabs>
          <w:tab w:val="left" w:pos="1134"/>
        </w:tabs>
        <w:spacing w:before="240" w:after="0" w:line="240" w:lineRule="auto"/>
        <w:ind w:left="1134" w:hanging="567"/>
        <w:jc w:val="both"/>
        <w:rPr>
          <w:rFonts w:cs="Arial"/>
          <w:szCs w:val="24"/>
          <w:lang w:eastAsia="en-GB"/>
        </w:rPr>
      </w:pPr>
      <w:r>
        <w:rPr>
          <w:rFonts w:cs="Arial"/>
          <w:szCs w:val="24"/>
          <w:lang w:eastAsia="en-GB"/>
        </w:rPr>
        <w:t>The difficulty is that very little information was placed before the judge. The bundle is modest</w:t>
      </w:r>
      <w:r w:rsidR="00E0422A">
        <w:rPr>
          <w:rFonts w:cs="Arial"/>
          <w:szCs w:val="24"/>
          <w:lang w:eastAsia="en-GB"/>
        </w:rPr>
        <w:t>,</w:t>
      </w:r>
      <w:r>
        <w:rPr>
          <w:rFonts w:cs="Arial"/>
          <w:szCs w:val="24"/>
          <w:lang w:eastAsia="en-GB"/>
        </w:rPr>
        <w:t xml:space="preserve"> and the appellants declined the opportunity to attend an oral hearing. The judge did his best with the available information. He has considered the position of the </w:t>
      </w:r>
      <w:r w:rsidR="00A83082">
        <w:rPr>
          <w:rFonts w:cs="Arial"/>
          <w:szCs w:val="24"/>
          <w:lang w:eastAsia="en-GB"/>
        </w:rPr>
        <w:t xml:space="preserve">adult appellant </w:t>
      </w:r>
      <w:r>
        <w:rPr>
          <w:rFonts w:cs="Arial"/>
          <w:szCs w:val="24"/>
          <w:lang w:eastAsia="en-GB"/>
        </w:rPr>
        <w:t xml:space="preserve">and the children. </w:t>
      </w:r>
      <w:r w:rsidR="00A83082">
        <w:rPr>
          <w:rFonts w:cs="Arial"/>
          <w:szCs w:val="24"/>
          <w:lang w:eastAsia="en-GB"/>
        </w:rPr>
        <w:t>H</w:t>
      </w:r>
      <w:r>
        <w:rPr>
          <w:rFonts w:cs="Arial"/>
          <w:szCs w:val="24"/>
          <w:lang w:eastAsia="en-GB"/>
        </w:rPr>
        <w:t>is determination is sustainable and contains no material errors.</w:t>
      </w:r>
    </w:p>
    <w:p w:rsidR="007A58E2" w:rsidRPr="00B07E0B" w:rsidRDefault="007A58E2" w:rsidP="00E140EF">
      <w:pPr>
        <w:spacing w:before="240" w:after="0" w:line="240" w:lineRule="auto"/>
        <w:ind w:left="1134"/>
        <w:jc w:val="both"/>
        <w:rPr>
          <w:rFonts w:cs="Arial"/>
          <w:b/>
          <w:szCs w:val="24"/>
          <w:u w:val="single"/>
          <w:lang w:eastAsia="en-GB"/>
        </w:rPr>
      </w:pPr>
      <w:r w:rsidRPr="00B07E0B">
        <w:rPr>
          <w:rFonts w:cs="Arial"/>
          <w:b/>
          <w:szCs w:val="24"/>
          <w:u w:val="single"/>
          <w:lang w:eastAsia="en-GB"/>
        </w:rPr>
        <w:t xml:space="preserve">Decision </w:t>
      </w:r>
    </w:p>
    <w:p w:rsidR="007A58E2" w:rsidRDefault="007A58E2" w:rsidP="00E140EF">
      <w:pPr>
        <w:numPr>
          <w:ilvl w:val="0"/>
          <w:numId w:val="1"/>
        </w:numPr>
        <w:tabs>
          <w:tab w:val="left" w:pos="1134"/>
        </w:tabs>
        <w:spacing w:before="240" w:after="0" w:line="240" w:lineRule="auto"/>
        <w:ind w:left="1134" w:hanging="567"/>
        <w:jc w:val="both"/>
        <w:rPr>
          <w:rFonts w:cs="Arial"/>
          <w:szCs w:val="24"/>
          <w:lang w:eastAsia="en-GB"/>
        </w:rPr>
      </w:pPr>
      <w:r w:rsidRPr="0043495E">
        <w:rPr>
          <w:rFonts w:cs="Arial"/>
          <w:szCs w:val="24"/>
          <w:lang w:eastAsia="en-GB"/>
        </w:rPr>
        <w:t xml:space="preserve">The First-tier Tribunal </w:t>
      </w:r>
      <w:r>
        <w:rPr>
          <w:rFonts w:cs="Arial"/>
          <w:szCs w:val="24"/>
          <w:lang w:eastAsia="en-GB"/>
        </w:rPr>
        <w:t xml:space="preserve">did not make any material </w:t>
      </w:r>
      <w:r w:rsidRPr="0043495E">
        <w:rPr>
          <w:rFonts w:cs="Arial"/>
          <w:szCs w:val="24"/>
          <w:lang w:eastAsia="en-GB"/>
        </w:rPr>
        <w:t>error</w:t>
      </w:r>
      <w:r>
        <w:rPr>
          <w:rFonts w:cs="Arial"/>
          <w:szCs w:val="24"/>
          <w:lang w:eastAsia="en-GB"/>
        </w:rPr>
        <w:t>s</w:t>
      </w:r>
      <w:r w:rsidRPr="0043495E">
        <w:rPr>
          <w:rFonts w:cs="Arial"/>
          <w:szCs w:val="24"/>
          <w:lang w:eastAsia="en-GB"/>
        </w:rPr>
        <w:t xml:space="preserve"> of law</w:t>
      </w:r>
      <w:r>
        <w:rPr>
          <w:rFonts w:cs="Arial"/>
          <w:szCs w:val="24"/>
          <w:lang w:eastAsia="en-GB"/>
        </w:rPr>
        <w:t xml:space="preserve"> and the decision to </w:t>
      </w:r>
      <w:r w:rsidR="00E30985">
        <w:rPr>
          <w:rFonts w:cs="Arial"/>
          <w:szCs w:val="24"/>
          <w:lang w:eastAsia="en-GB"/>
        </w:rPr>
        <w:t>dismiss</w:t>
      </w:r>
      <w:r>
        <w:rPr>
          <w:rFonts w:cs="Arial"/>
          <w:szCs w:val="24"/>
          <w:lang w:eastAsia="en-GB"/>
        </w:rPr>
        <w:t xml:space="preserve"> the appeal</w:t>
      </w:r>
      <w:r w:rsidR="00E30985">
        <w:rPr>
          <w:rFonts w:cs="Arial"/>
          <w:szCs w:val="24"/>
          <w:lang w:eastAsia="en-GB"/>
        </w:rPr>
        <w:t xml:space="preserve">s </w:t>
      </w:r>
      <w:r>
        <w:rPr>
          <w:rFonts w:cs="Arial"/>
          <w:szCs w:val="24"/>
          <w:lang w:eastAsia="en-GB"/>
        </w:rPr>
        <w:t>is upheld</w:t>
      </w:r>
      <w:r w:rsidR="00E30985">
        <w:rPr>
          <w:rFonts w:cs="Arial"/>
          <w:szCs w:val="24"/>
          <w:lang w:eastAsia="en-GB"/>
        </w:rPr>
        <w:t>.</w:t>
      </w:r>
    </w:p>
    <w:p w:rsidR="00E30985" w:rsidRDefault="00E30985" w:rsidP="00E140EF">
      <w:pPr>
        <w:numPr>
          <w:ilvl w:val="0"/>
          <w:numId w:val="1"/>
        </w:numPr>
        <w:tabs>
          <w:tab w:val="left" w:pos="1134"/>
        </w:tabs>
        <w:spacing w:before="240" w:after="0" w:line="240" w:lineRule="auto"/>
        <w:ind w:left="1134" w:hanging="567"/>
        <w:jc w:val="both"/>
        <w:rPr>
          <w:rFonts w:cs="Arial"/>
          <w:szCs w:val="24"/>
          <w:lang w:eastAsia="en-GB"/>
        </w:rPr>
      </w:pPr>
      <w:r>
        <w:rPr>
          <w:rFonts w:cs="Arial"/>
          <w:szCs w:val="24"/>
          <w:lang w:eastAsia="en-GB"/>
        </w:rPr>
        <w:t xml:space="preserve">The application for permission to appeal made by </w:t>
      </w:r>
      <w:r w:rsidR="00264C29">
        <w:rPr>
          <w:rFonts w:cs="Arial"/>
          <w:szCs w:val="24"/>
          <w:lang w:eastAsia="en-GB"/>
        </w:rPr>
        <w:t>MTT</w:t>
      </w:r>
      <w:r w:rsidR="00A83082">
        <w:rPr>
          <w:rFonts w:cs="Arial"/>
          <w:szCs w:val="24"/>
          <w:lang w:eastAsia="en-GB"/>
        </w:rPr>
        <w:t xml:space="preserve"> (HU/14316/2016)</w:t>
      </w:r>
      <w:r>
        <w:rPr>
          <w:rFonts w:cs="Arial"/>
          <w:szCs w:val="24"/>
          <w:lang w:eastAsia="en-GB"/>
        </w:rPr>
        <w:t xml:space="preserve"> </w:t>
      </w:r>
      <w:r w:rsidR="00E76B1F">
        <w:rPr>
          <w:rFonts w:cs="Arial"/>
          <w:szCs w:val="24"/>
          <w:lang w:eastAsia="en-GB"/>
        </w:rPr>
        <w:t>has been</w:t>
      </w:r>
      <w:r>
        <w:rPr>
          <w:rFonts w:cs="Arial"/>
          <w:szCs w:val="24"/>
          <w:lang w:eastAsia="en-GB"/>
        </w:rPr>
        <w:t xml:space="preserve"> withdrawn.</w:t>
      </w:r>
    </w:p>
    <w:p w:rsidR="007A58E2" w:rsidRDefault="007A58E2" w:rsidP="00E140EF">
      <w:pPr>
        <w:spacing w:before="240" w:after="0" w:line="240" w:lineRule="auto"/>
        <w:ind w:left="1134"/>
        <w:jc w:val="both"/>
        <w:rPr>
          <w:rFonts w:cs="Arial"/>
          <w:b/>
          <w:szCs w:val="24"/>
          <w:u w:val="single"/>
          <w:lang w:eastAsia="en-GB"/>
        </w:rPr>
      </w:pPr>
      <w:r w:rsidRPr="00132928">
        <w:rPr>
          <w:rFonts w:cs="Arial"/>
          <w:b/>
          <w:szCs w:val="24"/>
          <w:u w:val="single"/>
          <w:lang w:eastAsia="en-GB"/>
        </w:rPr>
        <w:t xml:space="preserve">Anonymity </w:t>
      </w:r>
    </w:p>
    <w:p w:rsidR="007A58E2" w:rsidRPr="00132928" w:rsidRDefault="007A58E2" w:rsidP="00E140EF">
      <w:pPr>
        <w:numPr>
          <w:ilvl w:val="0"/>
          <w:numId w:val="1"/>
        </w:numPr>
        <w:tabs>
          <w:tab w:val="left" w:pos="1134"/>
        </w:tabs>
        <w:spacing w:before="240" w:after="0" w:line="240" w:lineRule="auto"/>
        <w:ind w:left="1134" w:hanging="567"/>
        <w:jc w:val="both"/>
        <w:rPr>
          <w:rFonts w:cs="Arial"/>
          <w:b/>
          <w:szCs w:val="24"/>
          <w:u w:val="single"/>
          <w:lang w:eastAsia="en-GB"/>
        </w:rPr>
      </w:pPr>
      <w:r>
        <w:rPr>
          <w:rFonts w:cs="Arial"/>
          <w:szCs w:val="24"/>
          <w:lang w:eastAsia="en-GB"/>
        </w:rPr>
        <w:t xml:space="preserve">I </w:t>
      </w:r>
      <w:r w:rsidR="00612104">
        <w:rPr>
          <w:rFonts w:cs="Arial"/>
          <w:szCs w:val="24"/>
          <w:lang w:eastAsia="en-GB"/>
        </w:rPr>
        <w:t>make an</w:t>
      </w:r>
      <w:r>
        <w:rPr>
          <w:rFonts w:cs="Arial"/>
          <w:szCs w:val="24"/>
          <w:lang w:eastAsia="en-GB"/>
        </w:rPr>
        <w:t xml:space="preserve"> anonymity order. </w:t>
      </w:r>
    </w:p>
    <w:p w:rsidR="007A58E2" w:rsidRDefault="007A58E2" w:rsidP="00E140EF">
      <w:pPr>
        <w:spacing w:after="0" w:line="240" w:lineRule="auto"/>
        <w:ind w:left="567"/>
        <w:jc w:val="both"/>
        <w:rPr>
          <w:rFonts w:cs="Arial"/>
          <w:szCs w:val="24"/>
          <w:lang w:eastAsia="en-GB"/>
        </w:rPr>
      </w:pPr>
    </w:p>
    <w:p w:rsidR="00E140EF" w:rsidRPr="00B07E0B" w:rsidRDefault="00E140EF" w:rsidP="00E140EF">
      <w:pPr>
        <w:spacing w:after="0" w:line="240" w:lineRule="auto"/>
        <w:ind w:left="567"/>
        <w:jc w:val="both"/>
        <w:rPr>
          <w:rFonts w:cs="Arial"/>
          <w:szCs w:val="24"/>
          <w:lang w:eastAsia="en-GB"/>
        </w:rPr>
      </w:pPr>
    </w:p>
    <w:p w:rsidR="007A58E2" w:rsidRPr="00B07E0B" w:rsidRDefault="007A58E2" w:rsidP="00E140EF">
      <w:pPr>
        <w:spacing w:after="0" w:line="240" w:lineRule="auto"/>
        <w:ind w:left="567"/>
        <w:jc w:val="both"/>
        <w:rPr>
          <w:rFonts w:cs="Arial"/>
          <w:szCs w:val="24"/>
          <w:lang w:eastAsia="en-GB"/>
        </w:rPr>
      </w:pPr>
      <w:r w:rsidRPr="00B07E0B">
        <w:rPr>
          <w:rFonts w:cs="Arial"/>
          <w:szCs w:val="24"/>
          <w:lang w:eastAsia="en-GB"/>
        </w:rPr>
        <w:t>Signed</w:t>
      </w:r>
    </w:p>
    <w:p w:rsidR="007A58E2" w:rsidRPr="00B07E0B" w:rsidRDefault="008725BD" w:rsidP="00E140EF">
      <w:pPr>
        <w:spacing w:after="0" w:line="240" w:lineRule="auto"/>
        <w:ind w:left="567"/>
        <w:rPr>
          <w:rFonts w:cs="Arial"/>
          <w:color w:val="000000"/>
          <w:szCs w:val="24"/>
          <w:lang w:eastAsia="en-GB"/>
        </w:rPr>
      </w:pPr>
      <w:r>
        <w:rPr>
          <w:noProof/>
          <w:lang w:eastAsia="en-GB"/>
        </w:rPr>
        <w:drawing>
          <wp:anchor distT="0" distB="0" distL="114300" distR="114300" simplePos="0" relativeHeight="251657728" behindDoc="0" locked="0" layoutInCell="1" allowOverlap="1">
            <wp:simplePos x="0" y="0"/>
            <wp:positionH relativeFrom="column">
              <wp:posOffset>426720</wp:posOffset>
            </wp:positionH>
            <wp:positionV relativeFrom="paragraph">
              <wp:posOffset>104775</wp:posOffset>
            </wp:positionV>
            <wp:extent cx="2514600" cy="660400"/>
            <wp:effectExtent l="0" t="0" r="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660400"/>
                    </a:xfrm>
                    <a:prstGeom prst="rect">
                      <a:avLst/>
                    </a:prstGeom>
                    <a:noFill/>
                  </pic:spPr>
                </pic:pic>
              </a:graphicData>
            </a:graphic>
            <wp14:sizeRelH relativeFrom="page">
              <wp14:pctWidth>0</wp14:pctWidth>
            </wp14:sizeRelH>
            <wp14:sizeRelV relativeFrom="page">
              <wp14:pctHeight>0</wp14:pctHeight>
            </wp14:sizeRelV>
          </wp:anchor>
        </w:drawing>
      </w:r>
    </w:p>
    <w:p w:rsidR="007A58E2" w:rsidRPr="00B07E0B" w:rsidRDefault="007A58E2" w:rsidP="00E140EF">
      <w:pPr>
        <w:tabs>
          <w:tab w:val="left" w:pos="2520"/>
        </w:tabs>
        <w:spacing w:after="0" w:line="240" w:lineRule="auto"/>
        <w:ind w:left="567"/>
        <w:rPr>
          <w:rFonts w:cs="Arial"/>
          <w:color w:val="000000"/>
          <w:szCs w:val="24"/>
          <w:lang w:eastAsia="en-GB"/>
        </w:rPr>
      </w:pPr>
    </w:p>
    <w:p w:rsidR="00E76B1F" w:rsidRDefault="00E76B1F" w:rsidP="00E140EF">
      <w:pPr>
        <w:tabs>
          <w:tab w:val="left" w:pos="2520"/>
        </w:tabs>
        <w:spacing w:after="0" w:line="240" w:lineRule="auto"/>
        <w:ind w:left="567"/>
        <w:rPr>
          <w:rFonts w:cs="Arial"/>
          <w:color w:val="000000"/>
          <w:szCs w:val="24"/>
          <w:lang w:eastAsia="en-GB"/>
        </w:rPr>
      </w:pPr>
    </w:p>
    <w:p w:rsidR="00E140EF" w:rsidRDefault="00E140EF" w:rsidP="00E140EF">
      <w:pPr>
        <w:tabs>
          <w:tab w:val="left" w:pos="2520"/>
        </w:tabs>
        <w:spacing w:after="0" w:line="240" w:lineRule="auto"/>
        <w:ind w:left="567"/>
        <w:rPr>
          <w:rFonts w:cs="Arial"/>
          <w:color w:val="000000"/>
          <w:szCs w:val="24"/>
          <w:lang w:eastAsia="en-GB"/>
        </w:rPr>
      </w:pPr>
    </w:p>
    <w:p w:rsidR="00E76B1F" w:rsidRDefault="00E76B1F" w:rsidP="00E140EF">
      <w:pPr>
        <w:tabs>
          <w:tab w:val="left" w:pos="2520"/>
        </w:tabs>
        <w:spacing w:after="0" w:line="240" w:lineRule="auto"/>
        <w:ind w:left="567"/>
        <w:rPr>
          <w:rFonts w:cs="Arial"/>
          <w:color w:val="000000"/>
          <w:szCs w:val="24"/>
          <w:lang w:eastAsia="en-GB"/>
        </w:rPr>
      </w:pPr>
    </w:p>
    <w:p w:rsidR="007A58E2" w:rsidRPr="00132928" w:rsidRDefault="007A58E2" w:rsidP="00E140EF">
      <w:pPr>
        <w:tabs>
          <w:tab w:val="left" w:pos="2520"/>
        </w:tabs>
        <w:spacing w:after="0" w:line="240" w:lineRule="auto"/>
        <w:ind w:left="1134"/>
        <w:rPr>
          <w:rFonts w:cs="Arial"/>
          <w:color w:val="000000"/>
          <w:szCs w:val="24"/>
          <w:u w:val="single"/>
          <w:lang w:eastAsia="en-GB"/>
        </w:rPr>
      </w:pPr>
      <w:r w:rsidRPr="00132928">
        <w:rPr>
          <w:rFonts w:cs="Arial"/>
          <w:color w:val="000000"/>
          <w:szCs w:val="24"/>
          <w:u w:val="single"/>
          <w:lang w:eastAsia="en-GB"/>
        </w:rPr>
        <w:t xml:space="preserve">Upper Tribunal Judge </w:t>
      </w:r>
    </w:p>
    <w:p w:rsidR="007A58E2" w:rsidRPr="00B07E0B" w:rsidRDefault="007A58E2" w:rsidP="00E140EF">
      <w:pPr>
        <w:spacing w:after="0" w:line="240" w:lineRule="auto"/>
        <w:ind w:left="1134"/>
        <w:rPr>
          <w:rFonts w:ascii="Times New Roman" w:hAnsi="Times New Roman"/>
          <w:szCs w:val="24"/>
          <w:lang w:eastAsia="en-GB"/>
        </w:rPr>
      </w:pPr>
    </w:p>
    <w:p w:rsidR="007A58E2" w:rsidRDefault="007A58E2" w:rsidP="00E140EF">
      <w:pPr>
        <w:spacing w:after="0" w:line="240" w:lineRule="auto"/>
        <w:ind w:left="1134"/>
      </w:pPr>
      <w:r w:rsidRPr="00B07E0B">
        <w:rPr>
          <w:rFonts w:ascii="Times New Roman" w:hAnsi="Times New Roman"/>
          <w:szCs w:val="24"/>
          <w:lang w:eastAsia="en-GB"/>
        </w:rPr>
        <w:t xml:space="preserve">Date: </w:t>
      </w:r>
      <w:r>
        <w:rPr>
          <w:rFonts w:ascii="Times New Roman" w:hAnsi="Times New Roman"/>
          <w:szCs w:val="24"/>
          <w:lang w:eastAsia="en-GB"/>
        </w:rPr>
        <w:t>1</w:t>
      </w:r>
      <w:r w:rsidR="00E76B1F">
        <w:rPr>
          <w:rFonts w:ascii="Times New Roman" w:hAnsi="Times New Roman"/>
          <w:szCs w:val="24"/>
          <w:lang w:eastAsia="en-GB"/>
        </w:rPr>
        <w:t>6</w:t>
      </w:r>
      <w:r>
        <w:rPr>
          <w:rFonts w:ascii="Times New Roman" w:hAnsi="Times New Roman"/>
          <w:szCs w:val="24"/>
          <w:lang w:eastAsia="en-GB"/>
        </w:rPr>
        <w:t xml:space="preserve"> August 2018</w:t>
      </w:r>
    </w:p>
    <w:p w:rsidR="007A58E2" w:rsidRDefault="007A58E2" w:rsidP="00E140EF">
      <w:pPr>
        <w:spacing w:after="0" w:line="240" w:lineRule="auto"/>
        <w:ind w:left="1134"/>
      </w:pPr>
    </w:p>
    <w:sectPr w:rsidR="007A58E2" w:rsidSect="009268D9">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D40" w:rsidRDefault="00F06D40">
      <w:r>
        <w:separator/>
      </w:r>
    </w:p>
  </w:endnote>
  <w:endnote w:type="continuationSeparator" w:id="0">
    <w:p w:rsidR="00F06D40" w:rsidRDefault="00F06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8D9" w:rsidRPr="00E140EF" w:rsidRDefault="009268D9" w:rsidP="009268D9">
    <w:pPr>
      <w:pStyle w:val="Footer"/>
      <w:jc w:val="center"/>
      <w:rPr>
        <w:rFonts w:ascii="Arial" w:hAnsi="Arial" w:cs="Arial"/>
        <w:sz w:val="20"/>
        <w:szCs w:val="20"/>
      </w:rPr>
    </w:pPr>
    <w:r w:rsidRPr="00E140EF">
      <w:rPr>
        <w:rStyle w:val="PageNumber"/>
        <w:rFonts w:ascii="Arial" w:hAnsi="Arial" w:cs="Arial"/>
        <w:sz w:val="20"/>
        <w:szCs w:val="20"/>
      </w:rPr>
      <w:fldChar w:fldCharType="begin"/>
    </w:r>
    <w:r w:rsidRPr="00E140EF">
      <w:rPr>
        <w:rStyle w:val="PageNumber"/>
        <w:rFonts w:ascii="Arial" w:hAnsi="Arial" w:cs="Arial"/>
        <w:sz w:val="20"/>
        <w:szCs w:val="20"/>
      </w:rPr>
      <w:instrText xml:space="preserve"> PAGE </w:instrText>
    </w:r>
    <w:r w:rsidRPr="00E140EF">
      <w:rPr>
        <w:rStyle w:val="PageNumber"/>
        <w:rFonts w:ascii="Arial" w:hAnsi="Arial" w:cs="Arial"/>
        <w:sz w:val="20"/>
        <w:szCs w:val="20"/>
      </w:rPr>
      <w:fldChar w:fldCharType="separate"/>
    </w:r>
    <w:r w:rsidR="00E027BE">
      <w:rPr>
        <w:rStyle w:val="PageNumber"/>
        <w:rFonts w:ascii="Arial" w:hAnsi="Arial" w:cs="Arial"/>
        <w:noProof/>
        <w:sz w:val="20"/>
        <w:szCs w:val="20"/>
      </w:rPr>
      <w:t>4</w:t>
    </w:r>
    <w:r w:rsidRPr="00E140EF">
      <w:rPr>
        <w:rStyle w:val="PageNumber"/>
        <w:rFonts w:ascii="Arial" w:hAnsi="Arial"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8D9" w:rsidRPr="00090CF9" w:rsidRDefault="009268D9" w:rsidP="009268D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D40" w:rsidRDefault="00F06D40">
      <w:r>
        <w:separator/>
      </w:r>
    </w:p>
  </w:footnote>
  <w:footnote w:type="continuationSeparator" w:id="0">
    <w:p w:rsidR="00F06D40" w:rsidRDefault="00F06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433" w:rsidRPr="00E140EF" w:rsidRDefault="009268D9" w:rsidP="002E0433">
    <w:pPr>
      <w:pStyle w:val="Header"/>
      <w:jc w:val="right"/>
      <w:rPr>
        <w:rFonts w:ascii="Arial" w:hAnsi="Arial" w:cs="Arial"/>
        <w:sz w:val="20"/>
        <w:szCs w:val="20"/>
      </w:rPr>
    </w:pPr>
    <w:r w:rsidRPr="00E140EF">
      <w:rPr>
        <w:rFonts w:ascii="Arial" w:hAnsi="Arial" w:cs="Arial"/>
        <w:sz w:val="20"/>
        <w:szCs w:val="20"/>
      </w:rPr>
      <w:t xml:space="preserve">Appeal Number: </w:t>
    </w:r>
    <w:r w:rsidR="002E0433" w:rsidRPr="00E140EF">
      <w:rPr>
        <w:rFonts w:ascii="Arial" w:hAnsi="Arial" w:cs="Arial"/>
        <w:sz w:val="20"/>
        <w:szCs w:val="20"/>
      </w:rPr>
      <w:t>HU/14318/2016</w:t>
    </w:r>
  </w:p>
  <w:p w:rsidR="002E0433" w:rsidRPr="00E140EF" w:rsidRDefault="002E0433" w:rsidP="002E0433">
    <w:pPr>
      <w:pStyle w:val="Header"/>
      <w:jc w:val="right"/>
      <w:rPr>
        <w:rFonts w:ascii="Arial" w:hAnsi="Arial" w:cs="Arial"/>
        <w:sz w:val="20"/>
        <w:szCs w:val="20"/>
      </w:rPr>
    </w:pPr>
    <w:r w:rsidRPr="00E140EF">
      <w:rPr>
        <w:rFonts w:ascii="Arial" w:hAnsi="Arial" w:cs="Arial"/>
        <w:sz w:val="20"/>
        <w:szCs w:val="20"/>
      </w:rPr>
      <w:t>HU/14324/2016</w:t>
    </w:r>
  </w:p>
  <w:p w:rsidR="002E0433" w:rsidRPr="00E140EF" w:rsidRDefault="002E0433" w:rsidP="002E0433">
    <w:pPr>
      <w:pStyle w:val="Header"/>
      <w:jc w:val="right"/>
      <w:rPr>
        <w:rFonts w:ascii="Arial" w:hAnsi="Arial" w:cs="Arial"/>
        <w:sz w:val="20"/>
        <w:szCs w:val="20"/>
      </w:rPr>
    </w:pPr>
    <w:r w:rsidRPr="00E140EF">
      <w:rPr>
        <w:rFonts w:ascii="Arial" w:hAnsi="Arial" w:cs="Arial"/>
        <w:sz w:val="20"/>
        <w:szCs w:val="20"/>
      </w:rPr>
      <w:t>HU/14330/2016</w:t>
    </w:r>
  </w:p>
  <w:p w:rsidR="009268D9" w:rsidRDefault="002E0433" w:rsidP="002E0433">
    <w:pPr>
      <w:pStyle w:val="Header"/>
      <w:jc w:val="right"/>
      <w:rPr>
        <w:rFonts w:ascii="Arial" w:hAnsi="Arial" w:cs="Arial"/>
        <w:sz w:val="20"/>
        <w:szCs w:val="20"/>
      </w:rPr>
    </w:pPr>
    <w:r w:rsidRPr="00E140EF">
      <w:rPr>
        <w:rFonts w:ascii="Arial" w:hAnsi="Arial" w:cs="Arial"/>
        <w:sz w:val="20"/>
        <w:szCs w:val="20"/>
      </w:rPr>
      <w:t>HU/14333/2016</w:t>
    </w:r>
  </w:p>
  <w:p w:rsidR="00E140EF" w:rsidRPr="00E140EF" w:rsidRDefault="00E140EF" w:rsidP="002E0433">
    <w:pPr>
      <w:pStyle w:val="Header"/>
      <w:jc w:val="right"/>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35193"/>
    <w:multiLevelType w:val="hybridMultilevel"/>
    <w:tmpl w:val="D84C8CB8"/>
    <w:lvl w:ilvl="0" w:tplc="FE18796C">
      <w:start w:val="1"/>
      <w:numFmt w:val="decimal"/>
      <w:lvlText w:val="%1."/>
      <w:lvlJc w:val="left"/>
      <w:pPr>
        <w:ind w:left="1279" w:hanging="570"/>
      </w:pPr>
      <w:rPr>
        <w:rFonts w:cs="Times New Roman" w:hint="default"/>
        <w:b w:val="0"/>
      </w:rPr>
    </w:lvl>
    <w:lvl w:ilvl="1" w:tplc="08090019" w:tentative="1">
      <w:start w:val="1"/>
      <w:numFmt w:val="lowerLetter"/>
      <w:lvlText w:val="%2."/>
      <w:lvlJc w:val="left"/>
      <w:pPr>
        <w:ind w:left="1647" w:hanging="360"/>
      </w:pPr>
      <w:rPr>
        <w:rFonts w:cs="Times New Roman"/>
      </w:rPr>
    </w:lvl>
    <w:lvl w:ilvl="2" w:tplc="0809001B" w:tentative="1">
      <w:start w:val="1"/>
      <w:numFmt w:val="lowerRoman"/>
      <w:lvlText w:val="%3."/>
      <w:lvlJc w:val="right"/>
      <w:pPr>
        <w:ind w:left="2367" w:hanging="180"/>
      </w:pPr>
      <w:rPr>
        <w:rFonts w:cs="Times New Roman"/>
      </w:rPr>
    </w:lvl>
    <w:lvl w:ilvl="3" w:tplc="0809000F" w:tentative="1">
      <w:start w:val="1"/>
      <w:numFmt w:val="decimal"/>
      <w:lvlText w:val="%4."/>
      <w:lvlJc w:val="left"/>
      <w:pPr>
        <w:ind w:left="3087" w:hanging="360"/>
      </w:pPr>
      <w:rPr>
        <w:rFonts w:cs="Times New Roman"/>
      </w:rPr>
    </w:lvl>
    <w:lvl w:ilvl="4" w:tplc="08090019" w:tentative="1">
      <w:start w:val="1"/>
      <w:numFmt w:val="lowerLetter"/>
      <w:lvlText w:val="%5."/>
      <w:lvlJc w:val="left"/>
      <w:pPr>
        <w:ind w:left="3807" w:hanging="360"/>
      </w:pPr>
      <w:rPr>
        <w:rFonts w:cs="Times New Roman"/>
      </w:rPr>
    </w:lvl>
    <w:lvl w:ilvl="5" w:tplc="0809001B" w:tentative="1">
      <w:start w:val="1"/>
      <w:numFmt w:val="lowerRoman"/>
      <w:lvlText w:val="%6."/>
      <w:lvlJc w:val="right"/>
      <w:pPr>
        <w:ind w:left="4527" w:hanging="180"/>
      </w:pPr>
      <w:rPr>
        <w:rFonts w:cs="Times New Roman"/>
      </w:rPr>
    </w:lvl>
    <w:lvl w:ilvl="6" w:tplc="0809000F" w:tentative="1">
      <w:start w:val="1"/>
      <w:numFmt w:val="decimal"/>
      <w:lvlText w:val="%7."/>
      <w:lvlJc w:val="left"/>
      <w:pPr>
        <w:ind w:left="5247" w:hanging="360"/>
      </w:pPr>
      <w:rPr>
        <w:rFonts w:cs="Times New Roman"/>
      </w:rPr>
    </w:lvl>
    <w:lvl w:ilvl="7" w:tplc="08090019" w:tentative="1">
      <w:start w:val="1"/>
      <w:numFmt w:val="lowerLetter"/>
      <w:lvlText w:val="%8."/>
      <w:lvlJc w:val="left"/>
      <w:pPr>
        <w:ind w:left="5967" w:hanging="360"/>
      </w:pPr>
      <w:rPr>
        <w:rFonts w:cs="Times New Roman"/>
      </w:rPr>
    </w:lvl>
    <w:lvl w:ilvl="8" w:tplc="0809001B" w:tentative="1">
      <w:start w:val="1"/>
      <w:numFmt w:val="lowerRoman"/>
      <w:lvlText w:val="%9."/>
      <w:lvlJc w:val="right"/>
      <w:pPr>
        <w:ind w:left="6687"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8E2"/>
    <w:rsid w:val="00053E89"/>
    <w:rsid w:val="000A045A"/>
    <w:rsid w:val="000C6843"/>
    <w:rsid w:val="002350CE"/>
    <w:rsid w:val="00264C29"/>
    <w:rsid w:val="00287352"/>
    <w:rsid w:val="002D7587"/>
    <w:rsid w:val="002E0433"/>
    <w:rsid w:val="00305111"/>
    <w:rsid w:val="003B5292"/>
    <w:rsid w:val="00491100"/>
    <w:rsid w:val="004E3A3F"/>
    <w:rsid w:val="004E43BF"/>
    <w:rsid w:val="004E69CB"/>
    <w:rsid w:val="00590F49"/>
    <w:rsid w:val="00612104"/>
    <w:rsid w:val="006720E7"/>
    <w:rsid w:val="006C4624"/>
    <w:rsid w:val="006D6891"/>
    <w:rsid w:val="007A58E2"/>
    <w:rsid w:val="007E0292"/>
    <w:rsid w:val="008725BD"/>
    <w:rsid w:val="008727AE"/>
    <w:rsid w:val="009268D9"/>
    <w:rsid w:val="0096190B"/>
    <w:rsid w:val="009F7A78"/>
    <w:rsid w:val="00A32F68"/>
    <w:rsid w:val="00A83082"/>
    <w:rsid w:val="00B7554A"/>
    <w:rsid w:val="00BC0C4A"/>
    <w:rsid w:val="00C94884"/>
    <w:rsid w:val="00D054C8"/>
    <w:rsid w:val="00D433DF"/>
    <w:rsid w:val="00D640CC"/>
    <w:rsid w:val="00E027BE"/>
    <w:rsid w:val="00E0422A"/>
    <w:rsid w:val="00E140EF"/>
    <w:rsid w:val="00E30985"/>
    <w:rsid w:val="00E67299"/>
    <w:rsid w:val="00E76B1F"/>
    <w:rsid w:val="00EA20F8"/>
    <w:rsid w:val="00F06D40"/>
    <w:rsid w:val="00FB4C24"/>
    <w:rsid w:val="00FD3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3073"/>
    <o:shapelayout v:ext="edit">
      <o:idmap v:ext="edit" data="1"/>
    </o:shapelayout>
  </w:shapeDefaults>
  <w:decimalSymbol w:val="."/>
  <w:listSeparator w:val=","/>
  <w14:docId w14:val="62492E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A58E2"/>
    <w:pPr>
      <w:spacing w:after="160" w:line="259" w:lineRule="auto"/>
    </w:pPr>
    <w:rPr>
      <w:rFonts w:ascii="Book Antiqua" w:hAnsi="Book Antiqua"/>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A58E2"/>
    <w:pPr>
      <w:tabs>
        <w:tab w:val="center" w:pos="4513"/>
        <w:tab w:val="right" w:pos="9026"/>
      </w:tabs>
      <w:spacing w:after="0" w:line="240" w:lineRule="auto"/>
    </w:pPr>
  </w:style>
  <w:style w:type="character" w:customStyle="1" w:styleId="HeaderChar">
    <w:name w:val="Header Char"/>
    <w:link w:val="Header"/>
    <w:locked/>
    <w:rsid w:val="007A58E2"/>
    <w:rPr>
      <w:rFonts w:ascii="Book Antiqua" w:hAnsi="Book Antiqua"/>
      <w:sz w:val="24"/>
      <w:szCs w:val="22"/>
      <w:lang w:val="en-GB" w:eastAsia="en-US" w:bidi="ar-SA"/>
    </w:rPr>
  </w:style>
  <w:style w:type="paragraph" w:styleId="Footer">
    <w:name w:val="footer"/>
    <w:basedOn w:val="Normal"/>
    <w:link w:val="FooterChar"/>
    <w:rsid w:val="007A58E2"/>
    <w:pPr>
      <w:tabs>
        <w:tab w:val="center" w:pos="4513"/>
        <w:tab w:val="right" w:pos="9026"/>
      </w:tabs>
      <w:spacing w:after="0" w:line="240" w:lineRule="auto"/>
    </w:pPr>
  </w:style>
  <w:style w:type="character" w:customStyle="1" w:styleId="FooterChar">
    <w:name w:val="Footer Char"/>
    <w:link w:val="Footer"/>
    <w:locked/>
    <w:rsid w:val="007A58E2"/>
    <w:rPr>
      <w:rFonts w:ascii="Book Antiqua" w:hAnsi="Book Antiqua"/>
      <w:sz w:val="24"/>
      <w:szCs w:val="22"/>
      <w:lang w:val="en-GB" w:eastAsia="en-US" w:bidi="ar-SA"/>
    </w:rPr>
  </w:style>
  <w:style w:type="character" w:styleId="PageNumber">
    <w:name w:val="page number"/>
    <w:rsid w:val="007A58E2"/>
    <w:rPr>
      <w:rFonts w:cs="Times New Roman"/>
    </w:rPr>
  </w:style>
  <w:style w:type="paragraph" w:styleId="ListParagraph">
    <w:name w:val="List Paragraph"/>
    <w:basedOn w:val="Normal"/>
    <w:qFormat/>
    <w:rsid w:val="007A58E2"/>
    <w:pPr>
      <w:ind w:left="720"/>
      <w:contextualSpacing/>
    </w:pPr>
  </w:style>
  <w:style w:type="paragraph" w:styleId="BalloonText">
    <w:name w:val="Balloon Text"/>
    <w:basedOn w:val="Normal"/>
    <w:link w:val="BalloonTextChar"/>
    <w:rsid w:val="00E76B1F"/>
    <w:pPr>
      <w:spacing w:after="0" w:line="240" w:lineRule="auto"/>
    </w:pPr>
    <w:rPr>
      <w:rFonts w:ascii="Segoe UI" w:hAnsi="Segoe UI" w:cs="Segoe UI"/>
      <w:sz w:val="18"/>
      <w:szCs w:val="18"/>
    </w:rPr>
  </w:style>
  <w:style w:type="character" w:customStyle="1" w:styleId="BalloonTextChar">
    <w:name w:val="Balloon Text Char"/>
    <w:link w:val="BalloonText"/>
    <w:rsid w:val="00E76B1F"/>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1229</Words>
  <Characters>6044</Characters>
  <Application>Microsoft Office Word</Application>
  <DocSecurity>0</DocSecurity>
  <Lines>50</Lines>
  <Paragraphs>14</Paragraphs>
  <ScaleCrop>false</ScaleCrop>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2018-09-18T14:44:00Z</dcterms:created>
  <dcterms:modified xsi:type="dcterms:W3CDTF">2018-09-18T14:44:00Z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