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3F" w:rsidRDefault="00A93DB7">
      <w:pPr>
        <w:jc w:val="center"/>
        <w:rPr>
          <w:rFonts w:ascii="Book Antiqua" w:eastAsia="Book Antiqua" w:hAnsi="Book Antiqua" w:cs="Book Antiqua"/>
          <w:color w:val="000000"/>
          <w:sz w:val="16"/>
          <w:szCs w:val="16"/>
        </w:rPr>
      </w:pPr>
      <w:r>
        <w:rPr>
          <w:noProof/>
        </w:rPr>
        <w:drawing>
          <wp:inline distT="0" distB="0" distL="114300" distR="114300" wp14:anchorId="7003A371" wp14:editId="56A226B4">
            <wp:extent cx="1045210" cy="908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45210" cy="908050"/>
                    </a:xfrm>
                    <a:prstGeom prst="rect">
                      <a:avLst/>
                    </a:prstGeom>
                    <a:ln/>
                  </pic:spPr>
                </pic:pic>
              </a:graphicData>
            </a:graphic>
          </wp:inline>
        </w:drawing>
      </w:r>
    </w:p>
    <w:p w:rsidR="0076243F" w:rsidRDefault="0076243F">
      <w:pPr>
        <w:rPr>
          <w:rFonts w:ascii="Book Antiqua" w:eastAsia="Book Antiqua" w:hAnsi="Book Antiqua" w:cs="Book Antiqua"/>
          <w:color w:val="000000"/>
          <w:sz w:val="16"/>
          <w:szCs w:val="16"/>
        </w:rPr>
      </w:pPr>
    </w:p>
    <w:p w:rsidR="0076243F" w:rsidRDefault="0076243F">
      <w:pPr>
        <w:rPr>
          <w:rFonts w:ascii="Book Antiqua" w:eastAsia="Book Antiqua" w:hAnsi="Book Antiqua" w:cs="Book Antiqua"/>
          <w:color w:val="000000"/>
        </w:rPr>
      </w:pPr>
    </w:p>
    <w:p w:rsidR="0076243F" w:rsidRDefault="00A93DB7">
      <w:pPr>
        <w:tabs>
          <w:tab w:val="right" w:pos="9720"/>
        </w:tabs>
        <w:ind w:right="-82"/>
        <w:rPr>
          <w:rFonts w:ascii="Book Antiqua" w:eastAsia="Book Antiqua" w:hAnsi="Book Antiqua" w:cs="Book Antiqua"/>
          <w:color w:val="000000"/>
        </w:rPr>
      </w:pPr>
      <w:r>
        <w:rPr>
          <w:rFonts w:ascii="Book Antiqua" w:eastAsia="Book Antiqua" w:hAnsi="Book Antiqua" w:cs="Book Antiqua"/>
          <w:b/>
          <w:color w:val="000000"/>
        </w:rPr>
        <w:t>Upper Tribunal</w:t>
      </w:r>
      <w:bookmarkStart w:id="0" w:name="_GoBack"/>
      <w:bookmarkEnd w:id="0"/>
    </w:p>
    <w:p w:rsidR="0076243F" w:rsidRDefault="00A93DB7">
      <w:pPr>
        <w:tabs>
          <w:tab w:val="right" w:pos="9720"/>
        </w:tabs>
        <w:ind w:right="-82"/>
        <w:rPr>
          <w:rFonts w:ascii="Book Antiqua" w:eastAsia="Book Antiqua" w:hAnsi="Book Antiqua" w:cs="Book Antiqua"/>
          <w:color w:val="000000"/>
        </w:rPr>
      </w:pPr>
      <w:bookmarkStart w:id="1" w:name="_gjdgxs" w:colFirst="0" w:colLast="0"/>
      <w:bookmarkEnd w:id="1"/>
      <w:r>
        <w:rPr>
          <w:rFonts w:ascii="Book Antiqua" w:eastAsia="Book Antiqua" w:hAnsi="Book Antiqua" w:cs="Book Antiqua"/>
          <w:b/>
          <w:color w:val="000000"/>
        </w:rPr>
        <w:t>(Immigration and Asylum Chamber)</w:t>
      </w:r>
      <w:r>
        <w:rPr>
          <w:rFonts w:ascii="Book Antiqua" w:eastAsia="Book Antiqua" w:hAnsi="Book Antiqua" w:cs="Book Antiqua"/>
          <w:b/>
          <w:color w:val="000000"/>
        </w:rPr>
        <w:tab/>
      </w:r>
      <w:r>
        <w:rPr>
          <w:rFonts w:ascii="Book Antiqua" w:eastAsia="Book Antiqua" w:hAnsi="Book Antiqua" w:cs="Book Antiqua"/>
          <w:color w:val="000000"/>
        </w:rPr>
        <w:t xml:space="preserve">Appeal Number: </w:t>
      </w:r>
      <w:bookmarkStart w:id="2" w:name="_Hlk517174399"/>
      <w:r w:rsidR="008E1A93">
        <w:rPr>
          <w:rFonts w:ascii="Book Antiqua" w:eastAsia="Book Antiqua" w:hAnsi="Book Antiqua" w:cs="Book Antiqua"/>
          <w:smallCaps/>
          <w:color w:val="000000"/>
        </w:rPr>
        <w:t>HU</w:t>
      </w:r>
      <w:r>
        <w:rPr>
          <w:rFonts w:ascii="Book Antiqua" w:eastAsia="Book Antiqua" w:hAnsi="Book Antiqua" w:cs="Book Antiqua"/>
          <w:smallCaps/>
          <w:color w:val="000000"/>
        </w:rPr>
        <w:t>/</w:t>
      </w:r>
      <w:r w:rsidR="00DC6440">
        <w:rPr>
          <w:rFonts w:ascii="Book Antiqua" w:eastAsia="Book Antiqua" w:hAnsi="Book Antiqua" w:cs="Book Antiqua"/>
          <w:smallCaps/>
          <w:color w:val="000000"/>
        </w:rPr>
        <w:t>1445</w:t>
      </w:r>
      <w:r>
        <w:rPr>
          <w:rFonts w:ascii="Book Antiqua" w:eastAsia="Book Antiqua" w:hAnsi="Book Antiqua" w:cs="Book Antiqua"/>
          <w:smallCaps/>
          <w:color w:val="000000"/>
        </w:rPr>
        <w:t>7/201</w:t>
      </w:r>
      <w:r w:rsidR="00DC6440">
        <w:rPr>
          <w:rFonts w:ascii="Book Antiqua" w:eastAsia="Book Antiqua" w:hAnsi="Book Antiqua" w:cs="Book Antiqua"/>
          <w:smallCaps/>
          <w:color w:val="000000"/>
        </w:rPr>
        <w:t>7</w:t>
      </w:r>
    </w:p>
    <w:bookmarkEnd w:id="2"/>
    <w:p w:rsidR="0076243F" w:rsidRDefault="0076243F">
      <w:pPr>
        <w:jc w:val="center"/>
        <w:rPr>
          <w:rFonts w:ascii="Book Antiqua" w:eastAsia="Book Antiqua" w:hAnsi="Book Antiqua" w:cs="Book Antiqua"/>
          <w:color w:val="000000"/>
        </w:rPr>
      </w:pPr>
    </w:p>
    <w:p w:rsidR="0076243F" w:rsidRDefault="0076243F">
      <w:pPr>
        <w:jc w:val="center"/>
        <w:rPr>
          <w:rFonts w:ascii="Book Antiqua" w:eastAsia="Book Antiqua" w:hAnsi="Book Antiqua" w:cs="Book Antiqua"/>
          <w:color w:val="000000"/>
        </w:rPr>
      </w:pPr>
    </w:p>
    <w:p w:rsidR="0076243F" w:rsidRDefault="00A93DB7">
      <w:pPr>
        <w:jc w:val="center"/>
        <w:rPr>
          <w:rFonts w:ascii="Book Antiqua" w:eastAsia="Book Antiqua" w:hAnsi="Book Antiqua" w:cs="Book Antiqua"/>
          <w:color w:val="000000"/>
          <w:u w:val="single"/>
        </w:rPr>
      </w:pPr>
      <w:r>
        <w:rPr>
          <w:rFonts w:ascii="Book Antiqua" w:eastAsia="Book Antiqua" w:hAnsi="Book Antiqua" w:cs="Book Antiqua"/>
          <w:b/>
          <w:color w:val="000000"/>
          <w:u w:val="single"/>
        </w:rPr>
        <w:t>THE IMMIGRATION ACTS</w:t>
      </w:r>
    </w:p>
    <w:p w:rsidR="0076243F" w:rsidRDefault="0076243F">
      <w:pPr>
        <w:jc w:val="center"/>
        <w:rPr>
          <w:rFonts w:ascii="Book Antiqua" w:eastAsia="Book Antiqua" w:hAnsi="Book Antiqua" w:cs="Book Antiqua"/>
          <w:u w:val="single"/>
        </w:rPr>
      </w:pPr>
    </w:p>
    <w:p w:rsidR="0076243F" w:rsidRDefault="0076243F">
      <w:pPr>
        <w:jc w:val="center"/>
        <w:rPr>
          <w:rFonts w:ascii="Book Antiqua" w:eastAsia="Book Antiqua" w:hAnsi="Book Antiqua" w:cs="Book Antiqua"/>
          <w:u w:val="single"/>
        </w:rPr>
      </w:pPr>
    </w:p>
    <w:tbl>
      <w:tblPr>
        <w:tblStyle w:val="a"/>
        <w:tblW w:w="10008" w:type="dxa"/>
        <w:tblLayout w:type="fixed"/>
        <w:tblLook w:val="0000" w:firstRow="0" w:lastRow="0" w:firstColumn="0" w:lastColumn="0" w:noHBand="0" w:noVBand="0"/>
      </w:tblPr>
      <w:tblGrid>
        <w:gridCol w:w="5070"/>
        <w:gridCol w:w="978"/>
        <w:gridCol w:w="3960"/>
      </w:tblGrid>
      <w:tr w:rsidR="0076243F" w:rsidTr="0072267A">
        <w:tc>
          <w:tcPr>
            <w:tcW w:w="5070" w:type="dxa"/>
          </w:tcPr>
          <w:p w:rsidR="0076243F" w:rsidRDefault="00A93DB7">
            <w:pPr>
              <w:jc w:val="both"/>
              <w:rPr>
                <w:rFonts w:ascii="Book Antiqua" w:eastAsia="Book Antiqua" w:hAnsi="Book Antiqua" w:cs="Book Antiqua"/>
              </w:rPr>
            </w:pPr>
            <w:r>
              <w:rPr>
                <w:rFonts w:ascii="Book Antiqua" w:eastAsia="Book Antiqua" w:hAnsi="Book Antiqua" w:cs="Book Antiqua"/>
                <w:b/>
              </w:rPr>
              <w:t xml:space="preserve">Heard at Field House </w:t>
            </w:r>
          </w:p>
        </w:tc>
        <w:tc>
          <w:tcPr>
            <w:tcW w:w="4938" w:type="dxa"/>
            <w:gridSpan w:val="2"/>
          </w:tcPr>
          <w:p w:rsidR="0076243F" w:rsidRDefault="00A93DB7">
            <w:pPr>
              <w:jc w:val="both"/>
              <w:rPr>
                <w:rFonts w:ascii="Book Antiqua" w:eastAsia="Book Antiqua" w:hAnsi="Book Antiqua" w:cs="Book Antiqua"/>
                <w:color w:val="000000"/>
              </w:rPr>
            </w:pPr>
            <w:r>
              <w:rPr>
                <w:rFonts w:ascii="Book Antiqua" w:eastAsia="Book Antiqua" w:hAnsi="Book Antiqua" w:cs="Book Antiqua"/>
                <w:b/>
                <w:color w:val="000000"/>
              </w:rPr>
              <w:t>Decision &amp; Reasons Promulgated</w:t>
            </w:r>
          </w:p>
        </w:tc>
      </w:tr>
      <w:tr w:rsidR="0076243F" w:rsidTr="0072267A">
        <w:tc>
          <w:tcPr>
            <w:tcW w:w="5070" w:type="dxa"/>
          </w:tcPr>
          <w:p w:rsidR="0076243F" w:rsidRDefault="00A93DB7">
            <w:pPr>
              <w:jc w:val="both"/>
              <w:rPr>
                <w:rFonts w:ascii="Book Antiqua" w:eastAsia="Book Antiqua" w:hAnsi="Book Antiqua" w:cs="Book Antiqua"/>
              </w:rPr>
            </w:pPr>
            <w:r>
              <w:rPr>
                <w:rFonts w:ascii="Book Antiqua" w:eastAsia="Book Antiqua" w:hAnsi="Book Antiqua" w:cs="Book Antiqua"/>
                <w:b/>
              </w:rPr>
              <w:t xml:space="preserve">On </w:t>
            </w:r>
            <w:r w:rsidR="00B77A06">
              <w:rPr>
                <w:rFonts w:ascii="Book Antiqua" w:eastAsia="Book Antiqua" w:hAnsi="Book Antiqua" w:cs="Book Antiqua"/>
                <w:b/>
              </w:rPr>
              <w:t xml:space="preserve">18 </w:t>
            </w:r>
            <w:r w:rsidR="00EA3751">
              <w:rPr>
                <w:rFonts w:ascii="Book Antiqua" w:eastAsia="Book Antiqua" w:hAnsi="Book Antiqua" w:cs="Book Antiqua"/>
                <w:b/>
              </w:rPr>
              <w:t>June</w:t>
            </w:r>
            <w:r>
              <w:rPr>
                <w:rFonts w:ascii="Book Antiqua" w:eastAsia="Book Antiqua" w:hAnsi="Book Antiqua" w:cs="Book Antiqua"/>
                <w:b/>
              </w:rPr>
              <w:t xml:space="preserve"> 2018 </w:t>
            </w:r>
          </w:p>
        </w:tc>
        <w:tc>
          <w:tcPr>
            <w:tcW w:w="4938" w:type="dxa"/>
            <w:gridSpan w:val="2"/>
          </w:tcPr>
          <w:p w:rsidR="0076243F" w:rsidRPr="0072267A" w:rsidRDefault="0072267A">
            <w:pPr>
              <w:jc w:val="both"/>
              <w:rPr>
                <w:rFonts w:ascii="Book Antiqua" w:eastAsia="Book Antiqua" w:hAnsi="Book Antiqua" w:cs="Book Antiqua"/>
                <w:b/>
              </w:rPr>
            </w:pPr>
            <w:r w:rsidRPr="0072267A">
              <w:rPr>
                <w:rFonts w:ascii="Book Antiqua" w:eastAsia="Book Antiqua" w:hAnsi="Book Antiqua" w:cs="Book Antiqua"/>
                <w:b/>
              </w:rPr>
              <w:t>On 26 June 2018</w:t>
            </w:r>
          </w:p>
        </w:tc>
      </w:tr>
      <w:tr w:rsidR="0076243F" w:rsidTr="0072267A">
        <w:tc>
          <w:tcPr>
            <w:tcW w:w="6048" w:type="dxa"/>
            <w:gridSpan w:val="2"/>
          </w:tcPr>
          <w:p w:rsidR="0076243F" w:rsidRDefault="0076243F">
            <w:pPr>
              <w:jc w:val="both"/>
              <w:rPr>
                <w:rFonts w:ascii="Book Antiqua" w:eastAsia="Book Antiqua" w:hAnsi="Book Antiqua" w:cs="Book Antiqua"/>
              </w:rPr>
            </w:pPr>
          </w:p>
        </w:tc>
        <w:tc>
          <w:tcPr>
            <w:tcW w:w="3960" w:type="dxa"/>
          </w:tcPr>
          <w:p w:rsidR="0076243F" w:rsidRDefault="0076243F">
            <w:pPr>
              <w:jc w:val="both"/>
              <w:rPr>
                <w:rFonts w:ascii="Book Antiqua" w:eastAsia="Book Antiqua" w:hAnsi="Book Antiqua" w:cs="Book Antiqua"/>
              </w:rPr>
            </w:pPr>
          </w:p>
        </w:tc>
      </w:tr>
    </w:tbl>
    <w:p w:rsidR="0076243F" w:rsidRDefault="0076243F">
      <w:pPr>
        <w:jc w:val="center"/>
        <w:rPr>
          <w:rFonts w:ascii="Book Antiqua" w:eastAsia="Book Antiqua" w:hAnsi="Book Antiqua" w:cs="Book Antiqua"/>
        </w:rPr>
      </w:pPr>
    </w:p>
    <w:p w:rsidR="0076243F" w:rsidRDefault="0076243F">
      <w:pPr>
        <w:jc w:val="center"/>
        <w:rPr>
          <w:rFonts w:ascii="Book Antiqua" w:eastAsia="Book Antiqua" w:hAnsi="Book Antiqua" w:cs="Book Antiqua"/>
        </w:rPr>
      </w:pPr>
    </w:p>
    <w:p w:rsidR="0076243F" w:rsidRDefault="00A93DB7">
      <w:pPr>
        <w:jc w:val="center"/>
        <w:rPr>
          <w:rFonts w:ascii="Book Antiqua" w:eastAsia="Book Antiqua" w:hAnsi="Book Antiqua" w:cs="Book Antiqua"/>
        </w:rPr>
      </w:pPr>
      <w:r>
        <w:rPr>
          <w:rFonts w:ascii="Book Antiqua" w:eastAsia="Book Antiqua" w:hAnsi="Book Antiqua" w:cs="Book Antiqua"/>
          <w:b/>
        </w:rPr>
        <w:t>Before</w:t>
      </w:r>
    </w:p>
    <w:p w:rsidR="0076243F" w:rsidRDefault="0076243F">
      <w:pPr>
        <w:jc w:val="center"/>
        <w:rPr>
          <w:rFonts w:ascii="Book Antiqua" w:eastAsia="Book Antiqua" w:hAnsi="Book Antiqua" w:cs="Book Antiqua"/>
        </w:rPr>
      </w:pPr>
    </w:p>
    <w:p w:rsidR="0076243F" w:rsidRDefault="00A93DB7">
      <w:pPr>
        <w:jc w:val="center"/>
        <w:rPr>
          <w:rFonts w:ascii="Book Antiqua" w:eastAsia="Book Antiqua" w:hAnsi="Book Antiqua" w:cs="Book Antiqua"/>
          <w:color w:val="000000"/>
        </w:rPr>
      </w:pPr>
      <w:r>
        <w:rPr>
          <w:rFonts w:ascii="Book Antiqua" w:eastAsia="Book Antiqua" w:hAnsi="Book Antiqua" w:cs="Book Antiqua"/>
          <w:b/>
          <w:color w:val="000000"/>
        </w:rPr>
        <w:t>UPPER TRIBUNAL JUDGE KOPIECZE</w:t>
      </w:r>
      <w:r>
        <w:rPr>
          <w:rFonts w:ascii="Book Antiqua" w:eastAsia="Book Antiqua" w:hAnsi="Book Antiqua" w:cs="Book Antiqua"/>
          <w:b/>
        </w:rPr>
        <w:t>K</w:t>
      </w:r>
    </w:p>
    <w:p w:rsidR="0076243F" w:rsidRDefault="0076243F">
      <w:pPr>
        <w:jc w:val="center"/>
        <w:rPr>
          <w:rFonts w:ascii="Book Antiqua" w:eastAsia="Book Antiqua" w:hAnsi="Book Antiqua" w:cs="Book Antiqua"/>
          <w:color w:val="000000"/>
        </w:rPr>
      </w:pPr>
    </w:p>
    <w:p w:rsidR="0076243F" w:rsidRDefault="0076243F">
      <w:pPr>
        <w:jc w:val="center"/>
        <w:rPr>
          <w:rFonts w:ascii="Book Antiqua" w:eastAsia="Book Antiqua" w:hAnsi="Book Antiqua" w:cs="Book Antiqua"/>
        </w:rPr>
      </w:pPr>
    </w:p>
    <w:p w:rsidR="0076243F" w:rsidRDefault="00A93DB7">
      <w:pPr>
        <w:jc w:val="center"/>
        <w:rPr>
          <w:rFonts w:ascii="Book Antiqua" w:eastAsia="Book Antiqua" w:hAnsi="Book Antiqua" w:cs="Book Antiqua"/>
        </w:rPr>
      </w:pPr>
      <w:r>
        <w:rPr>
          <w:rFonts w:ascii="Book Antiqua" w:eastAsia="Book Antiqua" w:hAnsi="Book Antiqua" w:cs="Book Antiqua"/>
          <w:b/>
        </w:rPr>
        <w:t>Between</w:t>
      </w:r>
    </w:p>
    <w:p w:rsidR="0076243F" w:rsidRDefault="0076243F">
      <w:pPr>
        <w:jc w:val="center"/>
        <w:rPr>
          <w:rFonts w:ascii="Book Antiqua" w:eastAsia="Book Antiqua" w:hAnsi="Book Antiqua" w:cs="Book Antiqua"/>
        </w:rPr>
      </w:pPr>
    </w:p>
    <w:p w:rsidR="0076243F" w:rsidRDefault="00A93DB7">
      <w:pPr>
        <w:jc w:val="center"/>
        <w:rPr>
          <w:rFonts w:ascii="Book Antiqua" w:eastAsia="Book Antiqua" w:hAnsi="Book Antiqua" w:cs="Book Antiqua"/>
        </w:rPr>
      </w:pPr>
      <w:r>
        <w:rPr>
          <w:rFonts w:ascii="Book Antiqua" w:eastAsia="Book Antiqua" w:hAnsi="Book Antiqua" w:cs="Book Antiqua"/>
          <w:b/>
          <w:smallCaps/>
        </w:rPr>
        <w:t>THE SECRETARY OF STATE FOR THE HOME DEPARTMENT</w:t>
      </w:r>
    </w:p>
    <w:p w:rsidR="0076243F" w:rsidRDefault="00A93DB7">
      <w:pPr>
        <w:jc w:val="right"/>
        <w:rPr>
          <w:rFonts w:ascii="Book Antiqua" w:eastAsia="Book Antiqua" w:hAnsi="Book Antiqua" w:cs="Book Antiqua"/>
          <w:u w:val="single"/>
        </w:rPr>
      </w:pPr>
      <w:r>
        <w:rPr>
          <w:rFonts w:ascii="Book Antiqua" w:eastAsia="Book Antiqua" w:hAnsi="Book Antiqua" w:cs="Book Antiqua"/>
          <w:u w:val="single"/>
        </w:rPr>
        <w:t>Appellant</w:t>
      </w:r>
    </w:p>
    <w:p w:rsidR="0076243F" w:rsidRDefault="00A93DB7">
      <w:pPr>
        <w:jc w:val="center"/>
        <w:rPr>
          <w:rFonts w:ascii="Book Antiqua" w:eastAsia="Book Antiqua" w:hAnsi="Book Antiqua" w:cs="Book Antiqua"/>
        </w:rPr>
      </w:pPr>
      <w:r>
        <w:rPr>
          <w:rFonts w:ascii="Book Antiqua" w:eastAsia="Book Antiqua" w:hAnsi="Book Antiqua" w:cs="Book Antiqua"/>
          <w:b/>
        </w:rPr>
        <w:t>and</w:t>
      </w:r>
    </w:p>
    <w:p w:rsidR="0076243F" w:rsidRDefault="0076243F">
      <w:pPr>
        <w:jc w:val="center"/>
        <w:rPr>
          <w:rFonts w:ascii="Book Antiqua" w:eastAsia="Book Antiqua" w:hAnsi="Book Antiqua" w:cs="Book Antiqua"/>
        </w:rPr>
      </w:pPr>
    </w:p>
    <w:p w:rsidR="0076243F" w:rsidRDefault="00EA3751">
      <w:pPr>
        <w:jc w:val="center"/>
        <w:rPr>
          <w:rFonts w:ascii="Book Antiqua" w:eastAsia="Book Antiqua" w:hAnsi="Book Antiqua" w:cs="Book Antiqua"/>
        </w:rPr>
      </w:pPr>
      <w:r>
        <w:rPr>
          <w:rFonts w:ascii="Book Antiqua" w:eastAsia="Book Antiqua" w:hAnsi="Book Antiqua" w:cs="Book Antiqua"/>
          <w:b/>
          <w:smallCaps/>
        </w:rPr>
        <w:t>FABIAN ANTONIO COLEMAN</w:t>
      </w:r>
      <w:r w:rsidR="00A93DB7">
        <w:rPr>
          <w:rFonts w:ascii="Book Antiqua" w:eastAsia="Book Antiqua" w:hAnsi="Book Antiqua" w:cs="Book Antiqua"/>
          <w:b/>
          <w:smallCaps/>
        </w:rPr>
        <w:t xml:space="preserve"> </w:t>
      </w:r>
    </w:p>
    <w:p w:rsidR="0076243F" w:rsidRDefault="00A93DB7">
      <w:pPr>
        <w:jc w:val="center"/>
        <w:rPr>
          <w:rFonts w:ascii="Book Antiqua" w:eastAsia="Book Antiqua" w:hAnsi="Book Antiqua" w:cs="Book Antiqua"/>
        </w:rPr>
      </w:pPr>
      <w:r>
        <w:rPr>
          <w:rFonts w:ascii="Book Antiqua" w:eastAsia="Book Antiqua" w:hAnsi="Book Antiqua" w:cs="Book Antiqua"/>
          <w:b/>
          <w:smallCaps/>
        </w:rPr>
        <w:t>(</w:t>
      </w:r>
      <w:r w:rsidR="009722F4">
        <w:rPr>
          <w:rFonts w:ascii="Book Antiqua" w:eastAsia="Book Antiqua" w:hAnsi="Book Antiqua" w:cs="Book Antiqua"/>
          <w:b/>
          <w:smallCaps/>
        </w:rPr>
        <w:t xml:space="preserve">NO </w:t>
      </w:r>
      <w:r>
        <w:rPr>
          <w:rFonts w:ascii="Book Antiqua" w:eastAsia="Book Antiqua" w:hAnsi="Book Antiqua" w:cs="Book Antiqua"/>
          <w:b/>
          <w:smallCaps/>
        </w:rPr>
        <w:t>ANONYMITY DIRECTION MADE)</w:t>
      </w:r>
    </w:p>
    <w:p w:rsidR="0076243F" w:rsidRDefault="00A93DB7">
      <w:pPr>
        <w:jc w:val="right"/>
        <w:rPr>
          <w:rFonts w:ascii="Book Antiqua" w:eastAsia="Book Antiqua" w:hAnsi="Book Antiqua" w:cs="Book Antiqua"/>
          <w:u w:val="single"/>
        </w:rPr>
      </w:pPr>
      <w:r>
        <w:rPr>
          <w:rFonts w:ascii="Book Antiqua" w:eastAsia="Book Antiqua" w:hAnsi="Book Antiqua" w:cs="Book Antiqua"/>
          <w:u w:val="single"/>
        </w:rPr>
        <w:t>Respondent</w:t>
      </w:r>
    </w:p>
    <w:p w:rsidR="0076243F" w:rsidRDefault="0076243F">
      <w:pPr>
        <w:rPr>
          <w:rFonts w:ascii="Book Antiqua" w:eastAsia="Book Antiqua" w:hAnsi="Book Antiqua" w:cs="Book Antiqua"/>
          <w:u w:val="single"/>
        </w:rPr>
      </w:pPr>
    </w:p>
    <w:p w:rsidR="0076243F" w:rsidRDefault="0076243F">
      <w:pPr>
        <w:rPr>
          <w:rFonts w:ascii="Book Antiqua" w:eastAsia="Book Antiqua" w:hAnsi="Book Antiqua" w:cs="Book Antiqua"/>
          <w:u w:val="single"/>
        </w:rPr>
      </w:pPr>
    </w:p>
    <w:p w:rsidR="0076243F" w:rsidRDefault="00A93DB7">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rsidR="0076243F" w:rsidRDefault="0076243F">
      <w:pPr>
        <w:rPr>
          <w:rFonts w:ascii="Book Antiqua" w:eastAsia="Book Antiqua" w:hAnsi="Book Antiqua" w:cs="Book Antiqua"/>
        </w:rPr>
      </w:pPr>
    </w:p>
    <w:p w:rsidR="0076243F" w:rsidRDefault="00A93DB7">
      <w:pPr>
        <w:tabs>
          <w:tab w:val="left" w:pos="2520"/>
        </w:tabs>
        <w:rPr>
          <w:rFonts w:ascii="Book Antiqua" w:eastAsia="Book Antiqua" w:hAnsi="Book Antiqua" w:cs="Book Antiqua"/>
        </w:rPr>
      </w:pPr>
      <w:r>
        <w:rPr>
          <w:rFonts w:ascii="Book Antiqua" w:eastAsia="Book Antiqua" w:hAnsi="Book Antiqua" w:cs="Book Antiqua"/>
        </w:rPr>
        <w:t>For the Appellant:</w:t>
      </w:r>
      <w:r>
        <w:rPr>
          <w:rFonts w:ascii="Book Antiqua" w:eastAsia="Book Antiqua" w:hAnsi="Book Antiqua" w:cs="Book Antiqua"/>
        </w:rPr>
        <w:tab/>
      </w:r>
      <w:r w:rsidR="00DD2074">
        <w:rPr>
          <w:rFonts w:ascii="Book Antiqua" w:eastAsia="Book Antiqua" w:hAnsi="Book Antiqua" w:cs="Book Antiqua"/>
        </w:rPr>
        <w:t>Mr P. Duffy</w:t>
      </w:r>
      <w:r>
        <w:rPr>
          <w:rFonts w:ascii="Book Antiqua" w:eastAsia="Book Antiqua" w:hAnsi="Book Antiqua" w:cs="Book Antiqua"/>
        </w:rPr>
        <w:t xml:space="preserve">, </w:t>
      </w:r>
      <w:r w:rsidR="006424D7">
        <w:rPr>
          <w:rFonts w:ascii="Book Antiqua" w:eastAsia="Book Antiqua" w:hAnsi="Book Antiqua" w:cs="Book Antiqua"/>
        </w:rPr>
        <w:t xml:space="preserve">Senior </w:t>
      </w:r>
      <w:r>
        <w:rPr>
          <w:rFonts w:ascii="Book Antiqua" w:eastAsia="Book Antiqua" w:hAnsi="Book Antiqua" w:cs="Book Antiqua"/>
        </w:rPr>
        <w:t xml:space="preserve">Home Office Presenting Officer </w:t>
      </w:r>
    </w:p>
    <w:p w:rsidR="0076243F" w:rsidRDefault="00A93DB7">
      <w:pPr>
        <w:tabs>
          <w:tab w:val="left" w:pos="2520"/>
        </w:tabs>
        <w:rPr>
          <w:rFonts w:ascii="Book Antiqua" w:eastAsia="Book Antiqua" w:hAnsi="Book Antiqua" w:cs="Book Antiqua"/>
        </w:rPr>
      </w:pPr>
      <w:r>
        <w:rPr>
          <w:rFonts w:ascii="Book Antiqua" w:eastAsia="Book Antiqua" w:hAnsi="Book Antiqua" w:cs="Book Antiqua"/>
        </w:rPr>
        <w:t>For the Respondent:</w:t>
      </w:r>
      <w:r>
        <w:rPr>
          <w:rFonts w:ascii="Book Antiqua" w:eastAsia="Book Antiqua" w:hAnsi="Book Antiqua" w:cs="Book Antiqua"/>
        </w:rPr>
        <w:tab/>
        <w:t xml:space="preserve">Mr </w:t>
      </w:r>
      <w:r w:rsidR="006424D7">
        <w:rPr>
          <w:rFonts w:ascii="Book Antiqua" w:eastAsia="Book Antiqua" w:hAnsi="Book Antiqua" w:cs="Book Antiqua"/>
        </w:rPr>
        <w:t>B. Adekoya, legal representative</w:t>
      </w:r>
    </w:p>
    <w:p w:rsidR="0076243F" w:rsidRDefault="0076243F">
      <w:pPr>
        <w:tabs>
          <w:tab w:val="left" w:pos="2520"/>
        </w:tabs>
        <w:jc w:val="center"/>
        <w:rPr>
          <w:rFonts w:ascii="Book Antiqua" w:eastAsia="Book Antiqua" w:hAnsi="Book Antiqua" w:cs="Book Antiqua"/>
        </w:rPr>
      </w:pPr>
    </w:p>
    <w:p w:rsidR="0076243F" w:rsidRDefault="0076243F">
      <w:pPr>
        <w:tabs>
          <w:tab w:val="left" w:pos="2520"/>
        </w:tabs>
        <w:jc w:val="center"/>
        <w:rPr>
          <w:rFonts w:ascii="Book Antiqua" w:eastAsia="Book Antiqua" w:hAnsi="Book Antiqua" w:cs="Book Antiqua"/>
        </w:rPr>
      </w:pPr>
    </w:p>
    <w:p w:rsidR="0076243F" w:rsidRDefault="00A93DB7">
      <w:pPr>
        <w:tabs>
          <w:tab w:val="left" w:pos="2520"/>
        </w:tabs>
        <w:jc w:val="center"/>
        <w:rPr>
          <w:rFonts w:ascii="Book Antiqua" w:eastAsia="Book Antiqua" w:hAnsi="Book Antiqua" w:cs="Book Antiqua"/>
        </w:rPr>
      </w:pPr>
      <w:r>
        <w:rPr>
          <w:rFonts w:ascii="Book Antiqua" w:eastAsia="Book Antiqua" w:hAnsi="Book Antiqua" w:cs="Book Antiqua"/>
          <w:b/>
          <w:u w:val="single"/>
        </w:rPr>
        <w:t>DECISION AND REASONS</w:t>
      </w:r>
    </w:p>
    <w:p w:rsidR="0076243F" w:rsidRDefault="0076243F">
      <w:pPr>
        <w:tabs>
          <w:tab w:val="left" w:pos="2520"/>
        </w:tabs>
        <w:jc w:val="both"/>
        <w:rPr>
          <w:rFonts w:ascii="Book Antiqua" w:eastAsia="Book Antiqua" w:hAnsi="Book Antiqua" w:cs="Book Antiqua"/>
        </w:rPr>
      </w:pPr>
    </w:p>
    <w:p w:rsidR="0076243F" w:rsidRDefault="00C3498F">
      <w:pPr>
        <w:numPr>
          <w:ilvl w:val="0"/>
          <w:numId w:val="1"/>
        </w:numPr>
        <w:spacing w:before="240"/>
        <w:jc w:val="both"/>
        <w:rPr>
          <w:rFonts w:ascii="Book Antiqua" w:eastAsia="Book Antiqua" w:hAnsi="Book Antiqua" w:cs="Book Antiqua"/>
        </w:rPr>
      </w:pPr>
      <w:r>
        <w:rPr>
          <w:rFonts w:ascii="Book Antiqua" w:eastAsia="Book Antiqua" w:hAnsi="Book Antiqua" w:cs="Book Antiqua"/>
        </w:rPr>
        <w:t>T</w:t>
      </w:r>
      <w:r w:rsidR="00A93DB7">
        <w:rPr>
          <w:rFonts w:ascii="Book Antiqua" w:eastAsia="Book Antiqua" w:hAnsi="Book Antiqua" w:cs="Book Antiqua"/>
        </w:rPr>
        <w:t>he appellant in these proceedings is the Secretary of State</w:t>
      </w:r>
      <w:r w:rsidR="009722F4">
        <w:rPr>
          <w:rFonts w:ascii="Book Antiqua" w:eastAsia="Book Antiqua" w:hAnsi="Book Antiqua" w:cs="Book Antiqua"/>
        </w:rPr>
        <w:t xml:space="preserve"> but it is convenient to </w:t>
      </w:r>
      <w:r w:rsidR="00A93DB7">
        <w:rPr>
          <w:rFonts w:ascii="Book Antiqua" w:eastAsia="Book Antiqua" w:hAnsi="Book Antiqua" w:cs="Book Antiqua"/>
        </w:rPr>
        <w:t>continue to refer to the parties as they were before the First-tier Tribunal.</w:t>
      </w:r>
    </w:p>
    <w:p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lastRenderedPageBreak/>
        <w:t xml:space="preserve">The appellant is a citizen of </w:t>
      </w:r>
      <w:r w:rsidR="003C1916">
        <w:rPr>
          <w:rFonts w:ascii="Book Antiqua" w:eastAsia="Book Antiqua" w:hAnsi="Book Antiqua" w:cs="Book Antiqua"/>
        </w:rPr>
        <w:t>Jamaica</w:t>
      </w:r>
      <w:r>
        <w:rPr>
          <w:rFonts w:ascii="Book Antiqua" w:eastAsia="Book Antiqua" w:hAnsi="Book Antiqua" w:cs="Book Antiqua"/>
        </w:rPr>
        <w:t>, born in 19</w:t>
      </w:r>
      <w:r w:rsidR="003C1916">
        <w:rPr>
          <w:rFonts w:ascii="Book Antiqua" w:eastAsia="Book Antiqua" w:hAnsi="Book Antiqua" w:cs="Book Antiqua"/>
        </w:rPr>
        <w:t>96</w:t>
      </w:r>
      <w:r>
        <w:rPr>
          <w:rFonts w:ascii="Book Antiqua" w:eastAsia="Book Antiqua" w:hAnsi="Book Antiqua" w:cs="Book Antiqua"/>
        </w:rPr>
        <w:t xml:space="preserve">.  He arrived in the UK </w:t>
      </w:r>
      <w:r w:rsidR="003C1916">
        <w:rPr>
          <w:rFonts w:ascii="Book Antiqua" w:eastAsia="Book Antiqua" w:hAnsi="Book Antiqua" w:cs="Book Antiqua"/>
        </w:rPr>
        <w:t xml:space="preserve">on 17 December </w:t>
      </w:r>
      <w:r w:rsidR="000F11DB">
        <w:rPr>
          <w:rFonts w:ascii="Book Antiqua" w:eastAsia="Book Antiqua" w:hAnsi="Book Antiqua" w:cs="Book Antiqua"/>
        </w:rPr>
        <w:t xml:space="preserve">2002 as a visitor. He was </w:t>
      </w:r>
      <w:r w:rsidR="00673629">
        <w:rPr>
          <w:rFonts w:ascii="Book Antiqua" w:eastAsia="Book Antiqua" w:hAnsi="Book Antiqua" w:cs="Book Antiqua"/>
        </w:rPr>
        <w:t xml:space="preserve">granted indefinite leave to remain on 10 October 2011 as the child of a </w:t>
      </w:r>
      <w:r w:rsidR="0039138A">
        <w:rPr>
          <w:rFonts w:ascii="Book Antiqua" w:eastAsia="Book Antiqua" w:hAnsi="Book Antiqua" w:cs="Book Antiqua"/>
        </w:rPr>
        <w:t>person settled in the UK</w:t>
      </w:r>
      <w:r>
        <w:rPr>
          <w:rFonts w:ascii="Book Antiqua" w:eastAsia="Book Antiqua" w:hAnsi="Book Antiqua" w:cs="Book Antiqua"/>
        </w:rPr>
        <w:t xml:space="preserve">.  </w:t>
      </w:r>
    </w:p>
    <w:p w:rsidR="00DD2CF8" w:rsidRDefault="00CA4E81">
      <w:pPr>
        <w:numPr>
          <w:ilvl w:val="0"/>
          <w:numId w:val="1"/>
        </w:numPr>
        <w:spacing w:before="240"/>
        <w:jc w:val="both"/>
        <w:rPr>
          <w:rFonts w:ascii="Book Antiqua" w:eastAsia="Book Antiqua" w:hAnsi="Book Antiqua" w:cs="Book Antiqua"/>
        </w:rPr>
      </w:pPr>
      <w:r>
        <w:rPr>
          <w:rFonts w:ascii="Book Antiqua" w:eastAsia="Book Antiqua" w:hAnsi="Book Antiqua" w:cs="Book Antiqua"/>
        </w:rPr>
        <w:t>On 3 November 2017</w:t>
      </w:r>
      <w:r w:rsidR="00F7612B">
        <w:rPr>
          <w:rFonts w:ascii="Book Antiqua" w:eastAsia="Book Antiqua" w:hAnsi="Book Antiqua" w:cs="Book Antiqua"/>
        </w:rPr>
        <w:t xml:space="preserve"> the respondent made a decision to refuse a human rights claim</w:t>
      </w:r>
      <w:r w:rsidR="00A40AB7">
        <w:rPr>
          <w:rFonts w:ascii="Book Antiqua" w:eastAsia="Book Antiqua" w:hAnsi="Book Antiqua" w:cs="Book Antiqua"/>
        </w:rPr>
        <w:t>. That</w:t>
      </w:r>
      <w:r w:rsidR="00BF3DBA">
        <w:rPr>
          <w:rFonts w:ascii="Book Antiqua" w:eastAsia="Book Antiqua" w:hAnsi="Book Antiqua" w:cs="Book Antiqua"/>
        </w:rPr>
        <w:t xml:space="preserve"> was a claim made in response to the respondent’s decision to make a deportation order against </w:t>
      </w:r>
      <w:r w:rsidR="00DD2CF8">
        <w:rPr>
          <w:rFonts w:ascii="Book Antiqua" w:eastAsia="Book Antiqua" w:hAnsi="Book Antiqua" w:cs="Book Antiqua"/>
        </w:rPr>
        <w:t>the appellant</w:t>
      </w:r>
      <w:r w:rsidR="00A40AB7">
        <w:rPr>
          <w:rFonts w:ascii="Book Antiqua" w:eastAsia="Book Antiqua" w:hAnsi="Book Antiqua" w:cs="Book Antiqua"/>
        </w:rPr>
        <w:t xml:space="preserve"> pursuant to section 5(1) of the Immigration Act 1971</w:t>
      </w:r>
      <w:r w:rsidR="009B2E99">
        <w:rPr>
          <w:rFonts w:ascii="Book Antiqua" w:eastAsia="Book Antiqua" w:hAnsi="Book Antiqua" w:cs="Book Antiqua"/>
        </w:rPr>
        <w:t xml:space="preserve"> (the 1971 Act)</w:t>
      </w:r>
      <w:r w:rsidR="00DD2CF8">
        <w:rPr>
          <w:rFonts w:ascii="Book Antiqua" w:eastAsia="Book Antiqua" w:hAnsi="Book Antiqua" w:cs="Book Antiqua"/>
        </w:rPr>
        <w:t xml:space="preserve"> on the basis that his presence in the UK was not conducive to the public good.</w:t>
      </w:r>
    </w:p>
    <w:p w:rsidR="004D7B70" w:rsidRDefault="004D7B70">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offe</w:t>
      </w:r>
      <w:r w:rsidR="00F42BED">
        <w:rPr>
          <w:rFonts w:ascii="Book Antiqua" w:eastAsia="Book Antiqua" w:hAnsi="Book Antiqua" w:cs="Book Antiqua"/>
        </w:rPr>
        <w:t>nces</w:t>
      </w:r>
      <w:r>
        <w:rPr>
          <w:rFonts w:ascii="Book Antiqua" w:eastAsia="Book Antiqua" w:hAnsi="Book Antiqua" w:cs="Book Antiqua"/>
        </w:rPr>
        <w:t xml:space="preserve"> which prompted the making of the deportation order</w:t>
      </w:r>
      <w:r w:rsidR="00F42BED">
        <w:rPr>
          <w:rFonts w:ascii="Book Antiqua" w:eastAsia="Book Antiqua" w:hAnsi="Book Antiqua" w:cs="Book Antiqua"/>
        </w:rPr>
        <w:t xml:space="preserve"> were </w:t>
      </w:r>
      <w:r w:rsidR="002E6985">
        <w:rPr>
          <w:rFonts w:ascii="Book Antiqua" w:eastAsia="Book Antiqua" w:hAnsi="Book Antiqua" w:cs="Book Antiqua"/>
        </w:rPr>
        <w:t xml:space="preserve">being concerned in the </w:t>
      </w:r>
      <w:r w:rsidR="00B56915">
        <w:rPr>
          <w:rFonts w:ascii="Book Antiqua" w:eastAsia="Book Antiqua" w:hAnsi="Book Antiqua" w:cs="Book Antiqua"/>
        </w:rPr>
        <w:t>supply</w:t>
      </w:r>
      <w:r w:rsidR="002E6985">
        <w:rPr>
          <w:rFonts w:ascii="Book Antiqua" w:eastAsia="Book Antiqua" w:hAnsi="Book Antiqua" w:cs="Book Antiqua"/>
        </w:rPr>
        <w:t xml:space="preserve"> of</w:t>
      </w:r>
      <w:r w:rsidR="00B56915">
        <w:rPr>
          <w:rFonts w:ascii="Book Antiqua" w:eastAsia="Book Antiqua" w:hAnsi="Book Antiqua" w:cs="Book Antiqua"/>
        </w:rPr>
        <w:t xml:space="preserve"> class A drugs (heroine and </w:t>
      </w:r>
      <w:r w:rsidR="0079047B">
        <w:rPr>
          <w:rFonts w:ascii="Book Antiqua" w:eastAsia="Book Antiqua" w:hAnsi="Book Antiqua" w:cs="Book Antiqua"/>
        </w:rPr>
        <w:t xml:space="preserve">crack </w:t>
      </w:r>
      <w:r w:rsidR="00B56915">
        <w:rPr>
          <w:rFonts w:ascii="Book Antiqua" w:eastAsia="Book Antiqua" w:hAnsi="Book Antiqua" w:cs="Book Antiqua"/>
        </w:rPr>
        <w:t>cocaine</w:t>
      </w:r>
      <w:r w:rsidR="00114F21">
        <w:rPr>
          <w:rFonts w:ascii="Book Antiqua" w:eastAsia="Book Antiqua" w:hAnsi="Book Antiqua" w:cs="Book Antiqua"/>
        </w:rPr>
        <w:t>)</w:t>
      </w:r>
      <w:r w:rsidR="00136B40">
        <w:rPr>
          <w:rFonts w:ascii="Book Antiqua" w:eastAsia="Book Antiqua" w:hAnsi="Book Antiqua" w:cs="Book Antiqua"/>
        </w:rPr>
        <w:t xml:space="preserve"> and</w:t>
      </w:r>
      <w:r w:rsidR="004F73D7">
        <w:rPr>
          <w:rFonts w:ascii="Book Antiqua" w:eastAsia="Book Antiqua" w:hAnsi="Book Antiqua" w:cs="Book Antiqua"/>
        </w:rPr>
        <w:t xml:space="preserve"> facilitating the acquisition</w:t>
      </w:r>
      <w:r w:rsidR="003D41DC">
        <w:rPr>
          <w:rFonts w:ascii="Book Antiqua" w:eastAsia="Book Antiqua" w:hAnsi="Book Antiqua" w:cs="Book Antiqua"/>
        </w:rPr>
        <w:t xml:space="preserve"> of</w:t>
      </w:r>
      <w:r w:rsidR="00136B40">
        <w:rPr>
          <w:rFonts w:ascii="Book Antiqua" w:eastAsia="Book Antiqua" w:hAnsi="Book Antiqua" w:cs="Book Antiqua"/>
        </w:rPr>
        <w:t xml:space="preserve"> criminal property</w:t>
      </w:r>
      <w:r w:rsidR="00053E4E">
        <w:rPr>
          <w:rFonts w:ascii="Book Antiqua" w:eastAsia="Book Antiqua" w:hAnsi="Book Antiqua" w:cs="Book Antiqua"/>
        </w:rPr>
        <w:t>,</w:t>
      </w:r>
      <w:r w:rsidR="00114F21">
        <w:rPr>
          <w:rFonts w:ascii="Book Antiqua" w:eastAsia="Book Antiqua" w:hAnsi="Book Antiqua" w:cs="Book Antiqua"/>
        </w:rPr>
        <w:t xml:space="preserve"> for which he received a</w:t>
      </w:r>
      <w:r w:rsidR="00053E4E">
        <w:rPr>
          <w:rFonts w:ascii="Book Antiqua" w:eastAsia="Book Antiqua" w:hAnsi="Book Antiqua" w:cs="Book Antiqua"/>
        </w:rPr>
        <w:t xml:space="preserve"> total</w:t>
      </w:r>
      <w:r w:rsidR="00114F21">
        <w:rPr>
          <w:rFonts w:ascii="Book Antiqua" w:eastAsia="Book Antiqua" w:hAnsi="Book Antiqua" w:cs="Book Antiqua"/>
        </w:rPr>
        <w:t xml:space="preserve"> sentence of</w:t>
      </w:r>
      <w:r w:rsidR="00804E85">
        <w:rPr>
          <w:rFonts w:ascii="Book Antiqua" w:eastAsia="Book Antiqua" w:hAnsi="Book Antiqua" w:cs="Book Antiqua"/>
        </w:rPr>
        <w:t xml:space="preserve"> 24 months’ imprisonment suspended for 18 months</w:t>
      </w:r>
      <w:r w:rsidR="002D7E96">
        <w:rPr>
          <w:rFonts w:ascii="Book Antiqua" w:eastAsia="Book Antiqua" w:hAnsi="Book Antiqua" w:cs="Book Antiqua"/>
        </w:rPr>
        <w:t xml:space="preserve"> with an additional requirement to carry out 200 hours of unpaid work.</w:t>
      </w:r>
      <w:r w:rsidR="007E3306">
        <w:rPr>
          <w:rFonts w:ascii="Book Antiqua" w:eastAsia="Book Antiqua" w:hAnsi="Book Antiqua" w:cs="Book Antiqua"/>
        </w:rPr>
        <w:t xml:space="preserve"> The offences were committed on 9 October 2014 and he was sentenced in the Crown Court sitting at Swindon on </w:t>
      </w:r>
      <w:r w:rsidR="00472870">
        <w:rPr>
          <w:rFonts w:ascii="Book Antiqua" w:eastAsia="Book Antiqua" w:hAnsi="Book Antiqua" w:cs="Book Antiqua"/>
        </w:rPr>
        <w:t>27 January 2016.</w:t>
      </w:r>
      <w:r w:rsidR="00114F21">
        <w:rPr>
          <w:rFonts w:ascii="Book Antiqua" w:eastAsia="Book Antiqua" w:hAnsi="Book Antiqua" w:cs="Book Antiqua"/>
        </w:rPr>
        <w:t xml:space="preserve"> </w:t>
      </w:r>
      <w:r w:rsidR="00F42BED">
        <w:rPr>
          <w:rFonts w:ascii="Book Antiqua" w:eastAsia="Book Antiqua" w:hAnsi="Book Antiqua" w:cs="Book Antiqua"/>
        </w:rPr>
        <w:t xml:space="preserve"> </w:t>
      </w:r>
      <w:r w:rsidR="00AD0F49">
        <w:rPr>
          <w:rFonts w:ascii="Book Antiqua" w:eastAsia="Book Antiqua" w:hAnsi="Book Antiqua" w:cs="Book Antiqua"/>
        </w:rPr>
        <w:t>He has other convictions</w:t>
      </w:r>
      <w:r w:rsidR="00C24FA9">
        <w:rPr>
          <w:rFonts w:ascii="Book Antiqua" w:eastAsia="Book Antiqua" w:hAnsi="Book Antiqua" w:cs="Book Antiqua"/>
        </w:rPr>
        <w:t xml:space="preserve">: driving offences for which he was </w:t>
      </w:r>
      <w:r w:rsidR="00281E0C">
        <w:rPr>
          <w:rFonts w:ascii="Book Antiqua" w:eastAsia="Book Antiqua" w:hAnsi="Book Antiqua" w:cs="Book Antiqua"/>
        </w:rPr>
        <w:t xml:space="preserve">disqualified from driving for six months and fined on 31 October 2012 in the </w:t>
      </w:r>
      <w:r w:rsidR="003D41DC">
        <w:rPr>
          <w:rFonts w:ascii="Book Antiqua" w:eastAsia="Book Antiqua" w:hAnsi="Book Antiqua" w:cs="Book Antiqua"/>
        </w:rPr>
        <w:t>Juvenile Court</w:t>
      </w:r>
      <w:r w:rsidR="00A539FB">
        <w:rPr>
          <w:rFonts w:ascii="Book Antiqua" w:eastAsia="Book Antiqua" w:hAnsi="Book Antiqua" w:cs="Book Antiqua"/>
        </w:rPr>
        <w:t xml:space="preserve">, robbery in </w:t>
      </w:r>
      <w:r w:rsidR="002A05DD">
        <w:rPr>
          <w:rFonts w:ascii="Book Antiqua" w:eastAsia="Book Antiqua" w:hAnsi="Book Antiqua" w:cs="Book Antiqua"/>
        </w:rPr>
        <w:t>2013 for which he received a referral order for 10 months, and</w:t>
      </w:r>
      <w:r w:rsidR="000B0C04">
        <w:rPr>
          <w:rFonts w:ascii="Book Antiqua" w:eastAsia="Book Antiqua" w:hAnsi="Book Antiqua" w:cs="Book Antiqua"/>
        </w:rPr>
        <w:t xml:space="preserve"> in 2015</w:t>
      </w:r>
      <w:r w:rsidR="002A05DD">
        <w:rPr>
          <w:rFonts w:ascii="Book Antiqua" w:eastAsia="Book Antiqua" w:hAnsi="Book Antiqua" w:cs="Book Antiqua"/>
        </w:rPr>
        <w:t xml:space="preserve"> attempting to travel </w:t>
      </w:r>
      <w:r w:rsidR="000B0C04">
        <w:rPr>
          <w:rFonts w:ascii="Book Antiqua" w:eastAsia="Book Antiqua" w:hAnsi="Book Antiqua" w:cs="Book Antiqua"/>
        </w:rPr>
        <w:t>without paying the fare for which he received a fine of £410.</w:t>
      </w:r>
    </w:p>
    <w:p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The appellant appealed against th</w:t>
      </w:r>
      <w:r w:rsidR="00C13DF4">
        <w:rPr>
          <w:rFonts w:ascii="Book Antiqua" w:eastAsia="Book Antiqua" w:hAnsi="Book Antiqua" w:cs="Book Antiqua"/>
        </w:rPr>
        <w:t>e respondent</w:t>
      </w:r>
      <w:r w:rsidR="00961F25">
        <w:rPr>
          <w:rFonts w:ascii="Book Antiqua" w:eastAsia="Book Antiqua" w:hAnsi="Book Antiqua" w:cs="Book Antiqua"/>
        </w:rPr>
        <w:t>’s</w:t>
      </w:r>
      <w:r>
        <w:rPr>
          <w:rFonts w:ascii="Book Antiqua" w:eastAsia="Book Antiqua" w:hAnsi="Book Antiqua" w:cs="Book Antiqua"/>
        </w:rPr>
        <w:t xml:space="preserve"> decision</w:t>
      </w:r>
      <w:r w:rsidR="00C13DF4">
        <w:rPr>
          <w:rFonts w:ascii="Book Antiqua" w:eastAsia="Book Antiqua" w:hAnsi="Book Antiqua" w:cs="Book Antiqua"/>
        </w:rPr>
        <w:t xml:space="preserve"> to refuse his human rights claim (in effect an appeal against the decision to deport him)</w:t>
      </w:r>
      <w:r>
        <w:rPr>
          <w:rFonts w:ascii="Book Antiqua" w:eastAsia="Book Antiqua" w:hAnsi="Book Antiqua" w:cs="Book Antiqua"/>
        </w:rPr>
        <w:t xml:space="preserve"> and his appeal came before First-tier Tribunal Judge</w:t>
      </w:r>
      <w:r w:rsidR="00C13DF4">
        <w:rPr>
          <w:rFonts w:ascii="Book Antiqua" w:eastAsia="Book Antiqua" w:hAnsi="Book Antiqua" w:cs="Book Antiqua"/>
        </w:rPr>
        <w:t xml:space="preserve"> Heatherington</w:t>
      </w:r>
      <w:r>
        <w:rPr>
          <w:rFonts w:ascii="Book Antiqua" w:eastAsia="Book Antiqua" w:hAnsi="Book Antiqua" w:cs="Book Antiqua"/>
        </w:rPr>
        <w:t xml:space="preserve"> (“the FtJ”) at a hearing on </w:t>
      </w:r>
      <w:r w:rsidR="008A3AAE">
        <w:rPr>
          <w:rFonts w:ascii="Book Antiqua" w:eastAsia="Book Antiqua" w:hAnsi="Book Antiqua" w:cs="Book Antiqua"/>
        </w:rPr>
        <w:t>12 March</w:t>
      </w:r>
      <w:r>
        <w:rPr>
          <w:rFonts w:ascii="Book Antiqua" w:eastAsia="Book Antiqua" w:hAnsi="Book Antiqua" w:cs="Book Antiqua"/>
        </w:rPr>
        <w:t xml:space="preserve"> 2018, following which he allowed the appeal </w:t>
      </w:r>
      <w:r w:rsidR="00BD6A97">
        <w:rPr>
          <w:rFonts w:ascii="Book Antiqua" w:eastAsia="Book Antiqua" w:hAnsi="Book Antiqua" w:cs="Book Antiqua"/>
        </w:rPr>
        <w:t>on human rights grounds (Article 8).</w:t>
      </w:r>
    </w:p>
    <w:p w:rsidR="00A5659B"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w:t>
      </w:r>
      <w:r w:rsidR="00CB56F7">
        <w:rPr>
          <w:rFonts w:ascii="Book Antiqua" w:eastAsia="Book Antiqua" w:hAnsi="Book Antiqua" w:cs="Book Antiqua"/>
        </w:rPr>
        <w:t>respondent’s complaint about the FtJ’s decision is</w:t>
      </w:r>
      <w:r w:rsidR="004854FE">
        <w:rPr>
          <w:rFonts w:ascii="Book Antiqua" w:eastAsia="Book Antiqua" w:hAnsi="Book Antiqua" w:cs="Book Antiqua"/>
        </w:rPr>
        <w:t xml:space="preserve"> that </w:t>
      </w:r>
      <w:r w:rsidR="00512F94">
        <w:rPr>
          <w:rFonts w:ascii="Book Antiqua" w:eastAsia="Book Antiqua" w:hAnsi="Book Antiqua" w:cs="Book Antiqua"/>
        </w:rPr>
        <w:t>it fails to identify what</w:t>
      </w:r>
      <w:r w:rsidR="009E60D2">
        <w:rPr>
          <w:rFonts w:ascii="Book Antiqua" w:eastAsia="Book Antiqua" w:hAnsi="Book Antiqua" w:cs="Book Antiqua"/>
        </w:rPr>
        <w:t xml:space="preserve"> are</w:t>
      </w:r>
      <w:r w:rsidR="00512F94">
        <w:rPr>
          <w:rFonts w:ascii="Book Antiqua" w:eastAsia="Book Antiqua" w:hAnsi="Book Antiqua" w:cs="Book Antiqua"/>
        </w:rPr>
        <w:t xml:space="preserve"> the </w:t>
      </w:r>
      <w:r w:rsidR="003B42EA">
        <w:rPr>
          <w:rFonts w:ascii="Book Antiqua" w:eastAsia="Book Antiqua" w:hAnsi="Book Antiqua" w:cs="Book Antiqua"/>
        </w:rPr>
        <w:t>“</w:t>
      </w:r>
      <w:r w:rsidR="00512F94">
        <w:rPr>
          <w:rFonts w:ascii="Book Antiqua" w:eastAsia="Book Antiqua" w:hAnsi="Book Antiqua" w:cs="Book Antiqua"/>
        </w:rPr>
        <w:t xml:space="preserve">mitigating </w:t>
      </w:r>
      <w:r w:rsidR="003B42EA">
        <w:rPr>
          <w:rFonts w:ascii="Book Antiqua" w:eastAsia="Book Antiqua" w:hAnsi="Book Antiqua" w:cs="Book Antiqua"/>
        </w:rPr>
        <w:t>circumstances”</w:t>
      </w:r>
      <w:r w:rsidR="009E60D2">
        <w:rPr>
          <w:rFonts w:ascii="Book Antiqua" w:eastAsia="Book Antiqua" w:hAnsi="Book Antiqua" w:cs="Book Antiqua"/>
        </w:rPr>
        <w:t xml:space="preserve"> or “very compelling circumstances” which outweighed the public interest in his deportation</w:t>
      </w:r>
      <w:r w:rsidR="005D20A4">
        <w:rPr>
          <w:rFonts w:ascii="Book Antiqua" w:eastAsia="Book Antiqua" w:hAnsi="Book Antiqua" w:cs="Book Antiqua"/>
        </w:rPr>
        <w:t xml:space="preserve">. Even if the </w:t>
      </w:r>
      <w:r w:rsidR="00300B66">
        <w:rPr>
          <w:rFonts w:ascii="Book Antiqua" w:eastAsia="Book Antiqua" w:hAnsi="Book Antiqua" w:cs="Book Antiqua"/>
        </w:rPr>
        <w:t xml:space="preserve">FtJ could be said to have found that the risk of reoffending was low, </w:t>
      </w:r>
      <w:r w:rsidR="00A5659B">
        <w:rPr>
          <w:rFonts w:ascii="Book Antiqua" w:eastAsia="Book Antiqua" w:hAnsi="Book Antiqua" w:cs="Book Antiqua"/>
        </w:rPr>
        <w:t xml:space="preserve">that was but one aspect of the public interest. </w:t>
      </w:r>
    </w:p>
    <w:p w:rsidR="0062698D" w:rsidRDefault="00A5659B">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Thus, it is argued in the grounds that the FtJ had </w:t>
      </w:r>
      <w:r w:rsidR="00DF6694">
        <w:rPr>
          <w:rFonts w:ascii="Book Antiqua" w:eastAsia="Book Antiqua" w:hAnsi="Book Antiqua" w:cs="Book Antiqua"/>
        </w:rPr>
        <w:t xml:space="preserve">failed to give clear reasons as to why the appeal had been allowed or why his private life outweighed the public interest. </w:t>
      </w:r>
    </w:p>
    <w:p w:rsidR="00B062E8" w:rsidRDefault="0062698D">
      <w:pPr>
        <w:numPr>
          <w:ilvl w:val="0"/>
          <w:numId w:val="1"/>
        </w:numPr>
        <w:spacing w:before="240"/>
        <w:jc w:val="both"/>
        <w:rPr>
          <w:rFonts w:ascii="Book Antiqua" w:eastAsia="Book Antiqua" w:hAnsi="Book Antiqua" w:cs="Book Antiqua"/>
        </w:rPr>
      </w:pPr>
      <w:r>
        <w:rPr>
          <w:rFonts w:ascii="Book Antiqua" w:eastAsia="Book Antiqua" w:hAnsi="Book Antiqua" w:cs="Book Antiqua"/>
        </w:rPr>
        <w:t>In submissions Mr Duffy relied on the grounds</w:t>
      </w:r>
      <w:r w:rsidR="000A72FF">
        <w:rPr>
          <w:rFonts w:ascii="Book Antiqua" w:eastAsia="Book Antiqua" w:hAnsi="Book Antiqua" w:cs="Book Antiqua"/>
        </w:rPr>
        <w:t>. It was submitted that no reasons were given for allowing the appeal. There was no reference to the applicable immigration rules.</w:t>
      </w:r>
    </w:p>
    <w:p w:rsidR="004D78DE" w:rsidRDefault="00B062E8">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Mr Adekoya submitted that the FtJ had taken into account the public interest </w:t>
      </w:r>
      <w:r w:rsidR="00F20DD1">
        <w:rPr>
          <w:rFonts w:ascii="Book Antiqua" w:eastAsia="Book Antiqua" w:hAnsi="Book Antiqua" w:cs="Book Antiqua"/>
        </w:rPr>
        <w:t>. He had referred</w:t>
      </w:r>
      <w:r w:rsidR="00473A30">
        <w:rPr>
          <w:rFonts w:ascii="Book Antiqua" w:eastAsia="Book Antiqua" w:hAnsi="Book Antiqua" w:cs="Book Antiqua"/>
        </w:rPr>
        <w:t xml:space="preserve"> at [8] to the lawfulness of the respondent’s decision to deport the appellant and had </w:t>
      </w:r>
      <w:r w:rsidR="00724873">
        <w:rPr>
          <w:rFonts w:ascii="Book Antiqua" w:eastAsia="Book Antiqua" w:hAnsi="Book Antiqua" w:cs="Book Antiqua"/>
        </w:rPr>
        <w:t>correctly identified the issue as being whether the decision was proportionate.</w:t>
      </w:r>
      <w:r w:rsidR="005137B6">
        <w:rPr>
          <w:rFonts w:ascii="Book Antiqua" w:eastAsia="Book Antiqua" w:hAnsi="Book Antiqua" w:cs="Book Antiqua"/>
        </w:rPr>
        <w:t xml:space="preserve"> It was conceded on behalf of the appellant that the structure of the FtJ’s decision might have been </w:t>
      </w:r>
      <w:r w:rsidR="00587CE5">
        <w:rPr>
          <w:rFonts w:ascii="Book Antiqua" w:eastAsia="Book Antiqua" w:hAnsi="Book Antiqua" w:cs="Book Antiqua"/>
        </w:rPr>
        <w:t>“defective”</w:t>
      </w:r>
      <w:r w:rsidR="00266C46">
        <w:rPr>
          <w:rFonts w:ascii="Book Antiqua" w:eastAsia="Book Antiqua" w:hAnsi="Book Antiqua" w:cs="Book Antiqua"/>
        </w:rPr>
        <w:t xml:space="preserve"> in terms of a lack of reference to the applicable immigration rules</w:t>
      </w:r>
      <w:r w:rsidR="00587CE5">
        <w:rPr>
          <w:rFonts w:ascii="Book Antiqua" w:eastAsia="Book Antiqua" w:hAnsi="Book Antiqua" w:cs="Book Antiqua"/>
        </w:rPr>
        <w:t xml:space="preserve"> but it was submitted that the substance was not. </w:t>
      </w:r>
    </w:p>
    <w:p w:rsidR="00BD6A97" w:rsidRDefault="004D78DE">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had referred to the age at which the appellant came to the </w:t>
      </w:r>
      <w:r w:rsidR="006605CF">
        <w:rPr>
          <w:rFonts w:ascii="Book Antiqua" w:eastAsia="Book Antiqua" w:hAnsi="Book Antiqua" w:cs="Book Antiqua"/>
        </w:rPr>
        <w:t xml:space="preserve">UK and the fact that he had not reoffended (since the respondent’s decision). </w:t>
      </w:r>
      <w:r w:rsidR="009E60D2">
        <w:rPr>
          <w:rFonts w:ascii="Book Antiqua" w:eastAsia="Book Antiqua" w:hAnsi="Book Antiqua" w:cs="Book Antiqua"/>
        </w:rPr>
        <w:t xml:space="preserve"> </w:t>
      </w:r>
    </w:p>
    <w:p w:rsidR="00C70E95" w:rsidRDefault="00C70E95" w:rsidP="00071868">
      <w:pPr>
        <w:spacing w:before="240"/>
        <w:ind w:left="567"/>
        <w:jc w:val="both"/>
        <w:rPr>
          <w:rFonts w:ascii="Book Antiqua" w:eastAsia="Book Antiqua" w:hAnsi="Book Antiqua" w:cs="Book Antiqua"/>
          <w:i/>
        </w:rPr>
      </w:pPr>
    </w:p>
    <w:p w:rsidR="00071868" w:rsidRPr="00071868" w:rsidRDefault="00071868" w:rsidP="00071868">
      <w:pPr>
        <w:spacing w:before="240"/>
        <w:ind w:left="567"/>
        <w:jc w:val="both"/>
        <w:rPr>
          <w:rFonts w:ascii="Book Antiqua" w:eastAsia="Book Antiqua" w:hAnsi="Book Antiqua" w:cs="Book Antiqua"/>
          <w:i/>
        </w:rPr>
      </w:pPr>
      <w:r>
        <w:rPr>
          <w:rFonts w:ascii="Book Antiqua" w:eastAsia="Book Antiqua" w:hAnsi="Book Antiqua" w:cs="Book Antiqua"/>
          <w:i/>
        </w:rPr>
        <w:t>Assessment and Conclusions</w:t>
      </w:r>
    </w:p>
    <w:p w:rsidR="006A232B" w:rsidRDefault="00347930">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Having set out the background to the appeal in six paragraphs, </w:t>
      </w:r>
      <w:r w:rsidR="00D45F33">
        <w:rPr>
          <w:rFonts w:ascii="Book Antiqua" w:eastAsia="Book Antiqua" w:hAnsi="Book Antiqua" w:cs="Book Antiqua"/>
        </w:rPr>
        <w:t xml:space="preserve">under a subheading “Findings” the FtJ </w:t>
      </w:r>
      <w:r w:rsidR="004C18A6">
        <w:rPr>
          <w:rFonts w:ascii="Book Antiqua" w:eastAsia="Book Antiqua" w:hAnsi="Book Antiqua" w:cs="Book Antiqua"/>
        </w:rPr>
        <w:t>gave</w:t>
      </w:r>
      <w:r w:rsidR="00D45F33">
        <w:rPr>
          <w:rFonts w:ascii="Book Antiqua" w:eastAsia="Book Antiqua" w:hAnsi="Book Antiqua" w:cs="Book Antiqua"/>
        </w:rPr>
        <w:t xml:space="preserve"> his reasons for allowing the appeal. </w:t>
      </w:r>
      <w:r w:rsidR="002B4FBE">
        <w:rPr>
          <w:rFonts w:ascii="Book Antiqua" w:eastAsia="Book Antiqua" w:hAnsi="Book Antiqua" w:cs="Book Antiqua"/>
        </w:rPr>
        <w:t>He referred to section 32 of the UK Borders Act</w:t>
      </w:r>
      <w:r w:rsidR="00F03283">
        <w:rPr>
          <w:rFonts w:ascii="Book Antiqua" w:eastAsia="Book Antiqua" w:hAnsi="Book Antiqua" w:cs="Book Antiqua"/>
        </w:rPr>
        <w:t xml:space="preserve"> 2007</w:t>
      </w:r>
      <w:r w:rsidR="004C18A6">
        <w:rPr>
          <w:rFonts w:ascii="Book Antiqua" w:eastAsia="Book Antiqua" w:hAnsi="Book Antiqua" w:cs="Book Antiqua"/>
        </w:rPr>
        <w:t xml:space="preserve"> (</w:t>
      </w:r>
      <w:r w:rsidR="002B4FBE">
        <w:rPr>
          <w:rFonts w:ascii="Book Antiqua" w:eastAsia="Book Antiqua" w:hAnsi="Book Antiqua" w:cs="Book Antiqua"/>
        </w:rPr>
        <w:t>although the respondent’s decision was made with reference to s</w:t>
      </w:r>
      <w:r w:rsidR="00A40F86">
        <w:rPr>
          <w:rFonts w:ascii="Book Antiqua" w:eastAsia="Book Antiqua" w:hAnsi="Book Antiqua" w:cs="Book Antiqua"/>
        </w:rPr>
        <w:t>.</w:t>
      </w:r>
      <w:r w:rsidR="009B2E99">
        <w:rPr>
          <w:rFonts w:ascii="Book Antiqua" w:eastAsia="Book Antiqua" w:hAnsi="Book Antiqua" w:cs="Book Antiqua"/>
        </w:rPr>
        <w:t>5 of the 1971 Act</w:t>
      </w:r>
      <w:r w:rsidR="004C18A6">
        <w:rPr>
          <w:rFonts w:ascii="Book Antiqua" w:eastAsia="Book Antiqua" w:hAnsi="Book Antiqua" w:cs="Book Antiqua"/>
        </w:rPr>
        <w:t>)</w:t>
      </w:r>
      <w:r w:rsidR="009B2E99">
        <w:rPr>
          <w:rFonts w:ascii="Book Antiqua" w:eastAsia="Book Antiqua" w:hAnsi="Book Antiqua" w:cs="Book Antiqua"/>
        </w:rPr>
        <w:t>.</w:t>
      </w:r>
      <w:r w:rsidR="00A40F86">
        <w:rPr>
          <w:rFonts w:ascii="Book Antiqua" w:eastAsia="Book Antiqua" w:hAnsi="Book Antiqua" w:cs="Book Antiqua"/>
        </w:rPr>
        <w:t xml:space="preserve"> </w:t>
      </w:r>
      <w:r w:rsidR="00D239D9">
        <w:rPr>
          <w:rFonts w:ascii="Book Antiqua" w:eastAsia="Book Antiqua" w:hAnsi="Book Antiqua" w:cs="Book Antiqua"/>
        </w:rPr>
        <w:t>He found at [8] that</w:t>
      </w:r>
      <w:r w:rsidR="007917B7">
        <w:rPr>
          <w:rFonts w:ascii="Book Antiqua" w:eastAsia="Book Antiqua" w:hAnsi="Book Antiqua" w:cs="Book Antiqua"/>
        </w:rPr>
        <w:t xml:space="preserve"> “there is no doubt” that to remove the appellant would be an interference with his private and family life</w:t>
      </w:r>
      <w:r w:rsidR="006A232B">
        <w:rPr>
          <w:rFonts w:ascii="Book Antiqua" w:eastAsia="Book Antiqua" w:hAnsi="Book Antiqua" w:cs="Book Antiqua"/>
        </w:rPr>
        <w:t xml:space="preserve"> such as potentially to engage the operation of Article 8. </w:t>
      </w:r>
    </w:p>
    <w:p w:rsidR="00534BE4" w:rsidRDefault="006A232B">
      <w:pPr>
        <w:numPr>
          <w:ilvl w:val="0"/>
          <w:numId w:val="1"/>
        </w:numPr>
        <w:spacing w:before="240"/>
        <w:jc w:val="both"/>
        <w:rPr>
          <w:rFonts w:ascii="Book Antiqua" w:eastAsia="Book Antiqua" w:hAnsi="Book Antiqua" w:cs="Book Antiqua"/>
        </w:rPr>
      </w:pPr>
      <w:r>
        <w:rPr>
          <w:rFonts w:ascii="Book Antiqua" w:eastAsia="Book Antiqua" w:hAnsi="Book Antiqua" w:cs="Book Antiqua"/>
        </w:rPr>
        <w:t>In the same paragraph he accepted th</w:t>
      </w:r>
      <w:r w:rsidR="00F84A4F">
        <w:rPr>
          <w:rFonts w:ascii="Book Antiqua" w:eastAsia="Book Antiqua" w:hAnsi="Book Antiqua" w:cs="Book Antiqua"/>
        </w:rPr>
        <w:t>at the respondent was in law entitled to make a decision to deport the appellant</w:t>
      </w:r>
      <w:r w:rsidR="004870AB">
        <w:rPr>
          <w:rFonts w:ascii="Book Antiqua" w:eastAsia="Book Antiqua" w:hAnsi="Book Antiqua" w:cs="Book Antiqua"/>
        </w:rPr>
        <w:t xml:space="preserve"> given </w:t>
      </w:r>
      <w:r w:rsidR="004F6E14">
        <w:rPr>
          <w:rFonts w:ascii="Book Antiqua" w:eastAsia="Book Antiqua" w:hAnsi="Book Antiqua" w:cs="Book Antiqua"/>
        </w:rPr>
        <w:t>his</w:t>
      </w:r>
      <w:r w:rsidR="004870AB">
        <w:rPr>
          <w:rFonts w:ascii="Book Antiqua" w:eastAsia="Book Antiqua" w:hAnsi="Book Antiqua" w:cs="Book Antiqua"/>
        </w:rPr>
        <w:t xml:space="preserve"> convictions and sentence.</w:t>
      </w:r>
      <w:r w:rsidR="003D0444">
        <w:rPr>
          <w:rFonts w:ascii="Book Antiqua" w:eastAsia="Book Antiqua" w:hAnsi="Book Antiqua" w:cs="Book Antiqua"/>
        </w:rPr>
        <w:t xml:space="preserve"> He stated that “as stated above”, the fact that the appellant’s sentence was for more than 12 months</w:t>
      </w:r>
      <w:r w:rsidR="00553300">
        <w:rPr>
          <w:rFonts w:ascii="Book Antiqua" w:eastAsia="Book Antiqua" w:hAnsi="Book Antiqua" w:cs="Book Antiqua"/>
        </w:rPr>
        <w:t xml:space="preserve"> meant that the respondent was under a legal duty to deport the appellant (although</w:t>
      </w:r>
      <w:r w:rsidR="00CC6670">
        <w:rPr>
          <w:rFonts w:ascii="Book Antiqua" w:eastAsia="Book Antiqua" w:hAnsi="Book Antiqua" w:cs="Book Antiqua"/>
        </w:rPr>
        <w:t xml:space="preserve"> under</w:t>
      </w:r>
      <w:r w:rsidR="00553300">
        <w:rPr>
          <w:rFonts w:ascii="Book Antiqua" w:eastAsia="Book Antiqua" w:hAnsi="Book Antiqua" w:cs="Book Antiqua"/>
        </w:rPr>
        <w:t xml:space="preserve"> </w:t>
      </w:r>
      <w:r w:rsidR="00F03283">
        <w:rPr>
          <w:rFonts w:ascii="Book Antiqua" w:eastAsia="Book Antiqua" w:hAnsi="Book Antiqua" w:cs="Book Antiqua"/>
        </w:rPr>
        <w:t>the UK Borders Act</w:t>
      </w:r>
      <w:r w:rsidR="00CC6670">
        <w:rPr>
          <w:rFonts w:ascii="Book Antiqua" w:eastAsia="Book Antiqua" w:hAnsi="Book Antiqua" w:cs="Book Antiqua"/>
        </w:rPr>
        <w:t xml:space="preserve"> a suspended sentence </w:t>
      </w:r>
      <w:r w:rsidR="001C47F7">
        <w:rPr>
          <w:rFonts w:ascii="Book Antiqua" w:eastAsia="Book Antiqua" w:hAnsi="Book Antiqua" w:cs="Book Antiqua"/>
        </w:rPr>
        <w:t xml:space="preserve">does not qualify as a sentence that means a person is </w:t>
      </w:r>
      <w:r w:rsidR="00534BE4">
        <w:rPr>
          <w:rFonts w:ascii="Book Antiqua" w:eastAsia="Book Antiqua" w:hAnsi="Book Antiqua" w:cs="Book Antiqua"/>
        </w:rPr>
        <w:t>a foreign criminal who must be deported).</w:t>
      </w:r>
      <w:r w:rsidR="00051285">
        <w:rPr>
          <w:rFonts w:ascii="Book Antiqua" w:eastAsia="Book Antiqua" w:hAnsi="Book Antiqua" w:cs="Book Antiqua"/>
        </w:rPr>
        <w:t xml:space="preserve"> He referred to the legitimate aim of deportation as being </w:t>
      </w:r>
      <w:r w:rsidR="001542DF">
        <w:rPr>
          <w:rFonts w:ascii="Book Antiqua" w:eastAsia="Book Antiqua" w:hAnsi="Book Antiqua" w:cs="Book Antiqua"/>
        </w:rPr>
        <w:t>public safety and the prevention of crime and disorder.</w:t>
      </w:r>
    </w:p>
    <w:p w:rsidR="0009744D" w:rsidRDefault="00E35BDD">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[9] he referred to the appellant as having </w:t>
      </w:r>
      <w:r w:rsidR="00691CB3">
        <w:rPr>
          <w:rFonts w:ascii="Book Antiqua" w:eastAsia="Book Antiqua" w:hAnsi="Book Antiqua" w:cs="Book Antiqua"/>
        </w:rPr>
        <w:t xml:space="preserve">committed a serious offence, reflected in the sentence imposed </w:t>
      </w:r>
      <w:r w:rsidR="004D6466">
        <w:rPr>
          <w:rFonts w:ascii="Book Antiqua" w:eastAsia="Book Antiqua" w:hAnsi="Book Antiqua" w:cs="Book Antiqua"/>
        </w:rPr>
        <w:t>by the Crown Court and he noted that the appellant has other convictions</w:t>
      </w:r>
      <w:r w:rsidR="0060634C">
        <w:rPr>
          <w:rFonts w:ascii="Book Antiqua" w:eastAsia="Book Antiqua" w:hAnsi="Book Antiqua" w:cs="Book Antiqua"/>
        </w:rPr>
        <w:t xml:space="preserve"> including for the offence of robbery. He also said however, that since the appellant’s move from London to Birmingham </w:t>
      </w:r>
      <w:r w:rsidR="003F4745">
        <w:rPr>
          <w:rFonts w:ascii="Book Antiqua" w:eastAsia="Book Antiqua" w:hAnsi="Book Antiqua" w:cs="Book Antiqua"/>
        </w:rPr>
        <w:t>in December 2014 there was nothing to suggest that the appellant had engaged in any further criminal activity.</w:t>
      </w:r>
    </w:p>
    <w:p w:rsidR="00C3104A" w:rsidRDefault="00C3104A">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next referred to the appellant’s evidence </w:t>
      </w:r>
      <w:r w:rsidR="00813213">
        <w:rPr>
          <w:rFonts w:ascii="Book Antiqua" w:eastAsia="Book Antiqua" w:hAnsi="Book Antiqua" w:cs="Book Antiqua"/>
        </w:rPr>
        <w:t>that from 2016 he had a job delivering food</w:t>
      </w:r>
      <w:r w:rsidR="00255799">
        <w:rPr>
          <w:rFonts w:ascii="Book Antiqua" w:eastAsia="Book Antiqua" w:hAnsi="Book Antiqua" w:cs="Book Antiqua"/>
        </w:rPr>
        <w:t xml:space="preserve">, </w:t>
      </w:r>
      <w:r w:rsidR="00813213">
        <w:rPr>
          <w:rFonts w:ascii="Book Antiqua" w:eastAsia="Book Antiqua" w:hAnsi="Book Antiqua" w:cs="Book Antiqua"/>
        </w:rPr>
        <w:t xml:space="preserve">that he had undertaken a college course in law and criminology </w:t>
      </w:r>
      <w:r w:rsidR="00255799">
        <w:rPr>
          <w:rFonts w:ascii="Book Antiqua" w:eastAsia="Book Antiqua" w:hAnsi="Book Antiqua" w:cs="Book Antiqua"/>
        </w:rPr>
        <w:t>and that but for the deportation order he would have been able to take up a place at Birmingham University</w:t>
      </w:r>
      <w:r w:rsidR="00E964E3">
        <w:rPr>
          <w:rFonts w:ascii="Book Antiqua" w:eastAsia="Book Antiqua" w:hAnsi="Book Antiqua" w:cs="Book Antiqua"/>
        </w:rPr>
        <w:t xml:space="preserve">. He referred to the appellant’s evidence that since moving to </w:t>
      </w:r>
      <w:r w:rsidR="00513E39">
        <w:rPr>
          <w:rFonts w:ascii="Book Antiqua" w:eastAsia="Book Antiqua" w:hAnsi="Book Antiqua" w:cs="Book Antiqua"/>
        </w:rPr>
        <w:t xml:space="preserve">Birmingham he is a changed man </w:t>
      </w:r>
      <w:r w:rsidR="00C830EF">
        <w:rPr>
          <w:rFonts w:ascii="Book Antiqua" w:eastAsia="Book Antiqua" w:hAnsi="Book Antiqua" w:cs="Book Antiqua"/>
        </w:rPr>
        <w:t>and mature enough “to see what is wrong”. He also noted the appellant’s evidence that he had no family that he knew in Jamaica</w:t>
      </w:r>
      <w:r w:rsidR="00400DA6">
        <w:rPr>
          <w:rFonts w:ascii="Book Antiqua" w:eastAsia="Book Antiqua" w:hAnsi="Book Antiqua" w:cs="Book Antiqua"/>
        </w:rPr>
        <w:t xml:space="preserve">. </w:t>
      </w:r>
    </w:p>
    <w:p w:rsidR="00400DA6" w:rsidRDefault="00400DA6">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summarised the evidence of the </w:t>
      </w:r>
      <w:r w:rsidR="004F6C08">
        <w:rPr>
          <w:rFonts w:ascii="Book Antiqua" w:eastAsia="Book Antiqua" w:hAnsi="Book Antiqua" w:cs="Book Antiqua"/>
        </w:rPr>
        <w:t xml:space="preserve">appellant’s great aunt who has been a British Citizen for </w:t>
      </w:r>
      <w:r w:rsidR="00F82B58">
        <w:rPr>
          <w:rFonts w:ascii="Book Antiqua" w:eastAsia="Book Antiqua" w:hAnsi="Book Antiqua" w:cs="Book Antiqua"/>
        </w:rPr>
        <w:t>15 years. Her evidence was that she ran a cleaning company</w:t>
      </w:r>
      <w:r w:rsidR="00CF6791">
        <w:rPr>
          <w:rFonts w:ascii="Book Antiqua" w:eastAsia="Book Antiqua" w:hAnsi="Book Antiqua" w:cs="Book Antiqua"/>
        </w:rPr>
        <w:t>, had supported the appellant and would offer him a job if he had status. The</w:t>
      </w:r>
      <w:r w:rsidR="00B47F16">
        <w:rPr>
          <w:rFonts w:ascii="Book Antiqua" w:eastAsia="Book Antiqua" w:hAnsi="Book Antiqua" w:cs="Book Antiqua"/>
        </w:rPr>
        <w:t xml:space="preserve">re </w:t>
      </w:r>
      <w:r w:rsidR="00CF6791">
        <w:rPr>
          <w:rFonts w:ascii="Book Antiqua" w:eastAsia="Book Antiqua" w:hAnsi="Book Antiqua" w:cs="Book Antiqua"/>
        </w:rPr>
        <w:t xml:space="preserve">were various </w:t>
      </w:r>
      <w:r w:rsidR="00C41273">
        <w:rPr>
          <w:rFonts w:ascii="Book Antiqua" w:eastAsia="Book Antiqua" w:hAnsi="Book Antiqua" w:cs="Book Antiqua"/>
        </w:rPr>
        <w:t xml:space="preserve">“support </w:t>
      </w:r>
      <w:r w:rsidR="00CF6791">
        <w:rPr>
          <w:rFonts w:ascii="Book Antiqua" w:eastAsia="Book Antiqua" w:hAnsi="Book Antiqua" w:cs="Book Antiqua"/>
        </w:rPr>
        <w:t>letters</w:t>
      </w:r>
      <w:r w:rsidR="00C41273">
        <w:rPr>
          <w:rFonts w:ascii="Book Antiqua" w:eastAsia="Book Antiqua" w:hAnsi="Book Antiqua" w:cs="Book Antiqua"/>
        </w:rPr>
        <w:t xml:space="preserve">” which the FtJ said that he had considered. </w:t>
      </w:r>
    </w:p>
    <w:p w:rsidR="00825410" w:rsidRDefault="00825410">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[13] the FtJ </w:t>
      </w:r>
      <w:r w:rsidR="006823F6">
        <w:rPr>
          <w:rFonts w:ascii="Book Antiqua" w:eastAsia="Book Antiqua" w:hAnsi="Book Antiqua" w:cs="Book Antiqua"/>
        </w:rPr>
        <w:t xml:space="preserve">said that there was a presumption in favour of deporting foreign criminals but the fact that the appellant’s sentence was less than four years </w:t>
      </w:r>
      <w:r w:rsidR="00505644">
        <w:rPr>
          <w:rFonts w:ascii="Book Antiqua" w:eastAsia="Book Antiqua" w:hAnsi="Book Antiqua" w:cs="Book Antiqua"/>
        </w:rPr>
        <w:t xml:space="preserve">means that that is a rebuttable presumption. </w:t>
      </w:r>
      <w:r w:rsidR="00811611">
        <w:rPr>
          <w:rFonts w:ascii="Book Antiqua" w:eastAsia="Book Antiqua" w:hAnsi="Book Antiqua" w:cs="Book Antiqua"/>
        </w:rPr>
        <w:t>He</w:t>
      </w:r>
      <w:r w:rsidR="00505644">
        <w:rPr>
          <w:rFonts w:ascii="Book Antiqua" w:eastAsia="Book Antiqua" w:hAnsi="Book Antiqua" w:cs="Book Antiqua"/>
        </w:rPr>
        <w:t xml:space="preserve"> then said as follows:</w:t>
      </w:r>
    </w:p>
    <w:p w:rsidR="00505644" w:rsidRPr="006B538E" w:rsidRDefault="00505644" w:rsidP="006B538E">
      <w:pPr>
        <w:spacing w:before="240"/>
        <w:ind w:left="1418"/>
        <w:jc w:val="both"/>
        <w:rPr>
          <w:rFonts w:ascii="Book Antiqua" w:eastAsia="Book Antiqua" w:hAnsi="Book Antiqua" w:cs="Book Antiqua"/>
          <w:sz w:val="22"/>
          <w:szCs w:val="22"/>
        </w:rPr>
      </w:pPr>
      <w:r w:rsidRPr="006B538E">
        <w:rPr>
          <w:rFonts w:ascii="Book Antiqua" w:eastAsia="Book Antiqua" w:hAnsi="Book Antiqua" w:cs="Book Antiqua"/>
          <w:sz w:val="22"/>
          <w:szCs w:val="22"/>
        </w:rPr>
        <w:t xml:space="preserve">“I find that there are </w:t>
      </w:r>
      <w:r w:rsidR="00F52FD6" w:rsidRPr="006B538E">
        <w:rPr>
          <w:rFonts w:ascii="Book Antiqua" w:eastAsia="Book Antiqua" w:hAnsi="Book Antiqua" w:cs="Book Antiqua"/>
          <w:sz w:val="22"/>
          <w:szCs w:val="22"/>
        </w:rPr>
        <w:t xml:space="preserve">very compelling circumstances which in this case outweigh the public interest and the permissible aims of maintaining </w:t>
      </w:r>
      <w:r w:rsidR="006B538E" w:rsidRPr="006B538E">
        <w:rPr>
          <w:rFonts w:ascii="Book Antiqua" w:eastAsia="Book Antiqua" w:hAnsi="Book Antiqua" w:cs="Book Antiqua"/>
          <w:sz w:val="22"/>
          <w:szCs w:val="22"/>
        </w:rPr>
        <w:t>effective immigration control and the prevention of crime and disorder.”</w:t>
      </w:r>
    </w:p>
    <w:p w:rsidR="00505644" w:rsidRDefault="00811611">
      <w:pPr>
        <w:numPr>
          <w:ilvl w:val="0"/>
          <w:numId w:val="1"/>
        </w:numPr>
        <w:spacing w:before="240"/>
        <w:jc w:val="both"/>
        <w:rPr>
          <w:rFonts w:ascii="Book Antiqua" w:eastAsia="Book Antiqua" w:hAnsi="Book Antiqua" w:cs="Book Antiqua"/>
        </w:rPr>
      </w:pPr>
      <w:r>
        <w:rPr>
          <w:rFonts w:ascii="Book Antiqua" w:eastAsia="Book Antiqua" w:hAnsi="Book Antiqua" w:cs="Book Antiqua"/>
        </w:rPr>
        <w:t>In his concluding paragraph he said this:</w:t>
      </w:r>
    </w:p>
    <w:p w:rsidR="005F50FA" w:rsidRPr="00E5463F" w:rsidRDefault="00C26E54" w:rsidP="00E5463F">
      <w:pPr>
        <w:spacing w:before="240"/>
        <w:ind w:left="1560"/>
        <w:jc w:val="both"/>
        <w:rPr>
          <w:rFonts w:ascii="Book Antiqua" w:eastAsia="Book Antiqua" w:hAnsi="Book Antiqua" w:cs="Book Antiqua"/>
          <w:sz w:val="22"/>
          <w:szCs w:val="22"/>
        </w:rPr>
      </w:pPr>
      <w:r w:rsidRPr="00E5463F">
        <w:rPr>
          <w:rFonts w:ascii="Book Antiqua" w:eastAsia="Book Antiqua" w:hAnsi="Book Antiqua" w:cs="Book Antiqua"/>
          <w:sz w:val="22"/>
          <w:szCs w:val="22"/>
        </w:rPr>
        <w:lastRenderedPageBreak/>
        <w:t>“A sufficiency of mitigating circumstances meant that the appellant received a suspended sentence and not an immediate custodial sentence</w:t>
      </w:r>
      <w:r w:rsidR="006C57AC" w:rsidRPr="00E5463F">
        <w:rPr>
          <w:rFonts w:ascii="Book Antiqua" w:eastAsia="Book Antiqua" w:hAnsi="Book Antiqua" w:cs="Book Antiqua"/>
          <w:sz w:val="22"/>
          <w:szCs w:val="22"/>
        </w:rPr>
        <w:t>. The appellant claims to have rehabilitated himself and I am persuaded that he has. He has not offended since 2014</w:t>
      </w:r>
      <w:r w:rsidR="00E922A5" w:rsidRPr="00E5463F">
        <w:rPr>
          <w:rFonts w:ascii="Book Antiqua" w:eastAsia="Book Antiqua" w:hAnsi="Book Antiqua" w:cs="Book Antiqua"/>
          <w:sz w:val="22"/>
          <w:szCs w:val="22"/>
        </w:rPr>
        <w:t>. He has the opportunity of work and a university education. I was impressed by Mrs Scott’s evidence and the letters of support</w:t>
      </w:r>
      <w:r w:rsidR="007D5F2A" w:rsidRPr="00E5463F">
        <w:rPr>
          <w:rFonts w:ascii="Book Antiqua" w:eastAsia="Book Antiqua" w:hAnsi="Book Antiqua" w:cs="Book Antiqua"/>
          <w:sz w:val="22"/>
          <w:szCs w:val="22"/>
        </w:rPr>
        <w:t xml:space="preserve">. This is a young man who has spent most of his life in the United Kingdom and has no relatives </w:t>
      </w:r>
      <w:r w:rsidR="00E5463F" w:rsidRPr="00E5463F">
        <w:rPr>
          <w:rFonts w:ascii="Book Antiqua" w:eastAsia="Book Antiqua" w:hAnsi="Book Antiqua" w:cs="Book Antiqua"/>
          <w:sz w:val="22"/>
          <w:szCs w:val="22"/>
        </w:rPr>
        <w:t>he knows in Jamaica.”</w:t>
      </w:r>
    </w:p>
    <w:p w:rsidR="005F50FA" w:rsidRDefault="00C6072A">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complaint in the respondent’s grounds about the FtJ having failed to explain what were the </w:t>
      </w:r>
      <w:r w:rsidR="00DA27AD">
        <w:rPr>
          <w:rFonts w:ascii="Book Antiqua" w:eastAsia="Book Antiqua" w:hAnsi="Book Antiqua" w:cs="Book Antiqua"/>
        </w:rPr>
        <w:t>“mitigating circumstances” which outweighed the public interest</w:t>
      </w:r>
      <w:r w:rsidR="007022D1">
        <w:rPr>
          <w:rFonts w:ascii="Book Antiqua" w:eastAsia="Book Antiqua" w:hAnsi="Book Antiqua" w:cs="Book Antiqua"/>
        </w:rPr>
        <w:t>,</w:t>
      </w:r>
      <w:r w:rsidR="00DA27AD">
        <w:rPr>
          <w:rFonts w:ascii="Book Antiqua" w:eastAsia="Book Antiqua" w:hAnsi="Book Antiqua" w:cs="Book Antiqua"/>
        </w:rPr>
        <w:t xml:space="preserve"> is misconceived. </w:t>
      </w:r>
      <w:r w:rsidR="00A10B7C">
        <w:rPr>
          <w:rFonts w:ascii="Book Antiqua" w:eastAsia="Book Antiqua" w:hAnsi="Book Antiqua" w:cs="Book Antiqua"/>
        </w:rPr>
        <w:t>The FtJ’s reference to mitigating circumstances</w:t>
      </w:r>
      <w:r w:rsidR="00624EBA">
        <w:rPr>
          <w:rFonts w:ascii="Book Antiqua" w:eastAsia="Book Antiqua" w:hAnsi="Book Antiqua" w:cs="Book Antiqua"/>
        </w:rPr>
        <w:t xml:space="preserve"> was with reference to the fact that the appellant received a suspended, as opposed to an immediate, sentence of imprisonment</w:t>
      </w:r>
      <w:r w:rsidR="00AB5156">
        <w:rPr>
          <w:rFonts w:ascii="Book Antiqua" w:eastAsia="Book Antiqua" w:hAnsi="Book Antiqua" w:cs="Book Antiqua"/>
        </w:rPr>
        <w:t>. He was not there stating that there were mitigating circumstances sufficient to displace the public interest.</w:t>
      </w:r>
    </w:p>
    <w:p w:rsidR="00634052" w:rsidRDefault="00BC3ABC"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Nevertheless</w:t>
      </w:r>
      <w:r w:rsidR="00AF4E5D" w:rsidRPr="00BC3ABC">
        <w:rPr>
          <w:rFonts w:ascii="Book Antiqua" w:eastAsia="Book Antiqua" w:hAnsi="Book Antiqua" w:cs="Book Antiqua"/>
        </w:rPr>
        <w:t xml:space="preserve">, as announced at the conclusion of the hearing before me, I am satisfied that the FtJ’s decision is </w:t>
      </w:r>
      <w:r w:rsidR="00634052" w:rsidRPr="00BC3ABC">
        <w:rPr>
          <w:rFonts w:ascii="Book Antiqua" w:eastAsia="Book Antiqua" w:hAnsi="Book Antiqua" w:cs="Book Antiqua"/>
        </w:rPr>
        <w:t>marred by legal error such as to require his decision to be set aside.</w:t>
      </w:r>
      <w:r>
        <w:rPr>
          <w:rFonts w:ascii="Book Antiqua" w:eastAsia="Book Antiqua" w:hAnsi="Book Antiqua" w:cs="Book Antiqua"/>
        </w:rPr>
        <w:t xml:space="preserve"> </w:t>
      </w:r>
      <w:r w:rsidR="007A44DE" w:rsidRPr="00BC3ABC">
        <w:rPr>
          <w:rFonts w:ascii="Book Antiqua" w:eastAsia="Book Antiqua" w:hAnsi="Book Antiqua" w:cs="Book Antiqua"/>
        </w:rPr>
        <w:t>There are one or two slips here or there in the FtJ’s</w:t>
      </w:r>
      <w:r w:rsidR="002A32FF" w:rsidRPr="00BC3ABC">
        <w:rPr>
          <w:rFonts w:ascii="Book Antiqua" w:eastAsia="Book Antiqua" w:hAnsi="Book Antiqua" w:cs="Book Antiqua"/>
        </w:rPr>
        <w:t xml:space="preserve"> decision to which reference has already been made. </w:t>
      </w:r>
      <w:r>
        <w:rPr>
          <w:rFonts w:ascii="Book Antiqua" w:eastAsia="Book Antiqua" w:hAnsi="Book Antiqua" w:cs="Book Antiqua"/>
        </w:rPr>
        <w:t>However, t</w:t>
      </w:r>
      <w:r w:rsidR="002A32FF" w:rsidRPr="00BC3ABC">
        <w:rPr>
          <w:rFonts w:ascii="Book Antiqua" w:eastAsia="Book Antiqua" w:hAnsi="Book Antiqua" w:cs="Book Antiqua"/>
        </w:rPr>
        <w:t>hey are not material.</w:t>
      </w:r>
    </w:p>
    <w:p w:rsidR="0043225B" w:rsidRDefault="00BC3ABC"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FtJ’s decision is </w:t>
      </w:r>
      <w:r w:rsidR="00BC569F">
        <w:rPr>
          <w:rFonts w:ascii="Book Antiqua" w:eastAsia="Book Antiqua" w:hAnsi="Book Antiqua" w:cs="Book Antiqua"/>
        </w:rPr>
        <w:t xml:space="preserve">surprisingly brief. Brevity is not inherently </w:t>
      </w:r>
      <w:r w:rsidR="009817ED">
        <w:rPr>
          <w:rFonts w:ascii="Book Antiqua" w:eastAsia="Book Antiqua" w:hAnsi="Book Antiqua" w:cs="Book Antiqua"/>
        </w:rPr>
        <w:t xml:space="preserve">wrong but it may mean that matters of significance are omitted. That in my view is what has happened in this case. </w:t>
      </w:r>
      <w:r w:rsidR="002A4B2F">
        <w:rPr>
          <w:rFonts w:ascii="Book Antiqua" w:eastAsia="Book Antiqua" w:hAnsi="Book Antiqua" w:cs="Book Antiqua"/>
        </w:rPr>
        <w:t xml:space="preserve">There is no reference by the FtJ to the framework for consideration of deportation appeals as set out in the immigration rules, </w:t>
      </w:r>
      <w:r w:rsidR="00B82319">
        <w:rPr>
          <w:rFonts w:ascii="Book Antiqua" w:eastAsia="Book Antiqua" w:hAnsi="Book Antiqua" w:cs="Book Antiqua"/>
        </w:rPr>
        <w:t xml:space="preserve">the relevant ones here being paras </w:t>
      </w:r>
      <w:r w:rsidR="00CA722D">
        <w:rPr>
          <w:rFonts w:ascii="Book Antiqua" w:eastAsia="Book Antiqua" w:hAnsi="Book Antiqua" w:cs="Book Antiqua"/>
        </w:rPr>
        <w:t>398(c) and 399A</w:t>
      </w:r>
      <w:r w:rsidR="00D60C93">
        <w:rPr>
          <w:rFonts w:ascii="Book Antiqua" w:eastAsia="Book Antiqua" w:hAnsi="Book Antiqua" w:cs="Book Antiqua"/>
        </w:rPr>
        <w:t>.</w:t>
      </w:r>
      <w:r w:rsidR="004329D0">
        <w:rPr>
          <w:rFonts w:ascii="Book Antiqua" w:eastAsia="Book Antiqua" w:hAnsi="Book Antiqua" w:cs="Book Antiqua"/>
        </w:rPr>
        <w:t xml:space="preserve"> The former relates to deportation that is conducive to the public </w:t>
      </w:r>
      <w:r w:rsidR="007F4170">
        <w:rPr>
          <w:rFonts w:ascii="Book Antiqua" w:eastAsia="Book Antiqua" w:hAnsi="Book Antiqua" w:cs="Book Antiqua"/>
        </w:rPr>
        <w:t xml:space="preserve">good/offending caused serious harm or persistent offender, and the </w:t>
      </w:r>
      <w:r w:rsidR="006C1755">
        <w:rPr>
          <w:rFonts w:ascii="Book Antiqua" w:eastAsia="Book Antiqua" w:hAnsi="Book Antiqua" w:cs="Book Antiqua"/>
        </w:rPr>
        <w:t>latter involving considerations of lawful residence for most of one’s life,</w:t>
      </w:r>
      <w:r w:rsidR="004E5F43">
        <w:rPr>
          <w:rFonts w:ascii="Book Antiqua" w:eastAsia="Book Antiqua" w:hAnsi="Book Antiqua" w:cs="Book Antiqua"/>
        </w:rPr>
        <w:t xml:space="preserve"> social and cultural integration and very significant obstacles to integration in the country of return.</w:t>
      </w:r>
    </w:p>
    <w:p w:rsidR="00BC3ABC" w:rsidRDefault="0043225B"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Similarly, </w:t>
      </w:r>
      <w:r w:rsidR="00DB1320">
        <w:rPr>
          <w:rFonts w:ascii="Book Antiqua" w:eastAsia="Book Antiqua" w:hAnsi="Book Antiqua" w:cs="Book Antiqua"/>
        </w:rPr>
        <w:t xml:space="preserve">there is no explicit reference </w:t>
      </w:r>
      <w:r w:rsidR="0015159B">
        <w:rPr>
          <w:rFonts w:ascii="Book Antiqua" w:eastAsia="Book Antiqua" w:hAnsi="Book Antiqua" w:cs="Book Antiqua"/>
        </w:rPr>
        <w:t xml:space="preserve">in the FtJ’s decision </w:t>
      </w:r>
      <w:r w:rsidR="00DB1320">
        <w:rPr>
          <w:rFonts w:ascii="Book Antiqua" w:eastAsia="Book Antiqua" w:hAnsi="Book Antiqua" w:cs="Book Antiqua"/>
        </w:rPr>
        <w:t>to s.</w:t>
      </w:r>
      <w:r w:rsidR="00A51F10">
        <w:rPr>
          <w:rFonts w:ascii="Book Antiqua" w:eastAsia="Book Antiqua" w:hAnsi="Book Antiqua" w:cs="Book Antiqua"/>
        </w:rPr>
        <w:t xml:space="preserve">117C of the </w:t>
      </w:r>
      <w:r w:rsidR="00547CC7">
        <w:rPr>
          <w:rFonts w:ascii="Book Antiqua" w:eastAsia="Book Antiqua" w:hAnsi="Book Antiqua" w:cs="Book Antiqua"/>
        </w:rPr>
        <w:t>Nationality, Immigration and Asylum Act 2002 (“the 2002 Act”)</w:t>
      </w:r>
      <w:r w:rsidR="003A4D6E">
        <w:rPr>
          <w:rFonts w:ascii="Book Antiqua" w:eastAsia="Book Antiqua" w:hAnsi="Book Antiqua" w:cs="Book Antiqua"/>
        </w:rPr>
        <w:t xml:space="preserve"> which </w:t>
      </w:r>
      <w:r w:rsidR="0015159B">
        <w:rPr>
          <w:rFonts w:ascii="Book Antiqua" w:eastAsia="Book Antiqua" w:hAnsi="Book Antiqua" w:cs="Book Antiqua"/>
        </w:rPr>
        <w:t>sets out the public interest considerations that are required to be taken into account.</w:t>
      </w:r>
      <w:r w:rsidR="00D60C93">
        <w:rPr>
          <w:rFonts w:ascii="Book Antiqua" w:eastAsia="Book Antiqua" w:hAnsi="Book Antiqua" w:cs="Book Antiqua"/>
        </w:rPr>
        <w:t xml:space="preserve"> </w:t>
      </w:r>
    </w:p>
    <w:p w:rsidR="0015159B" w:rsidRDefault="0015159B"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her decision the respondent </w:t>
      </w:r>
      <w:r w:rsidR="00C74E9E">
        <w:rPr>
          <w:rFonts w:ascii="Book Antiqua" w:eastAsia="Book Antiqua" w:hAnsi="Book Antiqua" w:cs="Book Antiqua"/>
        </w:rPr>
        <w:t>expressed the view that the appellant’s offending had caused serious harm</w:t>
      </w:r>
      <w:r w:rsidR="00BA53E4">
        <w:rPr>
          <w:rFonts w:ascii="Book Antiqua" w:eastAsia="Book Antiqua" w:hAnsi="Book Antiqua" w:cs="Book Antiqua"/>
        </w:rPr>
        <w:t>, with reference to the drugs offences. It is also said</w:t>
      </w:r>
      <w:r w:rsidR="00671C7C">
        <w:rPr>
          <w:rFonts w:ascii="Book Antiqua" w:eastAsia="Book Antiqua" w:hAnsi="Book Antiqua" w:cs="Book Antiqua"/>
        </w:rPr>
        <w:t xml:space="preserve"> at [48] of the respondent’s decision</w:t>
      </w:r>
      <w:r w:rsidR="00BA53E4">
        <w:rPr>
          <w:rFonts w:ascii="Book Antiqua" w:eastAsia="Book Antiqua" w:hAnsi="Book Antiqua" w:cs="Book Antiqua"/>
        </w:rPr>
        <w:t xml:space="preserve"> that the appellant is a persistent offender</w:t>
      </w:r>
      <w:r w:rsidR="001E4BE6">
        <w:rPr>
          <w:rFonts w:ascii="Book Antiqua" w:eastAsia="Book Antiqua" w:hAnsi="Book Antiqua" w:cs="Book Antiqua"/>
        </w:rPr>
        <w:t xml:space="preserve"> (although in terms of para 399(c) does not actually use the phrase</w:t>
      </w:r>
      <w:r w:rsidR="006E22BF">
        <w:rPr>
          <w:rFonts w:ascii="Book Antiqua" w:eastAsia="Book Antiqua" w:hAnsi="Book Antiqua" w:cs="Book Antiqua"/>
        </w:rPr>
        <w:t xml:space="preserve"> “who shows a particular disregard for the law”</w:t>
      </w:r>
      <w:r w:rsidR="00A334B4">
        <w:rPr>
          <w:rFonts w:ascii="Book Antiqua" w:eastAsia="Book Antiqua" w:hAnsi="Book Antiqua" w:cs="Book Antiqua"/>
        </w:rPr>
        <w:t>, but again s117D</w:t>
      </w:r>
      <w:r w:rsidR="001C435D">
        <w:rPr>
          <w:rFonts w:ascii="Book Antiqua" w:eastAsia="Book Antiqua" w:hAnsi="Book Antiqua" w:cs="Book Antiqua"/>
        </w:rPr>
        <w:t xml:space="preserve">(2)(c)(iii) of the 2002 Act </w:t>
      </w:r>
      <w:r w:rsidR="007C468A">
        <w:rPr>
          <w:rFonts w:ascii="Book Antiqua" w:eastAsia="Book Antiqua" w:hAnsi="Book Antiqua" w:cs="Book Antiqua"/>
        </w:rPr>
        <w:t>does not use that phrase either).</w:t>
      </w:r>
    </w:p>
    <w:p w:rsidR="007C468A" w:rsidRDefault="00B874D1"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point is, the respondent’s decision </w:t>
      </w:r>
      <w:r w:rsidR="00A74DD9">
        <w:rPr>
          <w:rFonts w:ascii="Book Antiqua" w:eastAsia="Book Antiqua" w:hAnsi="Book Antiqua" w:cs="Book Antiqua"/>
        </w:rPr>
        <w:t xml:space="preserve">is anchored within the framework of the Rules, but the FtJ’s decision is not. If </w:t>
      </w:r>
      <w:r w:rsidR="00673147">
        <w:rPr>
          <w:rFonts w:ascii="Book Antiqua" w:eastAsia="Book Antiqua" w:hAnsi="Book Antiqua" w:cs="Book Antiqua"/>
        </w:rPr>
        <w:t>the FtJ had considered para 399A he would have appreciated that the ability of the appellant to come within any of the subparagraphs was contested by the respondent. It was said that he had not been lawfully resident for most of his life</w:t>
      </w:r>
      <w:r w:rsidR="00561B38">
        <w:rPr>
          <w:rFonts w:ascii="Book Antiqua" w:eastAsia="Book Antiqua" w:hAnsi="Book Antiqua" w:cs="Book Antiqua"/>
        </w:rPr>
        <w:t>, was not socially and culturally integrated and that there would not be very significant obstacles to integration in Jamaica, for the reasons given</w:t>
      </w:r>
      <w:r w:rsidR="000831C9">
        <w:rPr>
          <w:rFonts w:ascii="Book Antiqua" w:eastAsia="Book Antiqua" w:hAnsi="Book Antiqua" w:cs="Book Antiqua"/>
        </w:rPr>
        <w:t xml:space="preserve"> from [36] onward of the respondent’s decision. </w:t>
      </w:r>
    </w:p>
    <w:p w:rsidR="0086273E" w:rsidRDefault="000831C9"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lastRenderedPageBreak/>
        <w:t xml:space="preserve">It is true that the </w:t>
      </w:r>
      <w:r w:rsidR="001D5062">
        <w:rPr>
          <w:rFonts w:ascii="Book Antiqua" w:eastAsia="Book Antiqua" w:hAnsi="Book Antiqua" w:cs="Book Antiqua"/>
        </w:rPr>
        <w:t>FtJ made some findings which could or would have a bearing on those issues</w:t>
      </w:r>
      <w:r w:rsidR="00AC4364">
        <w:rPr>
          <w:rFonts w:ascii="Book Antiqua" w:eastAsia="Book Antiqua" w:hAnsi="Book Antiqua" w:cs="Book Antiqua"/>
        </w:rPr>
        <w:t xml:space="preserve"> but not many, and not many of substance. Thus, </w:t>
      </w:r>
      <w:r w:rsidR="00044D9F">
        <w:rPr>
          <w:rFonts w:ascii="Book Antiqua" w:eastAsia="Book Antiqua" w:hAnsi="Book Antiqua" w:cs="Book Antiqua"/>
        </w:rPr>
        <w:t xml:space="preserve">there is a finding that he has no relatives in Jamaica, </w:t>
      </w:r>
      <w:r w:rsidR="004A4F72">
        <w:rPr>
          <w:rFonts w:ascii="Book Antiqua" w:eastAsia="Book Antiqua" w:hAnsi="Book Antiqua" w:cs="Book Antiqua"/>
        </w:rPr>
        <w:t>and that he has lived here for most of his life</w:t>
      </w:r>
      <w:r w:rsidR="0086273E">
        <w:rPr>
          <w:rFonts w:ascii="Book Antiqua" w:eastAsia="Book Antiqua" w:hAnsi="Book Antiqua" w:cs="Book Antiqua"/>
        </w:rPr>
        <w:t>. However, those limited findings do not represent a proper consideration of the relevant issues under para 399A and do not engage with the respondent’s decision in that respect.</w:t>
      </w:r>
    </w:p>
    <w:p w:rsidR="00B23380" w:rsidRDefault="008A299D"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I</w:t>
      </w:r>
      <w:r w:rsidR="00511F3A">
        <w:rPr>
          <w:rFonts w:ascii="Book Antiqua" w:eastAsia="Book Antiqua" w:hAnsi="Book Antiqua" w:cs="Book Antiqua"/>
        </w:rPr>
        <w:t xml:space="preserve"> do not consider that the FtJ’s reference to “very compelling circumstances” </w:t>
      </w:r>
      <w:r w:rsidR="002C2550">
        <w:rPr>
          <w:rFonts w:ascii="Book Antiqua" w:eastAsia="Book Antiqua" w:hAnsi="Book Antiqua" w:cs="Book Antiqua"/>
        </w:rPr>
        <w:t>amounts to a lawful consideration of such</w:t>
      </w:r>
      <w:r w:rsidR="00DC03B9">
        <w:rPr>
          <w:rFonts w:ascii="Book Antiqua" w:eastAsia="Book Antiqua" w:hAnsi="Book Antiqua" w:cs="Book Antiqua"/>
        </w:rPr>
        <w:t xml:space="preserve"> circumstances within the scope of para 398(c). That part of the Rules contemplates that there may be </w:t>
      </w:r>
      <w:r w:rsidR="002C2EFC">
        <w:rPr>
          <w:rFonts w:ascii="Book Antiqua" w:eastAsia="Book Antiqua" w:hAnsi="Book Antiqua" w:cs="Book Antiqua"/>
        </w:rPr>
        <w:t xml:space="preserve">such circumstances which outweigh the public interest in deportation where paras </w:t>
      </w:r>
      <w:r w:rsidR="00E50E2A">
        <w:rPr>
          <w:rFonts w:ascii="Book Antiqua" w:eastAsia="Book Antiqua" w:hAnsi="Book Antiqua" w:cs="Book Antiqua"/>
        </w:rPr>
        <w:t>399 or (here) 399A do not apply. In the first place the FtJ does not advert to the Rule</w:t>
      </w:r>
      <w:r w:rsidR="00B23380">
        <w:rPr>
          <w:rFonts w:ascii="Book Antiqua" w:eastAsia="Book Antiqua" w:hAnsi="Book Antiqua" w:cs="Book Antiqua"/>
        </w:rPr>
        <w:t>. Secondly, as already seen, there is no analysis of para 399A such that he could then go on to consider</w:t>
      </w:r>
      <w:r w:rsidR="009935C5">
        <w:rPr>
          <w:rFonts w:ascii="Book Antiqua" w:eastAsia="Book Antiqua" w:hAnsi="Book Antiqua" w:cs="Book Antiqua"/>
        </w:rPr>
        <w:t xml:space="preserve"> whether</w:t>
      </w:r>
      <w:r w:rsidR="00B23380">
        <w:rPr>
          <w:rFonts w:ascii="Book Antiqua" w:eastAsia="Book Antiqua" w:hAnsi="Book Antiqua" w:cs="Book Antiqua"/>
        </w:rPr>
        <w:t xml:space="preserve"> there were very compelling circumstances. </w:t>
      </w:r>
    </w:p>
    <w:p w:rsidR="00D16565" w:rsidRDefault="00B23380"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Further, the very compelling circumstances that the FtJ purported to find</w:t>
      </w:r>
      <w:r w:rsidR="00B14E8D">
        <w:rPr>
          <w:rFonts w:ascii="Book Antiqua" w:eastAsia="Book Antiqua" w:hAnsi="Book Antiqua" w:cs="Book Antiqua"/>
        </w:rPr>
        <w:t xml:space="preserve"> amount to very little in relative terms when one considers the public interest</w:t>
      </w:r>
      <w:r w:rsidR="004C2B30">
        <w:rPr>
          <w:rFonts w:ascii="Book Antiqua" w:eastAsia="Book Antiqua" w:hAnsi="Book Antiqua" w:cs="Book Antiqua"/>
        </w:rPr>
        <w:t xml:space="preserve"> considerations in play. The risk of reoffending is but one part of the assessment, and it is by no means the most important aspect of the public interest in deportation. The FtJ’s decision does not consider the deterrent effect of deportation in what could be said to be his wider Article 8 assessment. </w:t>
      </w:r>
      <w:r w:rsidR="00C756D7">
        <w:rPr>
          <w:rFonts w:ascii="Book Antiqua" w:eastAsia="Book Antiqua" w:hAnsi="Book Antiqua" w:cs="Book Antiqua"/>
        </w:rPr>
        <w:t>Whilst there is reference to the offences that the appellant committed</w:t>
      </w:r>
      <w:r w:rsidR="00813EB7">
        <w:rPr>
          <w:rFonts w:ascii="Book Antiqua" w:eastAsia="Book Antiqua" w:hAnsi="Book Antiqua" w:cs="Book Antiqua"/>
        </w:rPr>
        <w:t xml:space="preserve">, there is no apparent recognition of the harm done by the supply of illicit drugs as explained in the respondent’s decision. </w:t>
      </w:r>
      <w:r w:rsidR="00C91AE0">
        <w:rPr>
          <w:rFonts w:ascii="Book Antiqua" w:eastAsia="Book Antiqua" w:hAnsi="Book Antiqua" w:cs="Book Antiqua"/>
        </w:rPr>
        <w:t>Merely to state that the offences are serious does not represent</w:t>
      </w:r>
      <w:r w:rsidR="007459CD">
        <w:rPr>
          <w:rFonts w:ascii="Book Antiqua" w:eastAsia="Book Antiqua" w:hAnsi="Book Antiqua" w:cs="Book Antiqua"/>
        </w:rPr>
        <w:t xml:space="preserve"> real engagement with the public interest factors in play.</w:t>
      </w:r>
    </w:p>
    <w:p w:rsidR="00FA3D8A" w:rsidRDefault="00D16565"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the light of the matters I have set out above, I am satisfied that the FtJ’s decision </w:t>
      </w:r>
      <w:r w:rsidR="00FA3D8A">
        <w:rPr>
          <w:rFonts w:ascii="Book Antiqua" w:eastAsia="Book Antiqua" w:hAnsi="Book Antiqua" w:cs="Book Antiqua"/>
        </w:rPr>
        <w:t>involve</w:t>
      </w:r>
      <w:r w:rsidR="00696C49">
        <w:rPr>
          <w:rFonts w:ascii="Book Antiqua" w:eastAsia="Book Antiqua" w:hAnsi="Book Antiqua" w:cs="Book Antiqua"/>
        </w:rPr>
        <w:t>d</w:t>
      </w:r>
      <w:r w:rsidR="00FA3D8A">
        <w:rPr>
          <w:rFonts w:ascii="Book Antiqua" w:eastAsia="Book Antiqua" w:hAnsi="Book Antiqua" w:cs="Book Antiqua"/>
        </w:rPr>
        <w:t xml:space="preserve"> the making of an error on a point of law such as to require his decision to be set aside.</w:t>
      </w:r>
    </w:p>
    <w:p w:rsidR="000831C9" w:rsidRDefault="00FA3D8A"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 note that in the grant of permission </w:t>
      </w:r>
      <w:r w:rsidR="00EE7C96">
        <w:rPr>
          <w:rFonts w:ascii="Book Antiqua" w:eastAsia="Book Antiqua" w:hAnsi="Book Antiqua" w:cs="Book Antiqua"/>
        </w:rPr>
        <w:t xml:space="preserve">it is pointed out that there was ‘nexus’ evidence that was not considered at all by the FtJ. </w:t>
      </w:r>
      <w:r w:rsidR="00176DC4">
        <w:rPr>
          <w:rFonts w:ascii="Book Antiqua" w:eastAsia="Book Antiqua" w:hAnsi="Book Antiqua" w:cs="Book Antiqua"/>
        </w:rPr>
        <w:t>There is such evidence which is at A1-4 of the respondent’s bundle that was before the FtJ. However, the respondent’s grounds make no complaint about</w:t>
      </w:r>
      <w:r w:rsidR="003F48A6">
        <w:rPr>
          <w:rFonts w:ascii="Book Antiqua" w:eastAsia="Book Antiqua" w:hAnsi="Book Antiqua" w:cs="Book Antiqua"/>
        </w:rPr>
        <w:t xml:space="preserve"> any failure of the FtJ in taking that evidence into account. Further, I cannot see that it is relied on in the respondent’s decision.</w:t>
      </w:r>
      <w:r w:rsidR="00037FDA">
        <w:rPr>
          <w:rFonts w:ascii="Book Antiqua" w:eastAsia="Book Antiqua" w:hAnsi="Book Antiqua" w:cs="Book Antiqua"/>
        </w:rPr>
        <w:t xml:space="preserve"> </w:t>
      </w:r>
      <w:r w:rsidR="003F48A6">
        <w:rPr>
          <w:rFonts w:ascii="Book Antiqua" w:eastAsia="Book Antiqua" w:hAnsi="Book Antiqua" w:cs="Book Antiqua"/>
        </w:rPr>
        <w:t xml:space="preserve">I do see however, from the FtJ’s manuscript record of proceedings that the appellant was asked questions in cross-examination in relation to that evidence and it </w:t>
      </w:r>
      <w:r w:rsidR="0068456A">
        <w:rPr>
          <w:rFonts w:ascii="Book Antiqua" w:eastAsia="Book Antiqua" w:hAnsi="Book Antiqua" w:cs="Book Antiqua"/>
        </w:rPr>
        <w:t xml:space="preserve">looks as if it featured in the respondent’s submissions before the FtJ. </w:t>
      </w:r>
    </w:p>
    <w:p w:rsidR="0068456A" w:rsidRDefault="0068456A" w:rsidP="00BC3ABC">
      <w:pPr>
        <w:numPr>
          <w:ilvl w:val="0"/>
          <w:numId w:val="1"/>
        </w:numPr>
        <w:spacing w:before="240"/>
        <w:jc w:val="both"/>
        <w:rPr>
          <w:rFonts w:ascii="Book Antiqua" w:eastAsia="Book Antiqua" w:hAnsi="Book Antiqua" w:cs="Book Antiqua"/>
        </w:rPr>
      </w:pPr>
      <w:r>
        <w:rPr>
          <w:rFonts w:ascii="Book Antiqua" w:eastAsia="Book Antiqua" w:hAnsi="Book Antiqua" w:cs="Book Antiqua"/>
        </w:rPr>
        <w:t>However, given that it was not a matter relied on by the respondent in the grounds seeking permission and there was no application to amend the grounds, any a</w:t>
      </w:r>
      <w:r w:rsidR="00B07FAE">
        <w:rPr>
          <w:rFonts w:ascii="Book Antiqua" w:eastAsia="Book Antiqua" w:hAnsi="Book Antiqua" w:cs="Book Antiqua"/>
        </w:rPr>
        <w:t xml:space="preserve">pparent error of law in this respect on the part of the FtJ is not a matter that </w:t>
      </w:r>
      <w:r w:rsidR="00B7422B">
        <w:rPr>
          <w:rFonts w:ascii="Book Antiqua" w:eastAsia="Book Antiqua" w:hAnsi="Book Antiqua" w:cs="Book Antiqua"/>
        </w:rPr>
        <w:t>I</w:t>
      </w:r>
      <w:r w:rsidR="00696C49">
        <w:rPr>
          <w:rFonts w:ascii="Book Antiqua" w:eastAsia="Book Antiqua" w:hAnsi="Book Antiqua" w:cs="Book Antiqua"/>
        </w:rPr>
        <w:t xml:space="preserve"> have</w:t>
      </w:r>
      <w:r w:rsidR="00B7422B">
        <w:rPr>
          <w:rFonts w:ascii="Book Antiqua" w:eastAsia="Book Antiqua" w:hAnsi="Book Antiqua" w:cs="Book Antiqua"/>
        </w:rPr>
        <w:t xml:space="preserve"> take into account in my conclusions. </w:t>
      </w:r>
    </w:p>
    <w:p w:rsidR="00071868" w:rsidRPr="009959BD" w:rsidRDefault="00B74AAA" w:rsidP="0009744D">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Having found an error of law and having decided that the decision of the FtJ must be set aside, </w:t>
      </w:r>
      <w:r w:rsidR="007B6BC8">
        <w:rPr>
          <w:rFonts w:ascii="Book Antiqua" w:eastAsia="Book Antiqua" w:hAnsi="Book Antiqua" w:cs="Book Antiqua"/>
        </w:rPr>
        <w:t xml:space="preserve">the appropriate course is for the appeal to be remitted to the FtT for a hearing </w:t>
      </w:r>
      <w:r w:rsidR="007B6BC8">
        <w:rPr>
          <w:rFonts w:ascii="Book Antiqua" w:eastAsia="Book Antiqua" w:hAnsi="Book Antiqua" w:cs="Book Antiqua"/>
          <w:i/>
        </w:rPr>
        <w:t>de novo</w:t>
      </w:r>
      <w:r w:rsidR="007B6BC8">
        <w:rPr>
          <w:rFonts w:ascii="Book Antiqua" w:eastAsia="Book Antiqua" w:hAnsi="Book Antiqua" w:cs="Book Antiqua"/>
        </w:rPr>
        <w:t xml:space="preserve"> before a judge other than First-tier Tribunal Judge Heatherington, with no findings of fact preserved.</w:t>
      </w:r>
      <w:r w:rsidR="00CB436C">
        <w:rPr>
          <w:rFonts w:ascii="Book Antiqua" w:eastAsia="Book Antiqua" w:hAnsi="Book Antiqua" w:cs="Book Antiqua"/>
        </w:rPr>
        <w:t xml:space="preserve"> I say that no findings are to be preserved because the FtJ’s</w:t>
      </w:r>
      <w:r w:rsidR="008B68FA">
        <w:rPr>
          <w:rFonts w:ascii="Book Antiqua" w:eastAsia="Book Antiqua" w:hAnsi="Book Antiqua" w:cs="Book Antiqua"/>
        </w:rPr>
        <w:t xml:space="preserve"> findings are either insufficiently reasoned or otherwise legally flawed.</w:t>
      </w:r>
    </w:p>
    <w:p w:rsidR="00C70E95" w:rsidRDefault="00C70E95">
      <w:pPr>
        <w:spacing w:before="240"/>
        <w:ind w:firstLine="567"/>
        <w:jc w:val="both"/>
        <w:rPr>
          <w:rFonts w:ascii="Book Antiqua" w:eastAsia="Book Antiqua" w:hAnsi="Book Antiqua" w:cs="Book Antiqua"/>
          <w:i/>
        </w:rPr>
      </w:pPr>
    </w:p>
    <w:p w:rsidR="0076243F" w:rsidRDefault="00A93DB7">
      <w:pPr>
        <w:spacing w:before="240"/>
        <w:ind w:firstLine="567"/>
        <w:jc w:val="both"/>
        <w:rPr>
          <w:rFonts w:ascii="Book Antiqua" w:eastAsia="Book Antiqua" w:hAnsi="Book Antiqua" w:cs="Book Antiqua"/>
        </w:rPr>
      </w:pPr>
      <w:r>
        <w:rPr>
          <w:rFonts w:ascii="Book Antiqua" w:eastAsia="Book Antiqua" w:hAnsi="Book Antiqua" w:cs="Book Antiqua"/>
          <w:i/>
        </w:rPr>
        <w:t xml:space="preserve">Decision </w:t>
      </w:r>
    </w:p>
    <w:p w:rsidR="0076243F" w:rsidRDefault="00A93DB7">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decision of the First-tier Tribunal involved the making of an error on a point of law.  Its decision is set aside and the appeal is remitted to the First-tier Tribunal for a hearing </w:t>
      </w:r>
      <w:r>
        <w:rPr>
          <w:rFonts w:ascii="Book Antiqua" w:eastAsia="Book Antiqua" w:hAnsi="Book Antiqua" w:cs="Book Antiqua"/>
          <w:i/>
        </w:rPr>
        <w:t>de novo</w:t>
      </w:r>
      <w:r>
        <w:rPr>
          <w:rFonts w:ascii="Book Antiqua" w:eastAsia="Book Antiqua" w:hAnsi="Book Antiqua" w:cs="Book Antiqua"/>
        </w:rPr>
        <w:t xml:space="preserve"> before a judge other than First-tier Tribunal Judge</w:t>
      </w:r>
      <w:r w:rsidR="009959BD">
        <w:rPr>
          <w:rFonts w:ascii="Book Antiqua" w:eastAsia="Book Antiqua" w:hAnsi="Book Antiqua" w:cs="Book Antiqua"/>
        </w:rPr>
        <w:t xml:space="preserve"> Heatherington</w:t>
      </w:r>
      <w:r>
        <w:rPr>
          <w:rFonts w:ascii="Book Antiqua" w:eastAsia="Book Antiqua" w:hAnsi="Book Antiqua" w:cs="Book Antiqua"/>
        </w:rPr>
        <w:t xml:space="preserve"> with no findings of fact preserved.  </w:t>
      </w:r>
    </w:p>
    <w:p w:rsidR="0076243F" w:rsidRDefault="0076243F">
      <w:pPr>
        <w:jc w:val="both"/>
        <w:rPr>
          <w:rFonts w:ascii="Book Antiqua" w:eastAsia="Book Antiqua" w:hAnsi="Book Antiqua" w:cs="Book Antiqua"/>
        </w:rPr>
      </w:pPr>
    </w:p>
    <w:p w:rsidR="0076243F" w:rsidRDefault="0076243F">
      <w:pPr>
        <w:jc w:val="both"/>
        <w:rPr>
          <w:rFonts w:ascii="Book Antiqua" w:eastAsia="Book Antiqua" w:hAnsi="Book Antiqua" w:cs="Book Antiqua"/>
        </w:rPr>
      </w:pPr>
    </w:p>
    <w:p w:rsidR="0076243F" w:rsidRDefault="0076243F">
      <w:pPr>
        <w:ind w:left="540" w:hanging="540"/>
        <w:jc w:val="both"/>
        <w:rPr>
          <w:rFonts w:ascii="Book Antiqua" w:eastAsia="Book Antiqua" w:hAnsi="Book Antiqua" w:cs="Book Antiqua"/>
        </w:rPr>
      </w:pPr>
    </w:p>
    <w:p w:rsidR="0076243F" w:rsidRDefault="0076243F">
      <w:pPr>
        <w:ind w:left="540" w:hanging="540"/>
        <w:jc w:val="both"/>
        <w:rPr>
          <w:rFonts w:ascii="Book Antiqua" w:eastAsia="Book Antiqua" w:hAnsi="Book Antiqua" w:cs="Book Antiqua"/>
        </w:rPr>
      </w:pPr>
    </w:p>
    <w:p w:rsidR="0076243F" w:rsidRDefault="0076243F">
      <w:pPr>
        <w:ind w:left="540" w:hanging="540"/>
        <w:jc w:val="both"/>
        <w:rPr>
          <w:rFonts w:ascii="Book Antiqua" w:eastAsia="Book Antiqua" w:hAnsi="Book Antiqua" w:cs="Book Antiqua"/>
        </w:rPr>
      </w:pPr>
    </w:p>
    <w:p w:rsidR="0076243F" w:rsidRDefault="0076243F">
      <w:pPr>
        <w:ind w:left="540" w:hanging="540"/>
        <w:jc w:val="both"/>
        <w:rPr>
          <w:rFonts w:ascii="Book Antiqua" w:eastAsia="Book Antiqua" w:hAnsi="Book Antiqua" w:cs="Book Antiqua"/>
        </w:rPr>
      </w:pPr>
    </w:p>
    <w:p w:rsidR="0076243F" w:rsidRDefault="0076243F">
      <w:pPr>
        <w:tabs>
          <w:tab w:val="left" w:pos="2520"/>
        </w:tabs>
        <w:jc w:val="both"/>
        <w:rPr>
          <w:rFonts w:ascii="Book Antiqua" w:eastAsia="Book Antiqua" w:hAnsi="Book Antiqua" w:cs="Book Antiqua"/>
        </w:rPr>
      </w:pPr>
    </w:p>
    <w:p w:rsidR="0076243F" w:rsidRDefault="00A93DB7">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 xml:space="preserve">Upper Tribunal Judge </w:t>
      </w:r>
      <w:proofErr w:type="spellStart"/>
      <w:r>
        <w:rPr>
          <w:rFonts w:ascii="Book Antiqua" w:eastAsia="Book Antiqua" w:hAnsi="Book Antiqua" w:cs="Book Antiqua"/>
          <w:color w:val="000000"/>
        </w:rPr>
        <w:t>Kopieczek</w:t>
      </w:r>
      <w:proofErr w:type="spellEnd"/>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sidR="0072267A">
        <w:rPr>
          <w:rFonts w:ascii="Book Antiqua" w:eastAsia="Book Antiqua" w:hAnsi="Book Antiqua" w:cs="Book Antiqua"/>
          <w:color w:val="000000"/>
        </w:rPr>
        <w:t xml:space="preserve">dated </w:t>
      </w:r>
      <w:r>
        <w:rPr>
          <w:rFonts w:ascii="Book Antiqua" w:eastAsia="Book Antiqua" w:hAnsi="Book Antiqua" w:cs="Book Antiqua"/>
          <w:color w:val="000000"/>
        </w:rPr>
        <w:t>1</w:t>
      </w:r>
      <w:r w:rsidR="0031218C">
        <w:rPr>
          <w:rFonts w:ascii="Book Antiqua" w:eastAsia="Book Antiqua" w:hAnsi="Book Antiqua" w:cs="Book Antiqua"/>
        </w:rPr>
        <w:t>9</w:t>
      </w:r>
      <w:r>
        <w:rPr>
          <w:rFonts w:ascii="Book Antiqua" w:eastAsia="Book Antiqua" w:hAnsi="Book Antiqua" w:cs="Book Antiqua"/>
        </w:rPr>
        <w:t>/06/18</w:t>
      </w:r>
    </w:p>
    <w:p w:rsidR="0076243F" w:rsidRDefault="0076243F">
      <w:pPr>
        <w:tabs>
          <w:tab w:val="left" w:pos="2520"/>
        </w:tabs>
        <w:ind w:left="540" w:hanging="540"/>
        <w:jc w:val="both"/>
        <w:rPr>
          <w:rFonts w:ascii="Book Antiqua" w:eastAsia="Book Antiqua" w:hAnsi="Book Antiqua" w:cs="Book Antiqua"/>
          <w:color w:val="000000"/>
        </w:rPr>
      </w:pPr>
    </w:p>
    <w:p w:rsidR="0076243F" w:rsidRDefault="0076243F">
      <w:pPr>
        <w:tabs>
          <w:tab w:val="left" w:pos="2520"/>
        </w:tabs>
        <w:ind w:left="540" w:hanging="540"/>
        <w:jc w:val="both"/>
        <w:rPr>
          <w:rFonts w:ascii="Book Antiqua" w:eastAsia="Book Antiqua" w:hAnsi="Book Antiqua" w:cs="Book Antiqua"/>
          <w:color w:val="000000"/>
        </w:rPr>
      </w:pPr>
    </w:p>
    <w:sectPr w:rsidR="0076243F">
      <w:headerReference w:type="even" r:id="rId8"/>
      <w:headerReference w:type="default" r:id="rId9"/>
      <w:footerReference w:type="default" r:id="rId10"/>
      <w:headerReference w:type="first" r:id="rId11"/>
      <w:footerReference w:type="first" r:id="rId12"/>
      <w:pgSz w:w="11906" w:h="16838"/>
      <w:pgMar w:top="1440"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527" w:rsidRDefault="00460527">
      <w:r>
        <w:separator/>
      </w:r>
    </w:p>
  </w:endnote>
  <w:endnote w:type="continuationSeparator" w:id="0">
    <w:p w:rsidR="00460527" w:rsidRDefault="0046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43F" w:rsidRDefault="00A93DB7">
    <w:pPr>
      <w:pBdr>
        <w:top w:val="nil"/>
        <w:left w:val="nil"/>
        <w:bottom w:val="nil"/>
        <w:right w:val="nil"/>
        <w:between w:val="nil"/>
      </w:pBdr>
      <w:tabs>
        <w:tab w:val="center" w:pos="4153"/>
        <w:tab w:val="right" w:pos="8306"/>
      </w:tabs>
      <w:jc w:val="center"/>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fldChar w:fldCharType="begin"/>
    </w:r>
    <w:r>
      <w:rPr>
        <w:rFonts w:ascii="Book Antiqua" w:eastAsia="Book Antiqua" w:hAnsi="Book Antiqua" w:cs="Book Antiqua"/>
        <w:color w:val="000000"/>
        <w:sz w:val="16"/>
        <w:szCs w:val="16"/>
      </w:rPr>
      <w:instrText>PAGE</w:instrText>
    </w:r>
    <w:r>
      <w:rPr>
        <w:rFonts w:ascii="Book Antiqua" w:eastAsia="Book Antiqua" w:hAnsi="Book Antiqua" w:cs="Book Antiqua"/>
        <w:color w:val="000000"/>
        <w:sz w:val="16"/>
        <w:szCs w:val="16"/>
      </w:rPr>
      <w:fldChar w:fldCharType="separate"/>
    </w:r>
    <w:r w:rsidR="00D127D3">
      <w:rPr>
        <w:rFonts w:ascii="Book Antiqua" w:eastAsia="Book Antiqua" w:hAnsi="Book Antiqua" w:cs="Book Antiqua"/>
        <w:noProof/>
        <w:color w:val="000000"/>
        <w:sz w:val="16"/>
        <w:szCs w:val="16"/>
      </w:rPr>
      <w:t>6</w:t>
    </w:r>
    <w:r>
      <w:rPr>
        <w:rFonts w:ascii="Book Antiqua" w:eastAsia="Book Antiqua" w:hAnsi="Book Antiqua" w:cs="Book Antiqua"/>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43F" w:rsidRDefault="00A93DB7">
    <w:pPr>
      <w:jc w:val="center"/>
      <w:rPr>
        <w:rFonts w:ascii="Book Antiqua" w:eastAsia="Book Antiqua" w:hAnsi="Book Antiqua" w:cs="Book Antiqua"/>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527" w:rsidRDefault="00460527">
      <w:r>
        <w:separator/>
      </w:r>
    </w:p>
  </w:footnote>
  <w:footnote w:type="continuationSeparator" w:id="0">
    <w:p w:rsidR="00460527" w:rsidRDefault="0046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43F" w:rsidRDefault="0076243F">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317" w:rsidRPr="00455317" w:rsidRDefault="00A93DB7" w:rsidP="00455317">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 xml:space="preserve">Appeal Number: </w:t>
    </w:r>
    <w:r w:rsidR="00455317" w:rsidRPr="00455317">
      <w:rPr>
        <w:rFonts w:ascii="Book Antiqua" w:eastAsia="Book Antiqua" w:hAnsi="Book Antiqua" w:cs="Book Antiqua"/>
        <w:color w:val="000000"/>
        <w:sz w:val="16"/>
        <w:szCs w:val="16"/>
      </w:rPr>
      <w:t>HU/14457/2017</w:t>
    </w:r>
  </w:p>
  <w:p w:rsidR="0076243F" w:rsidRDefault="0076243F">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43F" w:rsidRDefault="00A93DB7">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A5E5C"/>
    <w:multiLevelType w:val="multilevel"/>
    <w:tmpl w:val="65086920"/>
    <w:lvl w:ilvl="0">
      <w:start w:val="1"/>
      <w:numFmt w:val="decimal"/>
      <w:lvlText w:val="%1."/>
      <w:lvlJc w:val="left"/>
      <w:pPr>
        <w:ind w:left="567" w:hanging="567"/>
      </w:pPr>
      <w:rPr>
        <w:b w:val="0"/>
        <w:sz w:val="24"/>
        <w:szCs w:val="24"/>
        <w:vertAlign w:val="baseline"/>
      </w:rPr>
    </w:lvl>
    <w:lvl w:ilvl="1">
      <w:start w:val="1"/>
      <w:numFmt w:val="lowerLetter"/>
      <w:lvlText w:val="(%2)"/>
      <w:lvlJc w:val="left"/>
      <w:pPr>
        <w:ind w:left="1134" w:hanging="567"/>
      </w:pPr>
      <w:rPr>
        <w:b w:val="0"/>
        <w:i w:val="0"/>
        <w:sz w:val="24"/>
        <w:szCs w:val="24"/>
        <w:vertAlign w:val="baseline"/>
      </w:rPr>
    </w:lvl>
    <w:lvl w:ilvl="2">
      <w:start w:val="1"/>
      <w:numFmt w:val="lowerRoman"/>
      <w:lvlText w:val="(%3)"/>
      <w:lvlJc w:val="left"/>
      <w:pPr>
        <w:ind w:left="1701" w:hanging="567"/>
      </w:pPr>
      <w:rPr>
        <w:b w:val="0"/>
        <w:i w:val="0"/>
        <w:sz w:val="24"/>
        <w:szCs w:val="24"/>
        <w:vertAlign w:val="baseline"/>
      </w:rPr>
    </w:lvl>
    <w:lvl w:ilvl="3">
      <w:start w:val="1"/>
      <w:numFmt w:val="lowerLetter"/>
      <w:lvlText w:val="%1.%2.%3 %4)"/>
      <w:lvlJc w:val="left"/>
      <w:pPr>
        <w:ind w:left="2835" w:hanging="709"/>
      </w:pPr>
      <w:rPr>
        <w:b w:val="0"/>
        <w:i w:val="0"/>
        <w:sz w:val="24"/>
        <w:szCs w:val="24"/>
        <w:vertAlign w:val="baseline"/>
      </w:rPr>
    </w:lvl>
    <w:lvl w:ilvl="4">
      <w:start w:val="1"/>
      <w:numFmt w:val="lowerLetter"/>
      <w:lvlText w:val="(%5)"/>
      <w:lvlJc w:val="left"/>
      <w:pPr>
        <w:ind w:left="2835" w:hanging="567"/>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3F"/>
    <w:rsid w:val="00037FDA"/>
    <w:rsid w:val="00044D9F"/>
    <w:rsid w:val="00051285"/>
    <w:rsid w:val="00053E4E"/>
    <w:rsid w:val="00071868"/>
    <w:rsid w:val="000831C9"/>
    <w:rsid w:val="0009744D"/>
    <w:rsid w:val="000A72FF"/>
    <w:rsid w:val="000B0C04"/>
    <w:rsid w:val="000F11DB"/>
    <w:rsid w:val="00114F21"/>
    <w:rsid w:val="00136B40"/>
    <w:rsid w:val="0015159B"/>
    <w:rsid w:val="001542DF"/>
    <w:rsid w:val="00176DC4"/>
    <w:rsid w:val="001A6385"/>
    <w:rsid w:val="001C435D"/>
    <w:rsid w:val="001C47F7"/>
    <w:rsid w:val="001D5062"/>
    <w:rsid w:val="001E4BE6"/>
    <w:rsid w:val="00250118"/>
    <w:rsid w:val="00255799"/>
    <w:rsid w:val="00266C46"/>
    <w:rsid w:val="00281E0C"/>
    <w:rsid w:val="002A05DD"/>
    <w:rsid w:val="002A0D87"/>
    <w:rsid w:val="002A32FF"/>
    <w:rsid w:val="002A4B2F"/>
    <w:rsid w:val="002B4FBE"/>
    <w:rsid w:val="002C2550"/>
    <w:rsid w:val="002C2EFC"/>
    <w:rsid w:val="002D7E96"/>
    <w:rsid w:val="002E6985"/>
    <w:rsid w:val="00300B66"/>
    <w:rsid w:val="0031218C"/>
    <w:rsid w:val="00347930"/>
    <w:rsid w:val="0039138A"/>
    <w:rsid w:val="003A4D6E"/>
    <w:rsid w:val="003B42EA"/>
    <w:rsid w:val="003C1916"/>
    <w:rsid w:val="003D0444"/>
    <w:rsid w:val="003D41DC"/>
    <w:rsid w:val="003F4745"/>
    <w:rsid w:val="003F48A6"/>
    <w:rsid w:val="00400DA6"/>
    <w:rsid w:val="0043225B"/>
    <w:rsid w:val="004329D0"/>
    <w:rsid w:val="00455317"/>
    <w:rsid w:val="00460527"/>
    <w:rsid w:val="00461DD2"/>
    <w:rsid w:val="00472870"/>
    <w:rsid w:val="00473A30"/>
    <w:rsid w:val="004854FE"/>
    <w:rsid w:val="004870AB"/>
    <w:rsid w:val="004A4F72"/>
    <w:rsid w:val="004C18A6"/>
    <w:rsid w:val="004C2B30"/>
    <w:rsid w:val="004D6466"/>
    <w:rsid w:val="004D78DE"/>
    <w:rsid w:val="004D7B70"/>
    <w:rsid w:val="004E5F43"/>
    <w:rsid w:val="004F6C08"/>
    <w:rsid w:val="004F6E14"/>
    <w:rsid w:val="004F73D7"/>
    <w:rsid w:val="00505644"/>
    <w:rsid w:val="00511F3A"/>
    <w:rsid w:val="00512F94"/>
    <w:rsid w:val="005137B6"/>
    <w:rsid w:val="00513E39"/>
    <w:rsid w:val="00534BE4"/>
    <w:rsid w:val="00547CC7"/>
    <w:rsid w:val="00553300"/>
    <w:rsid w:val="00561B38"/>
    <w:rsid w:val="005855D2"/>
    <w:rsid w:val="00587CE5"/>
    <w:rsid w:val="005D20A4"/>
    <w:rsid w:val="005F50FA"/>
    <w:rsid w:val="0060634C"/>
    <w:rsid w:val="00624EBA"/>
    <w:rsid w:val="0062698D"/>
    <w:rsid w:val="00634052"/>
    <w:rsid w:val="006424D7"/>
    <w:rsid w:val="006605CF"/>
    <w:rsid w:val="00671C7C"/>
    <w:rsid w:val="00673147"/>
    <w:rsid w:val="00673629"/>
    <w:rsid w:val="006823F6"/>
    <w:rsid w:val="0068456A"/>
    <w:rsid w:val="00691CB3"/>
    <w:rsid w:val="00696C49"/>
    <w:rsid w:val="006A232B"/>
    <w:rsid w:val="006B538E"/>
    <w:rsid w:val="006C1755"/>
    <w:rsid w:val="006C57AC"/>
    <w:rsid w:val="006E22BF"/>
    <w:rsid w:val="007022D1"/>
    <w:rsid w:val="0072267A"/>
    <w:rsid w:val="00724873"/>
    <w:rsid w:val="007459CD"/>
    <w:rsid w:val="0076243F"/>
    <w:rsid w:val="0079047B"/>
    <w:rsid w:val="007917B7"/>
    <w:rsid w:val="007A44DE"/>
    <w:rsid w:val="007B6BC8"/>
    <w:rsid w:val="007C468A"/>
    <w:rsid w:val="007D057C"/>
    <w:rsid w:val="007D29B9"/>
    <w:rsid w:val="007D5F2A"/>
    <w:rsid w:val="007E3306"/>
    <w:rsid w:val="007F4170"/>
    <w:rsid w:val="00804E85"/>
    <w:rsid w:val="00811611"/>
    <w:rsid w:val="00813213"/>
    <w:rsid w:val="00813EB7"/>
    <w:rsid w:val="00825410"/>
    <w:rsid w:val="0086273E"/>
    <w:rsid w:val="00892842"/>
    <w:rsid w:val="008A299D"/>
    <w:rsid w:val="008A3AAE"/>
    <w:rsid w:val="008B68FA"/>
    <w:rsid w:val="008E1A93"/>
    <w:rsid w:val="00961F25"/>
    <w:rsid w:val="009722F4"/>
    <w:rsid w:val="009817ED"/>
    <w:rsid w:val="009935C5"/>
    <w:rsid w:val="009959BD"/>
    <w:rsid w:val="009B2E99"/>
    <w:rsid w:val="009E60D2"/>
    <w:rsid w:val="00A10B7C"/>
    <w:rsid w:val="00A334B4"/>
    <w:rsid w:val="00A40AB7"/>
    <w:rsid w:val="00A40F86"/>
    <w:rsid w:val="00A51F10"/>
    <w:rsid w:val="00A539FB"/>
    <w:rsid w:val="00A5659B"/>
    <w:rsid w:val="00A74DD9"/>
    <w:rsid w:val="00A9162C"/>
    <w:rsid w:val="00A93DB7"/>
    <w:rsid w:val="00AB5156"/>
    <w:rsid w:val="00AC4364"/>
    <w:rsid w:val="00AD0F49"/>
    <w:rsid w:val="00AF4E5D"/>
    <w:rsid w:val="00B062E8"/>
    <w:rsid w:val="00B07FAE"/>
    <w:rsid w:val="00B14E8D"/>
    <w:rsid w:val="00B23380"/>
    <w:rsid w:val="00B47F16"/>
    <w:rsid w:val="00B56915"/>
    <w:rsid w:val="00B7422B"/>
    <w:rsid w:val="00B74AAA"/>
    <w:rsid w:val="00B77A06"/>
    <w:rsid w:val="00B82319"/>
    <w:rsid w:val="00B874D1"/>
    <w:rsid w:val="00BA53E4"/>
    <w:rsid w:val="00BC3ABC"/>
    <w:rsid w:val="00BC569F"/>
    <w:rsid w:val="00BD6A97"/>
    <w:rsid w:val="00BF3DBA"/>
    <w:rsid w:val="00C13DF4"/>
    <w:rsid w:val="00C24FA9"/>
    <w:rsid w:val="00C26E54"/>
    <w:rsid w:val="00C3104A"/>
    <w:rsid w:val="00C3498F"/>
    <w:rsid w:val="00C41273"/>
    <w:rsid w:val="00C6072A"/>
    <w:rsid w:val="00C70E95"/>
    <w:rsid w:val="00C74E9E"/>
    <w:rsid w:val="00C756D7"/>
    <w:rsid w:val="00C830EF"/>
    <w:rsid w:val="00C91AE0"/>
    <w:rsid w:val="00CA0E5F"/>
    <w:rsid w:val="00CA4E81"/>
    <w:rsid w:val="00CA722D"/>
    <w:rsid w:val="00CB436C"/>
    <w:rsid w:val="00CB56F7"/>
    <w:rsid w:val="00CC6670"/>
    <w:rsid w:val="00CF6791"/>
    <w:rsid w:val="00D127D3"/>
    <w:rsid w:val="00D16565"/>
    <w:rsid w:val="00D239D9"/>
    <w:rsid w:val="00D43A40"/>
    <w:rsid w:val="00D45F33"/>
    <w:rsid w:val="00D60C93"/>
    <w:rsid w:val="00DA27AD"/>
    <w:rsid w:val="00DB1320"/>
    <w:rsid w:val="00DC03B9"/>
    <w:rsid w:val="00DC6440"/>
    <w:rsid w:val="00DD2074"/>
    <w:rsid w:val="00DD2CF8"/>
    <w:rsid w:val="00DF6694"/>
    <w:rsid w:val="00E35BDD"/>
    <w:rsid w:val="00E50E2A"/>
    <w:rsid w:val="00E5463F"/>
    <w:rsid w:val="00E922A5"/>
    <w:rsid w:val="00E964E3"/>
    <w:rsid w:val="00EA3751"/>
    <w:rsid w:val="00EE51D3"/>
    <w:rsid w:val="00EE7C96"/>
    <w:rsid w:val="00F03283"/>
    <w:rsid w:val="00F20DD1"/>
    <w:rsid w:val="00F42BED"/>
    <w:rsid w:val="00F52FD6"/>
    <w:rsid w:val="00F7612B"/>
    <w:rsid w:val="00F76C87"/>
    <w:rsid w:val="00F82B58"/>
    <w:rsid w:val="00F84A4F"/>
    <w:rsid w:val="00FA3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9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F76C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C87"/>
    <w:rPr>
      <w:rFonts w:ascii="Segoe UI" w:hAnsi="Segoe UI" w:cs="Segoe UI"/>
      <w:sz w:val="18"/>
      <w:szCs w:val="18"/>
    </w:rPr>
  </w:style>
  <w:style w:type="paragraph" w:styleId="Footer">
    <w:name w:val="footer"/>
    <w:basedOn w:val="Normal"/>
    <w:link w:val="FooterChar"/>
    <w:uiPriority w:val="99"/>
    <w:unhideWhenUsed/>
    <w:rsid w:val="00455317"/>
    <w:pPr>
      <w:tabs>
        <w:tab w:val="center" w:pos="4513"/>
        <w:tab w:val="right" w:pos="9026"/>
      </w:tabs>
    </w:pPr>
  </w:style>
  <w:style w:type="character" w:customStyle="1" w:styleId="FooterChar">
    <w:name w:val="Footer Char"/>
    <w:basedOn w:val="DefaultParagraphFont"/>
    <w:link w:val="Footer"/>
    <w:uiPriority w:val="99"/>
    <w:rsid w:val="0045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1993</Words>
  <Characters>11363</Characters>
  <Application>Microsoft Office Word</Application>
  <DocSecurity>0</DocSecurity>
  <Lines>94</Lines>
  <Paragraphs>26</Paragraphs>
  <ScaleCrop>false</ScaleCrop>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2018-07-17T09:57:00Z</dcterms:created>
  <dcterms:modified xsi:type="dcterms:W3CDTF">2018-07-17T09:57:00Z</dcterms:modified>
</cp:coreProperties>
</file>