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484924" w:rsidRDefault="006D5E13" w:rsidP="00C321B5">
      <w:pPr>
        <w:jc w:val="center"/>
        <w:rPr>
          <w:rFonts w:ascii="Book Antiqua" w:hAnsi="Book Antiqua" w:cs="Arial"/>
          <w:sz w:val="16"/>
          <w:szCs w:val="16"/>
        </w:rPr>
      </w:pPr>
      <w:r w:rsidRPr="00484924">
        <w:rPr>
          <w:noProof/>
          <w:sz w:val="16"/>
          <w:szCs w:val="16"/>
          <w:lang w:val="en-US" w:eastAsia="en-US"/>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BC41D4"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BC41D4">
        <w:rPr>
          <w:rFonts w:ascii="Book Antiqua" w:hAnsi="Book Antiqua" w:cs="Arial"/>
          <w:b/>
        </w:rPr>
        <w:t xml:space="preserve">   </w:t>
      </w:r>
      <w:proofErr w:type="gramEnd"/>
      <w:r w:rsidR="00BC41D4">
        <w:rPr>
          <w:rFonts w:ascii="Book Antiqua" w:hAnsi="Book Antiqua" w:cs="Arial"/>
          <w:b/>
        </w:rPr>
        <w:t xml:space="preserve">                   </w:t>
      </w:r>
      <w:r w:rsidR="00B3524D" w:rsidRPr="00BC41D4">
        <w:rPr>
          <w:rFonts w:ascii="Book Antiqua" w:hAnsi="Book Antiqua" w:cs="Arial"/>
          <w:b/>
        </w:rPr>
        <w:t>Appeal Number</w:t>
      </w:r>
      <w:r w:rsidR="00D53769" w:rsidRPr="00BC41D4">
        <w:rPr>
          <w:rFonts w:ascii="Book Antiqua" w:hAnsi="Book Antiqua" w:cs="Arial"/>
          <w:b/>
        </w:rPr>
        <w:t>:</w:t>
      </w:r>
      <w:r w:rsidR="00B3524D" w:rsidRPr="00BC41D4">
        <w:rPr>
          <w:rFonts w:ascii="Book Antiqua" w:hAnsi="Book Antiqua" w:cs="Arial"/>
          <w:b/>
        </w:rPr>
        <w:t xml:space="preserve"> </w:t>
      </w:r>
      <w:r w:rsidR="00C016DF" w:rsidRPr="00BC41D4">
        <w:rPr>
          <w:rFonts w:ascii="Book Antiqua" w:hAnsi="Book Antiqua" w:cs="Arial"/>
          <w:b/>
          <w:caps/>
        </w:rPr>
        <w:t>hu/14485/2016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070"/>
        <w:gridCol w:w="978"/>
        <w:gridCol w:w="3960"/>
      </w:tblGrid>
      <w:tr w:rsidR="00D22636" w:rsidRPr="00F53574" w:rsidTr="006D5E13">
        <w:tc>
          <w:tcPr>
            <w:tcW w:w="5070"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C016DF">
              <w:rPr>
                <w:rFonts w:ascii="Book Antiqua" w:hAnsi="Book Antiqua" w:cs="Arial"/>
                <w:b/>
              </w:rPr>
              <w:t>Field House</w:t>
            </w:r>
          </w:p>
        </w:tc>
        <w:tc>
          <w:tcPr>
            <w:tcW w:w="4938" w:type="dxa"/>
            <w:gridSpan w:val="2"/>
            <w:shd w:val="clear" w:color="auto" w:fill="auto"/>
          </w:tcPr>
          <w:p w:rsidR="00D22636" w:rsidRPr="00F53574" w:rsidRDefault="00BC41D4" w:rsidP="00F53574">
            <w:pPr>
              <w:jc w:val="both"/>
              <w:rPr>
                <w:rFonts w:ascii="Book Antiqua" w:hAnsi="Book Antiqua" w:cs="Arial"/>
                <w:b/>
              </w:rPr>
            </w:pPr>
            <w:r>
              <w:rPr>
                <w:rFonts w:ascii="Book Antiqua" w:hAnsi="Book Antiqua" w:cs="Arial"/>
                <w:b/>
              </w:rPr>
              <w:t xml:space="preserve">   </w:t>
            </w:r>
            <w:r w:rsidR="009F518E"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6D5E13">
        <w:tc>
          <w:tcPr>
            <w:tcW w:w="5070"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C016DF">
              <w:rPr>
                <w:rFonts w:ascii="Book Antiqua" w:hAnsi="Book Antiqua" w:cs="Arial"/>
                <w:b/>
              </w:rPr>
              <w:t>9</w:t>
            </w:r>
            <w:r w:rsidR="00C016DF" w:rsidRPr="00C016DF">
              <w:rPr>
                <w:rFonts w:ascii="Book Antiqua" w:hAnsi="Book Antiqua" w:cs="Arial"/>
                <w:b/>
                <w:vertAlign w:val="superscript"/>
              </w:rPr>
              <w:t>th</w:t>
            </w:r>
            <w:r w:rsidR="00C016DF">
              <w:rPr>
                <w:rFonts w:ascii="Book Antiqua" w:hAnsi="Book Antiqua" w:cs="Arial"/>
                <w:b/>
              </w:rPr>
              <w:t xml:space="preserve"> July 2018</w:t>
            </w:r>
          </w:p>
        </w:tc>
        <w:tc>
          <w:tcPr>
            <w:tcW w:w="4938" w:type="dxa"/>
            <w:gridSpan w:val="2"/>
            <w:shd w:val="clear" w:color="auto" w:fill="auto"/>
          </w:tcPr>
          <w:p w:rsidR="00D22636" w:rsidRPr="00F53574" w:rsidRDefault="00BC41D4" w:rsidP="00F53574">
            <w:pPr>
              <w:jc w:val="both"/>
              <w:rPr>
                <w:rFonts w:ascii="Book Antiqua" w:hAnsi="Book Antiqua" w:cs="Arial"/>
                <w:b/>
              </w:rPr>
            </w:pPr>
            <w:r>
              <w:rPr>
                <w:rFonts w:ascii="Book Antiqua" w:hAnsi="Book Antiqua" w:cs="Arial"/>
                <w:b/>
              </w:rPr>
              <w:t xml:space="preserve">   </w:t>
            </w:r>
            <w:r w:rsidR="006D5E13">
              <w:rPr>
                <w:rFonts w:ascii="Book Antiqua" w:hAnsi="Book Antiqua" w:cs="Arial"/>
                <w:b/>
              </w:rPr>
              <w:t>On 9</w:t>
            </w:r>
            <w:r w:rsidR="006D5E13" w:rsidRPr="006D5E13">
              <w:rPr>
                <w:rFonts w:ascii="Book Antiqua" w:hAnsi="Book Antiqua" w:cs="Arial"/>
                <w:b/>
                <w:vertAlign w:val="superscript"/>
              </w:rPr>
              <w:t>th</w:t>
            </w:r>
            <w:r w:rsidR="006D5E13">
              <w:rPr>
                <w:rFonts w:ascii="Book Antiqua" w:hAnsi="Book Antiqua" w:cs="Arial"/>
                <w:b/>
              </w:rPr>
              <w:t xml:space="preserve"> August 2018 </w:t>
            </w:r>
          </w:p>
        </w:tc>
      </w:tr>
      <w:tr w:rsidR="00D22636" w:rsidRPr="00F53574" w:rsidTr="006D5E13">
        <w:tc>
          <w:tcPr>
            <w:tcW w:w="6048" w:type="dxa"/>
            <w:gridSpan w:val="2"/>
            <w:shd w:val="clear" w:color="auto" w:fill="auto"/>
          </w:tcPr>
          <w:p w:rsidR="00D22636" w:rsidRPr="00F53574" w:rsidRDefault="00D22636" w:rsidP="00F53574">
            <w:pPr>
              <w:jc w:val="both"/>
              <w:rPr>
                <w:rFonts w:ascii="Book Antiqua" w:hAnsi="Book Antiqua" w:cs="Arial"/>
                <w:b/>
              </w:rPr>
            </w:pPr>
          </w:p>
        </w:tc>
        <w:tc>
          <w:tcPr>
            <w:tcW w:w="3960" w:type="dxa"/>
            <w:shd w:val="clear" w:color="auto" w:fill="auto"/>
          </w:tcPr>
          <w:p w:rsidR="00D22636" w:rsidRPr="00F53574" w:rsidRDefault="00D22636" w:rsidP="00F5357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Default="00255071" w:rsidP="00C016DF">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C016DF" w:rsidP="00742A8D">
      <w:pPr>
        <w:jc w:val="center"/>
        <w:rPr>
          <w:rFonts w:ascii="Book Antiqua" w:hAnsi="Book Antiqua" w:cs="Arial"/>
          <w:b/>
          <w:caps/>
        </w:rPr>
      </w:pPr>
      <w:r w:rsidRPr="00C016DF">
        <w:rPr>
          <w:rFonts w:ascii="Book Antiqua" w:hAnsi="Book Antiqua" w:cs="Arial"/>
          <w:b/>
          <w:caps/>
        </w:rPr>
        <w:t>BAMIKOLE ILOSIWAJU OLAPOSI</w:t>
      </w:r>
      <w:r>
        <w:rPr>
          <w:rFonts w:ascii="Book Antiqua" w:hAnsi="Book Antiqua" w:cs="Arial"/>
          <w:b/>
          <w:caps/>
        </w:rPr>
        <w:t xml:space="preserve"> </w:t>
      </w:r>
      <w:r w:rsidRPr="00C016DF">
        <w:rPr>
          <w:rFonts w:ascii="Book Antiqua" w:hAnsi="Book Antiqua" w:cs="Arial"/>
          <w:b/>
          <w:caps/>
        </w:rPr>
        <w:t>ADELADUN</w:t>
      </w:r>
    </w:p>
    <w:p w:rsidR="009F518E" w:rsidRPr="00BC41D4" w:rsidRDefault="009F518E" w:rsidP="009F518E">
      <w:pPr>
        <w:jc w:val="center"/>
        <w:rPr>
          <w:rFonts w:ascii="Book Antiqua" w:hAnsi="Book Antiqua" w:cs="Arial"/>
          <w:caps/>
        </w:rPr>
      </w:pPr>
      <w:r w:rsidRPr="00BC41D4">
        <w:rPr>
          <w:rFonts w:ascii="Book Antiqua" w:hAnsi="Book Antiqua" w:cs="Arial"/>
          <w:caps/>
        </w:rPr>
        <w:t xml:space="preserve">(ANONYMITY </w:t>
      </w:r>
      <w:r w:rsidR="00016A4C" w:rsidRPr="00BC41D4">
        <w:rPr>
          <w:rFonts w:ascii="Book Antiqua" w:hAnsi="Book Antiqua" w:cs="Arial"/>
          <w:caps/>
        </w:rPr>
        <w:t>direction</w:t>
      </w:r>
      <w:r w:rsidRPr="00BC41D4">
        <w:rPr>
          <w:rFonts w:ascii="Book Antiqua" w:hAnsi="Book Antiqua" w:cs="Arial"/>
          <w:caps/>
        </w:rPr>
        <w:t xml:space="preserve"> </w:t>
      </w:r>
      <w:r w:rsidR="00C016DF" w:rsidRPr="00BC41D4">
        <w:rPr>
          <w:rFonts w:ascii="Book Antiqua" w:hAnsi="Book Antiqua" w:cs="Arial"/>
          <w:caps/>
        </w:rPr>
        <w:t>NOT MADE</w:t>
      </w:r>
      <w:r w:rsidRPr="00BC41D4">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BC41D4" w:rsidRDefault="00BC41D4"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BC41D4" w:rsidRPr="00F5664C" w:rsidRDefault="00BC41D4"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rsidR="00BC41D4" w:rsidRPr="00F5664C" w:rsidRDefault="00BC41D4"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C016DF">
        <w:rPr>
          <w:rFonts w:ascii="Book Antiqua" w:hAnsi="Book Antiqua" w:cs="Arial"/>
        </w:rPr>
        <w:t>Mr S Karim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C016DF">
        <w:rPr>
          <w:rFonts w:ascii="Book Antiqua" w:hAnsi="Book Antiqua" w:cs="Arial"/>
        </w:rPr>
        <w:t>Mr P Duffy (Senior HOPO)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C016DF" w:rsidRPr="00EC1143" w:rsidRDefault="00C016DF" w:rsidP="00484924">
      <w:pPr>
        <w:numPr>
          <w:ilvl w:val="0"/>
          <w:numId w:val="3"/>
        </w:numPr>
        <w:spacing w:before="160"/>
        <w:jc w:val="both"/>
        <w:rPr>
          <w:rFonts w:ascii="Book Antiqua" w:hAnsi="Book Antiqua" w:cs="Arial"/>
        </w:rPr>
      </w:pPr>
      <w:r>
        <w:rPr>
          <w:rFonts w:ascii="Book Antiqua" w:hAnsi="Book Antiqua" w:cs="Arial"/>
        </w:rPr>
        <w:t>This is an appeal against a determination of First-tier Tribunal Judge Kimnell, promulgated on 15</w:t>
      </w:r>
      <w:r w:rsidRPr="00C016DF">
        <w:rPr>
          <w:rFonts w:ascii="Book Antiqua" w:hAnsi="Book Antiqua" w:cs="Arial"/>
          <w:vertAlign w:val="superscript"/>
        </w:rPr>
        <w:t>th</w:t>
      </w:r>
      <w:r>
        <w:rPr>
          <w:rFonts w:ascii="Book Antiqua" w:hAnsi="Book Antiqua" w:cs="Arial"/>
        </w:rPr>
        <w:t xml:space="preserve"> November 2017 following a hearing at Hatton Cross on 30</w:t>
      </w:r>
      <w:r w:rsidRPr="00C016DF">
        <w:rPr>
          <w:rFonts w:ascii="Book Antiqua" w:hAnsi="Book Antiqua" w:cs="Arial"/>
          <w:vertAlign w:val="superscript"/>
        </w:rPr>
        <w:t>th</w:t>
      </w:r>
      <w:r>
        <w:rPr>
          <w:rFonts w:ascii="Book Antiqua" w:hAnsi="Book Antiqua" w:cs="Arial"/>
        </w:rPr>
        <w:t xml:space="preserve"> October 2017.  In the determination, the judge dismissed the appeal of the Appellant, whereupon the Appellant subsequently applied for, and was granted, permission to appeal to the Upper Tribunal, and thus the matter comes before m</w:t>
      </w:r>
      <w:r w:rsidR="00EC1143">
        <w:rPr>
          <w:rFonts w:ascii="Book Antiqua" w:hAnsi="Book Antiqua" w:cs="Arial"/>
        </w:rPr>
        <w:t>e.</w:t>
      </w:r>
    </w:p>
    <w:p w:rsidR="00C016DF" w:rsidRDefault="00C016DF" w:rsidP="00484924">
      <w:pPr>
        <w:numPr>
          <w:ilvl w:val="0"/>
          <w:numId w:val="3"/>
        </w:numPr>
        <w:spacing w:before="160"/>
        <w:jc w:val="both"/>
        <w:rPr>
          <w:rFonts w:ascii="Book Antiqua" w:hAnsi="Book Antiqua" w:cs="Arial"/>
        </w:rPr>
      </w:pPr>
      <w:r>
        <w:rPr>
          <w:rFonts w:ascii="Book Antiqua" w:hAnsi="Book Antiqua" w:cs="Arial"/>
        </w:rPr>
        <w:t>The Appellant, a citizen of Nigeria, is a male, and was born on 7</w:t>
      </w:r>
      <w:r w:rsidRPr="00C016DF">
        <w:rPr>
          <w:rFonts w:ascii="Book Antiqua" w:hAnsi="Book Antiqua" w:cs="Arial"/>
          <w:vertAlign w:val="superscript"/>
        </w:rPr>
        <w:t>th</w:t>
      </w:r>
      <w:r>
        <w:rPr>
          <w:rFonts w:ascii="Book Antiqua" w:hAnsi="Book Antiqua" w:cs="Arial"/>
        </w:rPr>
        <w:t xml:space="preserve"> March 1980.  On 12</w:t>
      </w:r>
      <w:r w:rsidRPr="00C016DF">
        <w:rPr>
          <w:rFonts w:ascii="Book Antiqua" w:hAnsi="Book Antiqua" w:cs="Arial"/>
          <w:vertAlign w:val="superscript"/>
        </w:rPr>
        <w:t>th</w:t>
      </w:r>
      <w:r>
        <w:rPr>
          <w:rFonts w:ascii="Book Antiqua" w:hAnsi="Book Antiqua" w:cs="Arial"/>
        </w:rPr>
        <w:t xml:space="preserve"> November 2015, he applied for permanent leave to remain in the UK on the basis of ten years’ lawful residence in the United Kingdom.  He had entered the UK as a student on 15</w:t>
      </w:r>
      <w:r w:rsidRPr="00C016DF">
        <w:rPr>
          <w:rFonts w:ascii="Book Antiqua" w:hAnsi="Book Antiqua" w:cs="Arial"/>
          <w:vertAlign w:val="superscript"/>
        </w:rPr>
        <w:t>th</w:t>
      </w:r>
      <w:r>
        <w:rPr>
          <w:rFonts w:ascii="Book Antiqua" w:hAnsi="Book Antiqua" w:cs="Arial"/>
        </w:rPr>
        <w:t xml:space="preserve"> October 2005 with valid leave which had subs</w:t>
      </w:r>
      <w:r w:rsidR="007666A6">
        <w:rPr>
          <w:rFonts w:ascii="Book Antiqua" w:hAnsi="Book Antiqua" w:cs="Arial"/>
        </w:rPr>
        <w:t>equently been extended.  The issue</w:t>
      </w:r>
      <w:r>
        <w:rPr>
          <w:rFonts w:ascii="Book Antiqua" w:hAnsi="Book Antiqua" w:cs="Arial"/>
        </w:rPr>
        <w:t xml:space="preserve"> was that the earnings that he had declared under the Tier 1 scheme were inconsistent with the earnings that he had declared to HMRC.  The question was </w:t>
      </w:r>
      <w:r>
        <w:rPr>
          <w:rFonts w:ascii="Book Antiqua" w:hAnsi="Book Antiqua" w:cs="Arial"/>
        </w:rPr>
        <w:lastRenderedPageBreak/>
        <w:t>whether he had done so in order to reduce his tax liability by falsely representing his earnings to the UK Visa in order to meet the points required in the Immigration Rules, such that his application could properly be refused under paragraph 322(5) of the Immigration Rules.</w:t>
      </w:r>
    </w:p>
    <w:p w:rsidR="00576777" w:rsidRDefault="00C016DF" w:rsidP="00484924">
      <w:pPr>
        <w:numPr>
          <w:ilvl w:val="0"/>
          <w:numId w:val="3"/>
        </w:numPr>
        <w:spacing w:before="160"/>
        <w:jc w:val="both"/>
        <w:rPr>
          <w:rFonts w:ascii="Book Antiqua" w:hAnsi="Book Antiqua" w:cs="Arial"/>
        </w:rPr>
      </w:pPr>
      <w:r>
        <w:rPr>
          <w:rFonts w:ascii="Book Antiqua" w:hAnsi="Book Antiqua" w:cs="Arial"/>
        </w:rPr>
        <w:t>The judge considered the Appellant’s explanation that he simply made an honest mistake claiming capital expenses as revenue when declaring his income.  He had purchased a number of assets which he strongly t</w:t>
      </w:r>
      <w:r w:rsidR="00B97041">
        <w:rPr>
          <w:rFonts w:ascii="Book Antiqua" w:hAnsi="Book Antiqua" w:cs="Arial"/>
        </w:rPr>
        <w:t xml:space="preserve">hought he could offset against </w:t>
      </w:r>
      <w:r>
        <w:rPr>
          <w:rFonts w:ascii="Book Antiqua" w:hAnsi="Book Antiqua" w:cs="Arial"/>
        </w:rPr>
        <w:t xml:space="preserve">his tax liability (paragraph 26).  The judge observed that “it is striking that HMCR confirmed that for the </w:t>
      </w:r>
      <w:r w:rsidR="00771AB6">
        <w:rPr>
          <w:rFonts w:ascii="Book Antiqua" w:hAnsi="Book Antiqua" w:cs="Arial"/>
        </w:rPr>
        <w:t xml:space="preserve">tax year </w:t>
      </w:r>
      <w:r w:rsidR="00EC20A6">
        <w:rPr>
          <w:rFonts w:ascii="Book Antiqua" w:hAnsi="Book Antiqua" w:cs="Arial"/>
        </w:rPr>
        <w:t>2009</w:t>
      </w:r>
      <w:r w:rsidR="00771AB6">
        <w:rPr>
          <w:rFonts w:ascii="Book Antiqua" w:hAnsi="Book Antiqua" w:cs="Arial"/>
        </w:rPr>
        <w:t>/2010 a total income from all sources of £11,512.11 was declared</w:t>
      </w:r>
      <w:r w:rsidR="00EC1143">
        <w:rPr>
          <w:rFonts w:ascii="Book Antiqua" w:hAnsi="Book Antiqua" w:cs="Arial"/>
        </w:rPr>
        <w:t xml:space="preserve">…” and the Judge referred to the net income and to the net profit specifically as declared by the Appellant. </w:t>
      </w:r>
      <w:r w:rsidR="00771AB6">
        <w:rPr>
          <w:rFonts w:ascii="Book Antiqua" w:hAnsi="Book Antiqua" w:cs="Arial"/>
        </w:rPr>
        <w:t xml:space="preserve">Yet, </w:t>
      </w:r>
      <w:r w:rsidR="00EC1143">
        <w:rPr>
          <w:rFonts w:ascii="Book Antiqua" w:hAnsi="Book Antiqua" w:cs="Arial"/>
        </w:rPr>
        <w:t xml:space="preserve">the Appellant </w:t>
      </w:r>
      <w:r w:rsidR="00771AB6">
        <w:rPr>
          <w:rFonts w:ascii="Book Antiqua" w:hAnsi="Book Antiqua" w:cs="Arial"/>
        </w:rPr>
        <w:t>had claimed 20 po</w:t>
      </w:r>
      <w:r w:rsidR="00EC1143">
        <w:rPr>
          <w:rFonts w:ascii="Book Antiqua" w:hAnsi="Book Antiqua" w:cs="Arial"/>
        </w:rPr>
        <w:t>ints for earnings of £51,448.24 which was significantly higher.</w:t>
      </w:r>
      <w:r w:rsidR="00771AB6">
        <w:rPr>
          <w:rFonts w:ascii="Book Antiqua" w:hAnsi="Book Antiqua" w:cs="Arial"/>
        </w:rPr>
        <w:t xml:space="preserve">  The judge observed </w:t>
      </w:r>
      <w:proofErr w:type="gramStart"/>
      <w:r w:rsidR="00771AB6">
        <w:rPr>
          <w:rFonts w:ascii="Book Antiqua" w:hAnsi="Book Antiqua" w:cs="Arial"/>
        </w:rPr>
        <w:t xml:space="preserve">that </w:t>
      </w:r>
      <w:r w:rsidR="00EC1143">
        <w:rPr>
          <w:rFonts w:ascii="Book Antiqua" w:hAnsi="Book Antiqua" w:cs="Arial"/>
        </w:rPr>
        <w:t>:</w:t>
      </w:r>
      <w:proofErr w:type="gramEnd"/>
      <w:r w:rsidR="00EC1143">
        <w:rPr>
          <w:rFonts w:ascii="Book Antiqua" w:hAnsi="Book Antiqua" w:cs="Arial"/>
        </w:rPr>
        <w:t>-</w:t>
      </w:r>
    </w:p>
    <w:p w:rsidR="00C016DF" w:rsidRPr="00484924" w:rsidRDefault="00771AB6" w:rsidP="00484924">
      <w:pPr>
        <w:spacing w:before="120"/>
        <w:ind w:left="1134" w:right="567"/>
        <w:jc w:val="both"/>
        <w:rPr>
          <w:rFonts w:ascii="Book Antiqua" w:hAnsi="Book Antiqua" w:cs="Arial"/>
          <w:sz w:val="22"/>
        </w:rPr>
      </w:pPr>
      <w:r w:rsidRPr="00484924">
        <w:rPr>
          <w:rFonts w:ascii="Book Antiqua" w:hAnsi="Book Antiqua" w:cs="Arial"/>
          <w:sz w:val="22"/>
        </w:rPr>
        <w:t>“</w:t>
      </w:r>
      <w:r w:rsidR="00576777" w:rsidRPr="00484924">
        <w:rPr>
          <w:rFonts w:ascii="Book Antiqua" w:hAnsi="Book Antiqua" w:cs="Arial"/>
          <w:sz w:val="22"/>
        </w:rPr>
        <w:t>T</w:t>
      </w:r>
      <w:r w:rsidRPr="00484924">
        <w:rPr>
          <w:rFonts w:ascii="Book Antiqua" w:hAnsi="Book Antiqua" w:cs="Arial"/>
          <w:sz w:val="22"/>
        </w:rPr>
        <w:t>he Appellant was declaring income over the two tax years of ap</w:t>
      </w:r>
      <w:r w:rsidR="00425868" w:rsidRPr="00484924">
        <w:rPr>
          <w:rFonts w:ascii="Book Antiqua" w:hAnsi="Book Antiqua" w:cs="Arial"/>
          <w:sz w:val="22"/>
        </w:rPr>
        <w:t xml:space="preserve">proximately </w:t>
      </w:r>
      <w:r w:rsidRPr="00484924">
        <w:rPr>
          <w:rFonts w:ascii="Book Antiqua" w:hAnsi="Book Antiqua" w:cs="Arial"/>
          <w:sz w:val="22"/>
        </w:rPr>
        <w:t xml:space="preserve">£32,000 when his earnings for the two years during which he made his applications for further leave aggregate to about £106,000.  That is a very significant difference, and one might have thought that in the case of a person such as the Appellant, with his accounting experience, albeit at that stage he had not been admitted as a certified accountant, alarm bells might have rung in his mind” (paragraph 33).  </w:t>
      </w:r>
    </w:p>
    <w:p w:rsidR="00E76692" w:rsidRDefault="00E76692" w:rsidP="00484924">
      <w:pPr>
        <w:numPr>
          <w:ilvl w:val="0"/>
          <w:numId w:val="3"/>
        </w:numPr>
        <w:spacing w:before="160"/>
        <w:jc w:val="both"/>
        <w:rPr>
          <w:rFonts w:ascii="Book Antiqua" w:hAnsi="Book Antiqua" w:cs="Arial"/>
        </w:rPr>
      </w:pPr>
      <w:r>
        <w:rPr>
          <w:rFonts w:ascii="Book Antiqua" w:hAnsi="Book Antiqua" w:cs="Arial"/>
        </w:rPr>
        <w:t xml:space="preserve">The judge went on to observe that paragraph 322(5) is one ground on which leave to remain in the United Kingdom should normally be refused and it applies where it is undesirable to permit the person concerned to remain in the light of his conduct, which includes convictions, character and associations, or the fact that he represents a threat to national security (paragraph 36).  The judge went also on to say that the Appellant does not meet the requirements of Appendix FM or paragraph 276ADE (paragraph 37).  </w:t>
      </w:r>
    </w:p>
    <w:p w:rsidR="00E76692" w:rsidRDefault="00E76692" w:rsidP="00484924">
      <w:pPr>
        <w:numPr>
          <w:ilvl w:val="0"/>
          <w:numId w:val="3"/>
        </w:numPr>
        <w:spacing w:before="160"/>
        <w:jc w:val="both"/>
        <w:rPr>
          <w:rFonts w:ascii="Book Antiqua" w:hAnsi="Book Antiqua" w:cs="Arial"/>
        </w:rPr>
      </w:pPr>
      <w:r>
        <w:rPr>
          <w:rFonts w:ascii="Book Antiqua" w:hAnsi="Book Antiqua" w:cs="Arial"/>
        </w:rPr>
        <w:t>Permission to appeal was granted on 15</w:t>
      </w:r>
      <w:r w:rsidRPr="00E76692">
        <w:rPr>
          <w:rFonts w:ascii="Book Antiqua" w:hAnsi="Book Antiqua" w:cs="Arial"/>
          <w:vertAlign w:val="superscript"/>
        </w:rPr>
        <w:t>th</w:t>
      </w:r>
      <w:r>
        <w:rPr>
          <w:rFonts w:ascii="Book Antiqua" w:hAnsi="Book Antiqua" w:cs="Arial"/>
        </w:rPr>
        <w:t xml:space="preserve"> May 2018 on the basis that the Appellant was accepted to have been lawfully resident in the UK for over ten years and the judge in dismissing the appeal concluded that the Respondent had not shown the Appellant did not meet the suitability requirements, which raised a question mark as to the rationale for dismissing the appeal.</w:t>
      </w:r>
    </w:p>
    <w:p w:rsidR="00E76692" w:rsidRDefault="00E76692" w:rsidP="00484924">
      <w:pPr>
        <w:numPr>
          <w:ilvl w:val="0"/>
          <w:numId w:val="3"/>
        </w:numPr>
        <w:spacing w:before="160"/>
        <w:jc w:val="both"/>
        <w:rPr>
          <w:rFonts w:ascii="Book Antiqua" w:hAnsi="Book Antiqua" w:cs="Arial"/>
        </w:rPr>
      </w:pPr>
      <w:r>
        <w:rPr>
          <w:rFonts w:ascii="Book Antiqua" w:hAnsi="Book Antiqua" w:cs="Arial"/>
        </w:rPr>
        <w:t>At the hearing before me, Mr Duffy, the Senior Home Office Presenting Officer stated that it might be better if he goes first before this Tribunal, even though this was the appeal of the Appellant.  He said that the only issue in this appeal was that the Appellant had failed to satisfy the suitability requirements on general grounds but the judge had found that it was not true that the Appellant had been guilty of dishonesty, and had concluded that this had just been an error on his part, the appeal should have been allowed.  The Appellant had met the requirements of paragraph 276ADE.  If he met the Rules his appeal should have been allowed.</w:t>
      </w:r>
    </w:p>
    <w:p w:rsidR="00E76692" w:rsidRDefault="00E76692" w:rsidP="00484924">
      <w:pPr>
        <w:numPr>
          <w:ilvl w:val="0"/>
          <w:numId w:val="3"/>
        </w:numPr>
        <w:spacing w:before="160"/>
        <w:jc w:val="both"/>
        <w:rPr>
          <w:rFonts w:ascii="Book Antiqua" w:hAnsi="Book Antiqua" w:cs="Arial"/>
        </w:rPr>
      </w:pPr>
      <w:r>
        <w:rPr>
          <w:rFonts w:ascii="Book Antiqua" w:hAnsi="Book Antiqua" w:cs="Arial"/>
        </w:rPr>
        <w:t>Mr Karim accepted that if this was the case, then the appeal should be allowed outright and this was also agreed by Mr Duffy in the circumstances.</w:t>
      </w:r>
    </w:p>
    <w:p w:rsidR="00E76692" w:rsidRDefault="00E76692" w:rsidP="00484924">
      <w:pPr>
        <w:numPr>
          <w:ilvl w:val="0"/>
          <w:numId w:val="3"/>
        </w:numPr>
        <w:spacing w:before="160"/>
        <w:jc w:val="both"/>
        <w:rPr>
          <w:rFonts w:ascii="Book Antiqua" w:hAnsi="Book Antiqua" w:cs="Arial"/>
        </w:rPr>
      </w:pPr>
      <w:r>
        <w:rPr>
          <w:rFonts w:ascii="Book Antiqua" w:hAnsi="Book Antiqua" w:cs="Arial"/>
        </w:rPr>
        <w:t>I am satisfied that the making of the decision by the judge involved the making of an error on a point of law (see Section 12(1) of TCEA 2007) such that I should set aside the decision and remake the decision.</w:t>
      </w:r>
    </w:p>
    <w:p w:rsidR="00341578" w:rsidRDefault="00E76692" w:rsidP="00484924">
      <w:pPr>
        <w:numPr>
          <w:ilvl w:val="0"/>
          <w:numId w:val="3"/>
        </w:numPr>
        <w:spacing w:before="160"/>
        <w:jc w:val="both"/>
        <w:rPr>
          <w:rFonts w:ascii="Book Antiqua" w:hAnsi="Book Antiqua" w:cs="Arial"/>
        </w:rPr>
      </w:pPr>
      <w:r>
        <w:rPr>
          <w:rFonts w:ascii="Book Antiqua" w:hAnsi="Book Antiqua" w:cs="Arial"/>
        </w:rPr>
        <w:t xml:space="preserve">This is a case where the judge observed that, </w:t>
      </w:r>
    </w:p>
    <w:p w:rsidR="00011664" w:rsidRPr="00484924" w:rsidRDefault="00E76692" w:rsidP="00484924">
      <w:pPr>
        <w:spacing w:before="120"/>
        <w:ind w:left="1134" w:right="567"/>
        <w:jc w:val="both"/>
        <w:rPr>
          <w:rFonts w:ascii="Book Antiqua" w:hAnsi="Book Antiqua" w:cs="Arial"/>
          <w:sz w:val="22"/>
        </w:rPr>
      </w:pPr>
      <w:r w:rsidRPr="00484924">
        <w:rPr>
          <w:rFonts w:ascii="Book Antiqua" w:hAnsi="Book Antiqua" w:cs="Arial"/>
          <w:sz w:val="22"/>
        </w:rPr>
        <w:lastRenderedPageBreak/>
        <w:t>“</w:t>
      </w:r>
      <w:r w:rsidR="00011664" w:rsidRPr="00484924">
        <w:rPr>
          <w:rFonts w:ascii="Book Antiqua" w:hAnsi="Book Antiqua" w:cs="Arial"/>
          <w:sz w:val="22"/>
        </w:rPr>
        <w:t>T</w:t>
      </w:r>
      <w:r w:rsidRPr="00484924">
        <w:rPr>
          <w:rFonts w:ascii="Book Antiqua" w:hAnsi="Book Antiqua" w:cs="Arial"/>
          <w:sz w:val="22"/>
        </w:rPr>
        <w:t>he Respondent has not proved that the Appell</w:t>
      </w:r>
      <w:r w:rsidR="0078766E" w:rsidRPr="00484924">
        <w:rPr>
          <w:rFonts w:ascii="Book Antiqua" w:hAnsi="Book Antiqua" w:cs="Arial"/>
          <w:sz w:val="22"/>
        </w:rPr>
        <w:t>ant acted dishonestly, indeed he has</w:t>
      </w:r>
      <w:r w:rsidRPr="00484924">
        <w:rPr>
          <w:rFonts w:ascii="Book Antiqua" w:hAnsi="Book Antiqua" w:cs="Arial"/>
          <w:sz w:val="22"/>
        </w:rPr>
        <w:t xml:space="preserve"> not sought to do so.  The refusal letter states that the Respondent is </w:t>
      </w:r>
      <w:r w:rsidRPr="00484924">
        <w:rPr>
          <w:rFonts w:ascii="Book Antiqua" w:hAnsi="Book Antiqua" w:cs="Arial"/>
          <w:i/>
          <w:sz w:val="22"/>
        </w:rPr>
        <w:t xml:space="preserve">not </w:t>
      </w:r>
      <w:r w:rsidR="00A92288" w:rsidRPr="00484924">
        <w:rPr>
          <w:rFonts w:ascii="Book Antiqua" w:hAnsi="Book Antiqua" w:cs="Arial"/>
          <w:sz w:val="22"/>
        </w:rPr>
        <w:t xml:space="preserve">satisfied that dishonesty had </w:t>
      </w:r>
      <w:r w:rsidR="00A92288" w:rsidRPr="00484924">
        <w:rPr>
          <w:rFonts w:ascii="Book Antiqua" w:hAnsi="Book Antiqua" w:cs="Arial"/>
          <w:i/>
          <w:sz w:val="22"/>
        </w:rPr>
        <w:t>not</w:t>
      </w:r>
      <w:r w:rsidR="00A92288" w:rsidRPr="00484924">
        <w:rPr>
          <w:rFonts w:ascii="Book Antiqua" w:hAnsi="Book Antiqua" w:cs="Arial"/>
          <w:sz w:val="22"/>
        </w:rPr>
        <w:t xml:space="preserve"> been employed.  According to the Respondent, either the Appellant failed to declare his full earnings to the Inland Revenue, or he falsely represented his earnings to UK Visa</w:t>
      </w:r>
      <w:r w:rsidR="00075835" w:rsidRPr="00484924">
        <w:rPr>
          <w:rFonts w:ascii="Book Antiqua" w:hAnsi="Book Antiqua" w:cs="Arial"/>
          <w:sz w:val="22"/>
        </w:rPr>
        <w:t>s</w:t>
      </w:r>
      <w:r w:rsidR="00A92288" w:rsidRPr="00484924">
        <w:rPr>
          <w:rFonts w:ascii="Book Antiqua" w:hAnsi="Book Antiqua" w:cs="Arial"/>
          <w:sz w:val="22"/>
        </w:rPr>
        <w:t xml:space="preserve">.  As the evidence has turned out it appears more likely that the Appellant failed to declare his full earnings rather than falsely representing them to the UK Visas and Immigration when making his applications for leave” (paragraph 35).  </w:t>
      </w:r>
    </w:p>
    <w:p w:rsidR="00E76692" w:rsidRDefault="00A92288" w:rsidP="00484924">
      <w:pPr>
        <w:pStyle w:val="ColorfulList-Accent11"/>
        <w:numPr>
          <w:ilvl w:val="0"/>
          <w:numId w:val="3"/>
        </w:numPr>
        <w:spacing w:before="160"/>
        <w:contextualSpacing w:val="0"/>
        <w:jc w:val="both"/>
        <w:rPr>
          <w:rFonts w:ascii="Book Antiqua" w:hAnsi="Book Antiqua" w:cs="Arial"/>
        </w:rPr>
      </w:pPr>
      <w:r w:rsidRPr="00EC1143">
        <w:rPr>
          <w:rFonts w:ascii="Book Antiqua" w:hAnsi="Book Antiqua" w:cs="Arial"/>
        </w:rPr>
        <w:t>In these circumstances, the Appellant did meet the suitability requirements and his refusal on general grounds was untenable.</w:t>
      </w:r>
    </w:p>
    <w:p w:rsidR="00A92288" w:rsidRPr="00EC1143" w:rsidRDefault="00A92288" w:rsidP="00484924">
      <w:pPr>
        <w:pStyle w:val="ColorfulList-Accent11"/>
        <w:numPr>
          <w:ilvl w:val="0"/>
          <w:numId w:val="3"/>
        </w:numPr>
        <w:spacing w:before="160"/>
        <w:contextualSpacing w:val="0"/>
        <w:jc w:val="both"/>
        <w:rPr>
          <w:rFonts w:ascii="Book Antiqua" w:hAnsi="Book Antiqua" w:cs="Arial"/>
        </w:rPr>
      </w:pPr>
      <w:r w:rsidRPr="00EC1143">
        <w:rPr>
          <w:rFonts w:ascii="Book Antiqua" w:hAnsi="Book Antiqua" w:cs="Arial"/>
        </w:rPr>
        <w:t>I have remade the decision on the basis of the findings of the original judge, the evidence before him, and the submissions that I have heard today.  As is agreed by all the parties before me, the Appellant satisfies the requirements of the Rules and that being so I am allowing this appeal.</w:t>
      </w:r>
    </w:p>
    <w:p w:rsidR="007C00AB" w:rsidRDefault="007C00AB" w:rsidP="00484924">
      <w:pPr>
        <w:spacing w:before="160"/>
        <w:jc w:val="both"/>
        <w:rPr>
          <w:rFonts w:ascii="Book Antiqua" w:hAnsi="Book Antiqua" w:cs="Arial"/>
          <w:b/>
          <w:u w:val="single"/>
        </w:rPr>
      </w:pPr>
    </w:p>
    <w:p w:rsidR="009F518E" w:rsidRPr="009F518E" w:rsidRDefault="009F518E" w:rsidP="00484924">
      <w:pPr>
        <w:spacing w:before="160"/>
        <w:jc w:val="both"/>
        <w:rPr>
          <w:rFonts w:ascii="Book Antiqua" w:hAnsi="Book Antiqua" w:cs="Arial"/>
          <w:b/>
          <w:u w:val="single"/>
        </w:rPr>
      </w:pPr>
      <w:r w:rsidRPr="009F518E">
        <w:rPr>
          <w:rFonts w:ascii="Book Antiqua" w:hAnsi="Book Antiqua" w:cs="Arial"/>
          <w:b/>
          <w:u w:val="single"/>
        </w:rPr>
        <w:t>Notice of Decision</w:t>
      </w:r>
    </w:p>
    <w:p w:rsidR="009F518E" w:rsidRPr="009F518E" w:rsidRDefault="009F518E" w:rsidP="00484924">
      <w:pPr>
        <w:spacing w:before="160"/>
        <w:jc w:val="both"/>
        <w:rPr>
          <w:rFonts w:ascii="Book Antiqua" w:hAnsi="Book Antiqua" w:cs="Arial"/>
        </w:rPr>
      </w:pPr>
      <w:r w:rsidRPr="009F518E">
        <w:rPr>
          <w:rFonts w:ascii="Book Antiqua" w:hAnsi="Book Antiqua" w:cs="Arial"/>
        </w:rPr>
        <w:t xml:space="preserve">The </w:t>
      </w:r>
      <w:r w:rsidR="00A92288">
        <w:rPr>
          <w:rFonts w:ascii="Book Antiqua" w:hAnsi="Book Antiqua" w:cs="Arial"/>
        </w:rPr>
        <w:t xml:space="preserve">decision of the First-tier Tribunal involved the making of an error of law such that it falls to be set aside.  I set aside the decision of the original judge.  I remake the decision as follows.  This appeal is allowed. </w:t>
      </w:r>
    </w:p>
    <w:p w:rsidR="009F518E" w:rsidRPr="009F518E" w:rsidRDefault="009F518E" w:rsidP="00484924">
      <w:pPr>
        <w:spacing w:before="160"/>
        <w:jc w:val="both"/>
        <w:rPr>
          <w:rFonts w:ascii="Book Antiqua" w:hAnsi="Book Antiqua" w:cs="Arial"/>
        </w:rPr>
      </w:pPr>
      <w:r w:rsidRPr="009F518E">
        <w:rPr>
          <w:rFonts w:ascii="Book Antiqua" w:hAnsi="Book Antiqua" w:cs="Arial"/>
        </w:rPr>
        <w:t xml:space="preserve">No anonymity </w:t>
      </w:r>
      <w:r w:rsidR="00016A4C">
        <w:rPr>
          <w:rFonts w:ascii="Book Antiqua" w:hAnsi="Book Antiqua" w:cs="Arial"/>
        </w:rPr>
        <w:t>direction</w:t>
      </w:r>
      <w:r w:rsidRPr="009F518E">
        <w:rPr>
          <w:rFonts w:ascii="Book Antiqua" w:hAnsi="Book Antiqua" w:cs="Arial"/>
        </w:rPr>
        <w:t xml:space="preserve"> is made.</w:t>
      </w:r>
    </w:p>
    <w:p w:rsidR="000369F5" w:rsidRDefault="000369F5" w:rsidP="000369F5">
      <w:pPr>
        <w:tabs>
          <w:tab w:val="left" w:pos="2520"/>
        </w:tabs>
        <w:jc w:val="both"/>
        <w:rPr>
          <w:rFonts w:ascii="Book Antiqua" w:hAnsi="Book Antiqua" w:cs="Arial"/>
        </w:rPr>
      </w:pPr>
    </w:p>
    <w:p w:rsidR="00957093" w:rsidRPr="00F5664C" w:rsidRDefault="00957093"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280CCC">
        <w:rPr>
          <w:rFonts w:ascii="Book Antiqua" w:hAnsi="Book Antiqua" w:cs="Arial"/>
        </w:rPr>
        <w:t>d</w:t>
      </w:r>
    </w:p>
    <w:p w:rsidR="00484924" w:rsidRDefault="00484924"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proofErr w:type="spellStart"/>
      <w:r w:rsidR="007D43F8">
        <w:rPr>
          <w:rFonts w:ascii="Book Antiqua" w:hAnsi="Book Antiqua" w:cs="Arial"/>
        </w:rPr>
        <w:t>Juss</w:t>
      </w:r>
      <w:proofErr w:type="spellEnd"/>
      <w:r w:rsidR="00EC1143">
        <w:rPr>
          <w:rFonts w:ascii="Book Antiqua" w:hAnsi="Book Antiqua" w:cs="Arial"/>
        </w:rPr>
        <w:tab/>
      </w:r>
      <w:r w:rsidR="00EC1143">
        <w:rPr>
          <w:rFonts w:ascii="Book Antiqua" w:hAnsi="Book Antiqua" w:cs="Arial"/>
        </w:rPr>
        <w:tab/>
      </w:r>
      <w:r w:rsidR="00EC1143">
        <w:rPr>
          <w:rFonts w:ascii="Book Antiqua" w:hAnsi="Book Antiqua" w:cs="Arial"/>
        </w:rPr>
        <w:tab/>
      </w:r>
      <w:r w:rsidR="00EC1143">
        <w:rPr>
          <w:rFonts w:ascii="Book Antiqua" w:hAnsi="Book Antiqua" w:cs="Arial"/>
        </w:rPr>
        <w:tab/>
        <w:t>3</w:t>
      </w:r>
      <w:r w:rsidR="00EC1143" w:rsidRPr="00EC1143">
        <w:rPr>
          <w:rFonts w:ascii="Book Antiqua" w:hAnsi="Book Antiqua" w:cs="Arial"/>
          <w:vertAlign w:val="superscript"/>
        </w:rPr>
        <w:t>rd</w:t>
      </w:r>
      <w:r w:rsidR="00EC1143">
        <w:rPr>
          <w:rFonts w:ascii="Book Antiqua" w:hAnsi="Book Antiqua" w:cs="Arial"/>
        </w:rPr>
        <w:t xml:space="preserve"> August 2018 </w:t>
      </w:r>
    </w:p>
    <w:p w:rsidR="00EC1143" w:rsidRPr="00F5664C" w:rsidRDefault="00EC1143" w:rsidP="000369F5">
      <w:pPr>
        <w:tabs>
          <w:tab w:val="left" w:pos="2520"/>
        </w:tabs>
        <w:jc w:val="both"/>
        <w:rPr>
          <w:rFonts w:ascii="Book Antiqua" w:hAnsi="Book Antiqua" w:cs="Arial"/>
        </w:rPr>
      </w:pPr>
    </w:p>
    <w:p w:rsidR="00EC1143" w:rsidRDefault="00EC1143" w:rsidP="009F518E">
      <w:pPr>
        <w:jc w:val="both"/>
        <w:rPr>
          <w:rFonts w:ascii="Book Antiqua" w:hAnsi="Book Antiqua" w:cs="Arial"/>
          <w:b/>
          <w:u w:val="single"/>
        </w:rPr>
      </w:pPr>
      <w:bookmarkStart w:id="0" w:name="_GoBack"/>
      <w:bookmarkEnd w:id="0"/>
    </w:p>
    <w:p w:rsidR="00EC1143" w:rsidRDefault="00EC1143" w:rsidP="009F518E">
      <w:pPr>
        <w:jc w:val="both"/>
        <w:rPr>
          <w:rFonts w:ascii="Book Antiqua" w:hAnsi="Book Antiqua" w:cs="Arial"/>
          <w:b/>
          <w:u w:val="single"/>
        </w:rPr>
      </w:pPr>
    </w:p>
    <w:p w:rsidR="009F518E" w:rsidRPr="009F518E" w:rsidRDefault="009F518E" w:rsidP="009F518E">
      <w:pPr>
        <w:jc w:val="both"/>
        <w:rPr>
          <w:rFonts w:ascii="Book Antiqua" w:hAnsi="Book Antiqua" w:cs="Arial"/>
          <w:b/>
          <w:u w:val="single"/>
        </w:rPr>
      </w:pPr>
      <w:r w:rsidRPr="009F518E">
        <w:rPr>
          <w:rFonts w:ascii="Book Antiqua" w:hAnsi="Book Antiqua" w:cs="Arial"/>
          <w:b/>
          <w:u w:val="single"/>
        </w:rPr>
        <w:t>TO THE RESPONDENT</w:t>
      </w:r>
    </w:p>
    <w:p w:rsidR="009F518E" w:rsidRPr="009F518E" w:rsidRDefault="009F518E" w:rsidP="009F518E">
      <w:pPr>
        <w:ind w:left="567" w:hanging="567"/>
        <w:jc w:val="both"/>
        <w:rPr>
          <w:rFonts w:ascii="Book Antiqua" w:hAnsi="Book Antiqua" w:cs="Arial"/>
        </w:rPr>
      </w:pPr>
      <w:r w:rsidRPr="009F518E">
        <w:rPr>
          <w:rFonts w:ascii="Book Antiqua" w:hAnsi="Book Antiqua" w:cs="Arial"/>
          <w:b/>
          <w:u w:val="single"/>
        </w:rPr>
        <w:t>FEE AWARD</w:t>
      </w:r>
    </w:p>
    <w:p w:rsidR="009F518E" w:rsidRPr="009F518E" w:rsidRDefault="009F518E" w:rsidP="00484924">
      <w:pPr>
        <w:spacing w:before="160"/>
        <w:jc w:val="both"/>
        <w:rPr>
          <w:rFonts w:ascii="Book Antiqua" w:hAnsi="Book Antiqua" w:cs="Arial"/>
        </w:rPr>
      </w:pPr>
      <w:r w:rsidRPr="009F518E">
        <w:rPr>
          <w:rFonts w:ascii="Book Antiqua" w:hAnsi="Book Antiqua" w:cs="Arial"/>
        </w:rPr>
        <w:t>As I have allowed the appeal and because a fee has been paid or is payable, I make a fee award of any fee which has been paid or may be payable.</w:t>
      </w:r>
    </w:p>
    <w:p w:rsidR="009F518E" w:rsidRPr="009F518E" w:rsidRDefault="009F518E" w:rsidP="009F518E">
      <w:pPr>
        <w:jc w:val="both"/>
        <w:rPr>
          <w:rFonts w:ascii="Book Antiqua" w:hAnsi="Book Antiqua" w:cs="Arial"/>
        </w:rPr>
      </w:pPr>
    </w:p>
    <w:p w:rsidR="009F518E" w:rsidRDefault="009F518E" w:rsidP="009F518E">
      <w:pPr>
        <w:jc w:val="both"/>
        <w:rPr>
          <w:rFonts w:ascii="Book Antiqua" w:hAnsi="Book Antiqua" w:cs="Arial"/>
        </w:rPr>
      </w:pPr>
    </w:p>
    <w:p w:rsidR="009F518E" w:rsidRPr="00F5664C" w:rsidRDefault="009F518E" w:rsidP="009F518E">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rsidR="00484924" w:rsidRDefault="00484924" w:rsidP="009F518E">
      <w:pPr>
        <w:tabs>
          <w:tab w:val="left" w:pos="2520"/>
        </w:tabs>
        <w:jc w:val="both"/>
        <w:rPr>
          <w:rFonts w:ascii="Book Antiqua" w:hAnsi="Book Antiqua" w:cs="Arial"/>
        </w:rPr>
      </w:pPr>
    </w:p>
    <w:p w:rsidR="009F518E" w:rsidRDefault="009F518E" w:rsidP="009F518E">
      <w:pPr>
        <w:tabs>
          <w:tab w:val="left" w:pos="2520"/>
        </w:tabs>
        <w:jc w:val="both"/>
        <w:rPr>
          <w:rFonts w:ascii="Book Antiqua" w:hAnsi="Book Antiqua" w:cs="Arial"/>
        </w:rPr>
      </w:pPr>
      <w:r>
        <w:rPr>
          <w:rFonts w:ascii="Book Antiqua" w:hAnsi="Book Antiqua" w:cs="Arial"/>
        </w:rPr>
        <w:t>Deputy Up</w:t>
      </w:r>
      <w:r w:rsidR="007D43F8">
        <w:rPr>
          <w:rFonts w:ascii="Book Antiqua" w:hAnsi="Book Antiqua" w:cs="Arial"/>
        </w:rPr>
        <w:t xml:space="preserve">per Tribunal Judge </w:t>
      </w:r>
      <w:proofErr w:type="spellStart"/>
      <w:r w:rsidR="007D43F8">
        <w:rPr>
          <w:rFonts w:ascii="Book Antiqua" w:hAnsi="Book Antiqua" w:cs="Arial"/>
        </w:rPr>
        <w:t>Juss</w:t>
      </w:r>
      <w:proofErr w:type="spellEnd"/>
      <w:r w:rsidR="00EC1143">
        <w:rPr>
          <w:rFonts w:ascii="Book Antiqua" w:hAnsi="Book Antiqua" w:cs="Arial"/>
        </w:rPr>
        <w:tab/>
      </w:r>
      <w:r w:rsidR="00EC1143">
        <w:rPr>
          <w:rFonts w:ascii="Book Antiqua" w:hAnsi="Book Antiqua" w:cs="Arial"/>
        </w:rPr>
        <w:tab/>
      </w:r>
      <w:r w:rsidR="00EC1143">
        <w:rPr>
          <w:rFonts w:ascii="Book Antiqua" w:hAnsi="Book Antiqua" w:cs="Arial"/>
        </w:rPr>
        <w:tab/>
      </w:r>
      <w:r w:rsidR="00EC1143">
        <w:rPr>
          <w:rFonts w:ascii="Book Antiqua" w:hAnsi="Book Antiqua" w:cs="Arial"/>
        </w:rPr>
        <w:tab/>
        <w:t>3</w:t>
      </w:r>
      <w:r w:rsidR="00EC1143" w:rsidRPr="00EC1143">
        <w:rPr>
          <w:rFonts w:ascii="Book Antiqua" w:hAnsi="Book Antiqua" w:cs="Arial"/>
          <w:vertAlign w:val="superscript"/>
        </w:rPr>
        <w:t>rd</w:t>
      </w:r>
      <w:r w:rsidR="00EC1143">
        <w:rPr>
          <w:rFonts w:ascii="Book Antiqua" w:hAnsi="Book Antiqua" w:cs="Arial"/>
        </w:rPr>
        <w:t xml:space="preserve"> August 2018</w:t>
      </w:r>
    </w:p>
    <w:sectPr w:rsidR="009F518E" w:rsidSect="00BC41D4">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F88" w:rsidRDefault="00801F88">
      <w:r>
        <w:separator/>
      </w:r>
    </w:p>
  </w:endnote>
  <w:endnote w:type="continuationSeparator" w:id="0">
    <w:p w:rsidR="00801F88" w:rsidRDefault="00801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BC41D4" w:rsidRDefault="00CF253F" w:rsidP="00593795">
    <w:pPr>
      <w:pStyle w:val="Footer"/>
      <w:jc w:val="center"/>
      <w:rPr>
        <w:rFonts w:ascii="Book Antiqua" w:hAnsi="Book Antiqua" w:cs="Arial"/>
      </w:rPr>
    </w:pPr>
    <w:r w:rsidRPr="00BC41D4">
      <w:rPr>
        <w:rStyle w:val="PageNumber"/>
        <w:rFonts w:ascii="Book Antiqua" w:hAnsi="Book Antiqua" w:cs="Arial"/>
      </w:rPr>
      <w:fldChar w:fldCharType="begin"/>
    </w:r>
    <w:r w:rsidRPr="00BC41D4">
      <w:rPr>
        <w:rStyle w:val="PageNumber"/>
        <w:rFonts w:ascii="Book Antiqua" w:hAnsi="Book Antiqua" w:cs="Arial"/>
      </w:rPr>
      <w:instrText xml:space="preserve"> PAGE </w:instrText>
    </w:r>
    <w:r w:rsidRPr="00BC41D4">
      <w:rPr>
        <w:rStyle w:val="PageNumber"/>
        <w:rFonts w:ascii="Book Antiqua" w:hAnsi="Book Antiqua" w:cs="Arial"/>
      </w:rPr>
      <w:fldChar w:fldCharType="separate"/>
    </w:r>
    <w:r w:rsidR="00E5029B">
      <w:rPr>
        <w:rStyle w:val="PageNumber"/>
        <w:rFonts w:ascii="Book Antiqua" w:hAnsi="Book Antiqua" w:cs="Arial"/>
        <w:noProof/>
      </w:rPr>
      <w:t>3</w:t>
    </w:r>
    <w:r w:rsidRPr="00BC41D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F88" w:rsidRDefault="00801F88">
      <w:r>
        <w:separator/>
      </w:r>
    </w:p>
  </w:footnote>
  <w:footnote w:type="continuationSeparator" w:id="0">
    <w:p w:rsidR="00801F88" w:rsidRDefault="00801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C016DF">
      <w:rPr>
        <w:rFonts w:ascii="Book Antiqua" w:hAnsi="Book Antiqua" w:cs="Arial"/>
        <w:sz w:val="16"/>
        <w:szCs w:val="16"/>
      </w:rPr>
      <w:t xml:space="preserve"> HU/14485/2016</w:t>
    </w:r>
  </w:p>
  <w:p w:rsidR="00BC41D4" w:rsidRPr="00F5664C" w:rsidRDefault="00BC41D4"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6DF"/>
    <w:rsid w:val="00000621"/>
    <w:rsid w:val="000036C2"/>
    <w:rsid w:val="00011664"/>
    <w:rsid w:val="00016A4C"/>
    <w:rsid w:val="00033D3D"/>
    <w:rsid w:val="000369F5"/>
    <w:rsid w:val="00071A7E"/>
    <w:rsid w:val="000746C0"/>
    <w:rsid w:val="00074D1D"/>
    <w:rsid w:val="00075835"/>
    <w:rsid w:val="00077227"/>
    <w:rsid w:val="00092580"/>
    <w:rsid w:val="000A5ADA"/>
    <w:rsid w:val="000D01C9"/>
    <w:rsid w:val="000D4E6A"/>
    <w:rsid w:val="000D5D94"/>
    <w:rsid w:val="000E0CD7"/>
    <w:rsid w:val="00114F8B"/>
    <w:rsid w:val="001165A7"/>
    <w:rsid w:val="00151BB7"/>
    <w:rsid w:val="00167D3A"/>
    <w:rsid w:val="00172A08"/>
    <w:rsid w:val="001A1E2C"/>
    <w:rsid w:val="001E6D6D"/>
    <w:rsid w:val="001F2716"/>
    <w:rsid w:val="0020133A"/>
    <w:rsid w:val="00207617"/>
    <w:rsid w:val="00217BFD"/>
    <w:rsid w:val="00246E34"/>
    <w:rsid w:val="00255071"/>
    <w:rsid w:val="00280CCC"/>
    <w:rsid w:val="00283659"/>
    <w:rsid w:val="002C4E73"/>
    <w:rsid w:val="002D5A7F"/>
    <w:rsid w:val="002D68BF"/>
    <w:rsid w:val="002E75DE"/>
    <w:rsid w:val="0030070F"/>
    <w:rsid w:val="00336CBF"/>
    <w:rsid w:val="00341578"/>
    <w:rsid w:val="003536B4"/>
    <w:rsid w:val="003546C8"/>
    <w:rsid w:val="003A7CF2"/>
    <w:rsid w:val="003C5CE5"/>
    <w:rsid w:val="003E267B"/>
    <w:rsid w:val="003E7CD1"/>
    <w:rsid w:val="00402B9E"/>
    <w:rsid w:val="004061C2"/>
    <w:rsid w:val="0041360E"/>
    <w:rsid w:val="00423932"/>
    <w:rsid w:val="004249CB"/>
    <w:rsid w:val="00425868"/>
    <w:rsid w:val="0044127D"/>
    <w:rsid w:val="004448DB"/>
    <w:rsid w:val="00446C9A"/>
    <w:rsid w:val="00477193"/>
    <w:rsid w:val="00484924"/>
    <w:rsid w:val="004A1848"/>
    <w:rsid w:val="00507FEC"/>
    <w:rsid w:val="00510F0E"/>
    <w:rsid w:val="00530B04"/>
    <w:rsid w:val="00532E7D"/>
    <w:rsid w:val="00542DB1"/>
    <w:rsid w:val="005479E1"/>
    <w:rsid w:val="005570FD"/>
    <w:rsid w:val="005575EA"/>
    <w:rsid w:val="00576777"/>
    <w:rsid w:val="0057790C"/>
    <w:rsid w:val="00593795"/>
    <w:rsid w:val="005A75FF"/>
    <w:rsid w:val="005B7789"/>
    <w:rsid w:val="0065791C"/>
    <w:rsid w:val="006642D3"/>
    <w:rsid w:val="006803E1"/>
    <w:rsid w:val="00690B8A"/>
    <w:rsid w:val="006D1DFA"/>
    <w:rsid w:val="006D506B"/>
    <w:rsid w:val="006D5E13"/>
    <w:rsid w:val="006E3C90"/>
    <w:rsid w:val="00704B61"/>
    <w:rsid w:val="00707DB1"/>
    <w:rsid w:val="007353BB"/>
    <w:rsid w:val="00742A8D"/>
    <w:rsid w:val="007552A9"/>
    <w:rsid w:val="00761858"/>
    <w:rsid w:val="007666A6"/>
    <w:rsid w:val="00767D59"/>
    <w:rsid w:val="00771AB6"/>
    <w:rsid w:val="00776E97"/>
    <w:rsid w:val="00780FD7"/>
    <w:rsid w:val="0078703A"/>
    <w:rsid w:val="0078766E"/>
    <w:rsid w:val="007912AD"/>
    <w:rsid w:val="007A1F28"/>
    <w:rsid w:val="007B0824"/>
    <w:rsid w:val="007C00AB"/>
    <w:rsid w:val="007D43F8"/>
    <w:rsid w:val="00801F88"/>
    <w:rsid w:val="008303B8"/>
    <w:rsid w:val="00833DCE"/>
    <w:rsid w:val="00842418"/>
    <w:rsid w:val="008533CF"/>
    <w:rsid w:val="008607BF"/>
    <w:rsid w:val="008610CA"/>
    <w:rsid w:val="008634DB"/>
    <w:rsid w:val="00871D34"/>
    <w:rsid w:val="008B270C"/>
    <w:rsid w:val="008C3D3D"/>
    <w:rsid w:val="008D4131"/>
    <w:rsid w:val="008F1932"/>
    <w:rsid w:val="008F294D"/>
    <w:rsid w:val="00907C52"/>
    <w:rsid w:val="00921062"/>
    <w:rsid w:val="0092618D"/>
    <w:rsid w:val="0093083E"/>
    <w:rsid w:val="0093333B"/>
    <w:rsid w:val="00957093"/>
    <w:rsid w:val="00966ECF"/>
    <w:rsid w:val="009727A3"/>
    <w:rsid w:val="00987774"/>
    <w:rsid w:val="009A11E8"/>
    <w:rsid w:val="009E4E62"/>
    <w:rsid w:val="009F518E"/>
    <w:rsid w:val="009F5220"/>
    <w:rsid w:val="009F7C4D"/>
    <w:rsid w:val="00A15234"/>
    <w:rsid w:val="00A201AB"/>
    <w:rsid w:val="00A31C8B"/>
    <w:rsid w:val="00A75965"/>
    <w:rsid w:val="00A845DC"/>
    <w:rsid w:val="00A92288"/>
    <w:rsid w:val="00A97AEE"/>
    <w:rsid w:val="00AC5CF6"/>
    <w:rsid w:val="00B144FA"/>
    <w:rsid w:val="00B16F58"/>
    <w:rsid w:val="00B30648"/>
    <w:rsid w:val="00B3524D"/>
    <w:rsid w:val="00B35AF6"/>
    <w:rsid w:val="00B40F69"/>
    <w:rsid w:val="00B46616"/>
    <w:rsid w:val="00B52A42"/>
    <w:rsid w:val="00B610E3"/>
    <w:rsid w:val="00B61205"/>
    <w:rsid w:val="00B617C4"/>
    <w:rsid w:val="00B626FA"/>
    <w:rsid w:val="00B7040A"/>
    <w:rsid w:val="00B96FA0"/>
    <w:rsid w:val="00B97041"/>
    <w:rsid w:val="00BC41D4"/>
    <w:rsid w:val="00BC42D3"/>
    <w:rsid w:val="00BD4196"/>
    <w:rsid w:val="00BF22CA"/>
    <w:rsid w:val="00C016DF"/>
    <w:rsid w:val="00C26032"/>
    <w:rsid w:val="00C265B0"/>
    <w:rsid w:val="00C321B5"/>
    <w:rsid w:val="00C336BF"/>
    <w:rsid w:val="00C345E1"/>
    <w:rsid w:val="00C36A07"/>
    <w:rsid w:val="00C67CF4"/>
    <w:rsid w:val="00C977BA"/>
    <w:rsid w:val="00CB6E35"/>
    <w:rsid w:val="00CE1A46"/>
    <w:rsid w:val="00CE26B2"/>
    <w:rsid w:val="00CE6AFA"/>
    <w:rsid w:val="00CF01A8"/>
    <w:rsid w:val="00CF253F"/>
    <w:rsid w:val="00CF56B4"/>
    <w:rsid w:val="00D20F09"/>
    <w:rsid w:val="00D22636"/>
    <w:rsid w:val="00D22FA8"/>
    <w:rsid w:val="00D24A9C"/>
    <w:rsid w:val="00D40FD9"/>
    <w:rsid w:val="00D53769"/>
    <w:rsid w:val="00D562ED"/>
    <w:rsid w:val="00D63446"/>
    <w:rsid w:val="00D647F9"/>
    <w:rsid w:val="00D65912"/>
    <w:rsid w:val="00D85C13"/>
    <w:rsid w:val="00D91BE3"/>
    <w:rsid w:val="00D94AFC"/>
    <w:rsid w:val="00DB70AE"/>
    <w:rsid w:val="00DB7231"/>
    <w:rsid w:val="00DD5071"/>
    <w:rsid w:val="00DD5C39"/>
    <w:rsid w:val="00DE26AF"/>
    <w:rsid w:val="00DE7DB7"/>
    <w:rsid w:val="00E00A0A"/>
    <w:rsid w:val="00E07F57"/>
    <w:rsid w:val="00E1040E"/>
    <w:rsid w:val="00E5029B"/>
    <w:rsid w:val="00E50BCE"/>
    <w:rsid w:val="00E61292"/>
    <w:rsid w:val="00E76309"/>
    <w:rsid w:val="00E76692"/>
    <w:rsid w:val="00E77C4D"/>
    <w:rsid w:val="00E81D01"/>
    <w:rsid w:val="00EA161D"/>
    <w:rsid w:val="00EC1143"/>
    <w:rsid w:val="00EC20A6"/>
    <w:rsid w:val="00EE45D8"/>
    <w:rsid w:val="00F004CD"/>
    <w:rsid w:val="00F22A22"/>
    <w:rsid w:val="00F22EDA"/>
    <w:rsid w:val="00F3224D"/>
    <w:rsid w:val="00F33E0E"/>
    <w:rsid w:val="00F53574"/>
    <w:rsid w:val="00F541B5"/>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365458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ColorfulList-Accent11">
    <w:name w:val="Colorful List - Accent 11"/>
    <w:basedOn w:val="Normal"/>
    <w:uiPriority w:val="34"/>
    <w:qFormat/>
    <w:rsid w:val="00EC1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1090</Words>
  <Characters>5331</Characters>
  <Application>Microsoft Office Word</Application>
  <DocSecurity>0</DocSecurity>
  <Lines>44</Lines>
  <Paragraphs>12</Paragraphs>
  <ScaleCrop>false</ScaleCrop>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2018-08-23T16:01:00Z</dcterms:created>
  <dcterms:modified xsi:type="dcterms:W3CDTF">2018-08-23T16:01:00Z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