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510A66" w:rsidP="00933B65">
      <w:pPr>
        <w:jc w:val="center"/>
        <w:rPr>
          <w:rFonts w:ascii="Book Antiqua" w:hAnsi="Book Antiqua" w:cs="Arial"/>
          <w:color w:val="000000"/>
        </w:rPr>
      </w:pPr>
      <w:r>
        <w:rPr>
          <w:noProof/>
        </w:rPr>
        <w:drawing>
          <wp:inline distT="0" distB="0" distL="0" distR="0">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4C27C7" w:rsidRPr="00F97703" w:rsidRDefault="004C27C7" w:rsidP="004C27C7">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AD4E27">
        <w:rPr>
          <w:rFonts w:ascii="Book Antiqua" w:hAnsi="Book Antiqua" w:cs="Arial"/>
          <w:color w:val="000000"/>
        </w:rPr>
        <w:t>HU/14492/2016</w:t>
      </w:r>
      <w:bookmarkEnd w:id="0"/>
    </w:p>
    <w:p w:rsidR="00933B65" w:rsidRPr="00F97703" w:rsidRDefault="00933B65" w:rsidP="00933B65">
      <w:pPr>
        <w:jc w:val="center"/>
        <w:rPr>
          <w:rFonts w:ascii="Book Antiqua" w:hAnsi="Book Antiqua" w:cs="Arial"/>
          <w:color w:val="000000"/>
        </w:rPr>
      </w:pPr>
    </w:p>
    <w:p w:rsidR="004C27C7" w:rsidRDefault="004C27C7" w:rsidP="00933B65">
      <w:pPr>
        <w:jc w:val="center"/>
        <w:rPr>
          <w:rFonts w:ascii="Book Antiqua" w:hAnsi="Book Antiqua" w:cs="Arial"/>
          <w:b/>
          <w:color w:val="000000"/>
          <w:u w:val="single"/>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4C27C7" w:rsidRPr="00F97703" w:rsidRDefault="004C27C7" w:rsidP="00933B65">
      <w:pPr>
        <w:jc w:val="center"/>
        <w:rPr>
          <w:rFonts w:ascii="Book Antiqua" w:hAnsi="Book Antiqua" w:cs="Arial"/>
          <w:b/>
          <w:color w:val="000000"/>
          <w:u w:val="single"/>
        </w:rPr>
      </w:pPr>
    </w:p>
    <w:p w:rsidR="00405694" w:rsidRPr="00F97703" w:rsidRDefault="00405694" w:rsidP="00405694">
      <w:pPr>
        <w:jc w:val="center"/>
        <w:rPr>
          <w:rFonts w:ascii="Book Antiqua" w:hAnsi="Book Antiqua" w:cs="Arial"/>
          <w:b/>
          <w:u w:val="single"/>
        </w:rPr>
      </w:pPr>
    </w:p>
    <w:tbl>
      <w:tblPr>
        <w:tblW w:w="0" w:type="auto"/>
        <w:tblLook w:val="01E0" w:firstRow="1" w:lastRow="1" w:firstColumn="1" w:lastColumn="1" w:noHBand="0" w:noVBand="0"/>
      </w:tblPr>
      <w:tblGrid>
        <w:gridCol w:w="5376"/>
        <w:gridCol w:w="4262"/>
      </w:tblGrid>
      <w:tr w:rsidR="00405694" w:rsidRPr="00AB1DC6" w:rsidTr="00AE22D9">
        <w:tc>
          <w:tcPr>
            <w:tcW w:w="5495"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4333" w:type="dxa"/>
            <w:shd w:val="clear" w:color="auto" w:fill="auto"/>
          </w:tcPr>
          <w:p w:rsidR="00405694" w:rsidRPr="00AB1DC6" w:rsidRDefault="00405694" w:rsidP="00AB1DC6">
            <w:pPr>
              <w:jc w:val="both"/>
              <w:rPr>
                <w:rFonts w:ascii="Book Antiqua" w:hAnsi="Book Antiqua" w:cs="Arial"/>
                <w:b/>
                <w:color w:val="000000"/>
              </w:rPr>
            </w:pPr>
            <w:r w:rsidRPr="00AB1DC6">
              <w:rPr>
                <w:rFonts w:ascii="Book Antiqua" w:hAnsi="Book Antiqua" w:cs="Arial"/>
                <w:b/>
                <w:color w:val="000000"/>
              </w:rPr>
              <w:t>Decision</w:t>
            </w:r>
            <w:r w:rsidR="00AE22D9">
              <w:rPr>
                <w:rFonts w:ascii="Book Antiqua" w:hAnsi="Book Antiqua" w:cs="Arial"/>
                <w:b/>
                <w:color w:val="000000"/>
              </w:rPr>
              <w:t xml:space="preserve"> &amp; Reasons</w:t>
            </w:r>
            <w:r w:rsidRPr="00AB1DC6">
              <w:rPr>
                <w:rFonts w:ascii="Book Antiqua" w:hAnsi="Book Antiqua" w:cs="Arial"/>
                <w:b/>
                <w:color w:val="000000"/>
              </w:rPr>
              <w:t xml:space="preserve"> Promulgated</w:t>
            </w:r>
          </w:p>
        </w:tc>
      </w:tr>
      <w:tr w:rsidR="00405694" w:rsidRPr="00AB1DC6" w:rsidTr="00AE22D9">
        <w:tc>
          <w:tcPr>
            <w:tcW w:w="5495"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AD4E27">
              <w:rPr>
                <w:rFonts w:ascii="Book Antiqua" w:hAnsi="Book Antiqua" w:cs="Arial"/>
                <w:b/>
              </w:rPr>
              <w:t>15 May 2018</w:t>
            </w:r>
          </w:p>
        </w:tc>
        <w:tc>
          <w:tcPr>
            <w:tcW w:w="4333" w:type="dxa"/>
            <w:shd w:val="clear" w:color="auto" w:fill="auto"/>
          </w:tcPr>
          <w:p w:rsidR="00405694" w:rsidRPr="00AB1DC6" w:rsidRDefault="00B85942" w:rsidP="00AB1DC6">
            <w:pPr>
              <w:jc w:val="both"/>
              <w:rPr>
                <w:rFonts w:ascii="Book Antiqua" w:hAnsi="Book Antiqua" w:cs="Arial"/>
                <w:b/>
              </w:rPr>
            </w:pPr>
            <w:r>
              <w:rPr>
                <w:rFonts w:ascii="Book Antiqua" w:hAnsi="Book Antiqua" w:cs="Arial"/>
                <w:b/>
              </w:rPr>
              <w:t xml:space="preserve">On 21 May 2018 </w:t>
            </w:r>
          </w:p>
        </w:tc>
      </w:tr>
      <w:tr w:rsidR="00405694" w:rsidRPr="00AB1DC6" w:rsidTr="00AE22D9">
        <w:tc>
          <w:tcPr>
            <w:tcW w:w="5495" w:type="dxa"/>
            <w:shd w:val="clear" w:color="auto" w:fill="auto"/>
          </w:tcPr>
          <w:p w:rsidR="00405694" w:rsidRPr="00AB1DC6" w:rsidRDefault="00405694" w:rsidP="00AB1DC6">
            <w:pPr>
              <w:jc w:val="both"/>
              <w:rPr>
                <w:rFonts w:ascii="Book Antiqua" w:hAnsi="Book Antiqua" w:cs="Arial"/>
                <w:b/>
              </w:rPr>
            </w:pPr>
          </w:p>
        </w:tc>
        <w:tc>
          <w:tcPr>
            <w:tcW w:w="4333" w:type="dxa"/>
            <w:shd w:val="clear" w:color="auto" w:fill="auto"/>
          </w:tcPr>
          <w:p w:rsidR="00405694" w:rsidRPr="00AB1DC6" w:rsidRDefault="00405694" w:rsidP="00AB1DC6">
            <w:pPr>
              <w:jc w:val="both"/>
              <w:rPr>
                <w:rFonts w:ascii="Book Antiqua" w:hAnsi="Book Antiqua" w:cs="Arial"/>
                <w:b/>
              </w:rPr>
            </w:pPr>
          </w:p>
        </w:tc>
      </w:tr>
    </w:tbl>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294F41" w:rsidRPr="00F97703" w:rsidRDefault="00294F41"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294F41" w:rsidRDefault="00294F41" w:rsidP="00933B65">
      <w:pPr>
        <w:jc w:val="center"/>
        <w:rPr>
          <w:rFonts w:ascii="Book Antiqua" w:hAnsi="Book Antiqua" w:cs="Arial"/>
          <w:b/>
        </w:rPr>
      </w:pPr>
    </w:p>
    <w:p w:rsidR="00933B65" w:rsidRDefault="00AD4E27" w:rsidP="00933B65">
      <w:pPr>
        <w:jc w:val="center"/>
        <w:rPr>
          <w:rFonts w:ascii="Book Antiqua" w:hAnsi="Book Antiqua" w:cs="Arial"/>
          <w:b/>
        </w:rPr>
      </w:pPr>
      <w:r>
        <w:rPr>
          <w:rFonts w:ascii="Book Antiqua" w:hAnsi="Book Antiqua" w:cs="Arial"/>
          <w:b/>
        </w:rPr>
        <w:t xml:space="preserve">HUNG </w:t>
      </w:r>
      <w:r w:rsidR="004C27C7">
        <w:rPr>
          <w:rFonts w:ascii="Book Antiqua" w:hAnsi="Book Antiqua" w:cs="Arial"/>
          <w:b/>
        </w:rPr>
        <w:t>[</w:t>
      </w:r>
      <w:r>
        <w:rPr>
          <w:rFonts w:ascii="Book Antiqua" w:hAnsi="Book Antiqua" w:cs="Arial"/>
          <w:b/>
        </w:rPr>
        <w:t>P</w:t>
      </w:r>
      <w:r w:rsidR="004C27C7">
        <w:rPr>
          <w:rFonts w:ascii="Book Antiqua" w:hAnsi="Book Antiqua" w:cs="Arial"/>
          <w:b/>
        </w:rPr>
        <w:t>]</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4C27C7" w:rsidRPr="00F97703" w:rsidRDefault="004C27C7"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84091B">
        <w:rPr>
          <w:rFonts w:ascii="Book Antiqua" w:hAnsi="Book Antiqua" w:cs="Arial"/>
        </w:rPr>
        <w:t>Ms M. Mac of Mac &amp; Co.</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84091B">
        <w:rPr>
          <w:rFonts w:ascii="Book Antiqua" w:hAnsi="Book Antiqua" w:cs="Arial"/>
        </w:rPr>
        <w:t xml:space="preserve">Ms A. Holmes, Senior Home Office Presenting Officer </w:t>
      </w:r>
    </w:p>
    <w:p w:rsidR="00405694" w:rsidRDefault="00405694" w:rsidP="00933B65">
      <w:pPr>
        <w:rPr>
          <w:rFonts w:ascii="Book Antiqua" w:hAnsi="Book Antiqua" w:cs="Arial"/>
        </w:rPr>
      </w:pPr>
    </w:p>
    <w:p w:rsidR="00405694" w:rsidRPr="00405694" w:rsidRDefault="00405694" w:rsidP="00933B65">
      <w:pPr>
        <w:rPr>
          <w:rFonts w:ascii="Book Antiqua" w:hAnsi="Book Antiqua" w:cs="Arial"/>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56E7C" w:rsidRDefault="00056E7C" w:rsidP="00933B65">
      <w:pPr>
        <w:tabs>
          <w:tab w:val="left" w:pos="567"/>
        </w:tabs>
        <w:jc w:val="both"/>
        <w:rPr>
          <w:rFonts w:ascii="Book Antiqua" w:hAnsi="Book Antiqua" w:cs="Arial"/>
        </w:rPr>
      </w:pPr>
    </w:p>
    <w:p w:rsidR="00B6649E" w:rsidRDefault="0084091B" w:rsidP="0084091B">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 xml:space="preserve">The appellant appeals the respondent’s decision dated 31 May 2016 to refuse a human rights claim. First-tier Tribunal Judge </w:t>
      </w:r>
      <w:r w:rsidR="004C27C7">
        <w:rPr>
          <w:rFonts w:ascii="Book Antiqua" w:hAnsi="Book Antiqua" w:cs="Arial"/>
        </w:rPr>
        <w:t>C.A.S.</w:t>
      </w:r>
      <w:r>
        <w:rPr>
          <w:rFonts w:ascii="Book Antiqua" w:hAnsi="Book Antiqua" w:cs="Arial"/>
        </w:rPr>
        <w:t xml:space="preserve"> </w:t>
      </w:r>
      <w:proofErr w:type="spellStart"/>
      <w:r>
        <w:rPr>
          <w:rFonts w:ascii="Book Antiqua" w:hAnsi="Book Antiqua" w:cs="Arial"/>
        </w:rPr>
        <w:t>O’Garro</w:t>
      </w:r>
      <w:proofErr w:type="spellEnd"/>
      <w:r>
        <w:rPr>
          <w:rFonts w:ascii="Book Antiqua" w:hAnsi="Book Antiqua" w:cs="Arial"/>
        </w:rPr>
        <w:t xml:space="preserve"> dismissed his appeal in a decision promulgated on 09 November 2017. </w:t>
      </w:r>
    </w:p>
    <w:p w:rsidR="00B6649E" w:rsidRDefault="00B6649E" w:rsidP="0084091B">
      <w:pPr>
        <w:tabs>
          <w:tab w:val="left" w:pos="567"/>
        </w:tabs>
        <w:ind w:left="564" w:hanging="564"/>
        <w:jc w:val="both"/>
        <w:rPr>
          <w:rFonts w:ascii="Book Antiqua" w:hAnsi="Book Antiqua" w:cs="Arial"/>
        </w:rPr>
      </w:pPr>
    </w:p>
    <w:p w:rsidR="0084091B" w:rsidRDefault="00B6649E" w:rsidP="0084091B">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r>
      <w:r w:rsidR="0084091B">
        <w:rPr>
          <w:rFonts w:ascii="Book Antiqua" w:hAnsi="Book Antiqua" w:cs="Arial"/>
        </w:rPr>
        <w:t>In a decision promulgated on 09 March 2018 the Upper Tribunal found that the First-tier Tribunal decision involved the making of an error of law and set aside the decision</w:t>
      </w:r>
      <w:r w:rsidR="00D43764">
        <w:rPr>
          <w:rFonts w:ascii="Book Antiqua" w:hAnsi="Book Antiqua" w:cs="Arial"/>
        </w:rPr>
        <w:t xml:space="preserve"> (see annex).</w:t>
      </w:r>
      <w:r w:rsidR="0084091B">
        <w:rPr>
          <w:rFonts w:ascii="Book Antiqua" w:hAnsi="Book Antiqua" w:cs="Arial"/>
        </w:rPr>
        <w:t xml:space="preserve"> </w:t>
      </w:r>
      <w:r w:rsidR="0084091B" w:rsidRPr="00BA2C37">
        <w:rPr>
          <w:rFonts w:ascii="Book Antiqua" w:hAnsi="Book Antiqua"/>
        </w:rPr>
        <w:t xml:space="preserve">The First-tier Tribunal’s findings relating to the genuine and subsisting </w:t>
      </w:r>
      <w:r w:rsidR="0084091B" w:rsidRPr="00BA2C37">
        <w:rPr>
          <w:rFonts w:ascii="Book Antiqua" w:hAnsi="Book Antiqua"/>
        </w:rPr>
        <w:lastRenderedPageBreak/>
        <w:t>nature of the appellant’s parental relationship with the children</w:t>
      </w:r>
      <w:r w:rsidR="0084091B">
        <w:rPr>
          <w:rFonts w:ascii="Book Antiqua" w:hAnsi="Book Antiqua"/>
        </w:rPr>
        <w:t xml:space="preserve"> were preserved. The Upper Tribunal listed the appeal for a resumed hearing in order to make findings relating to the best interests of the children and whether it was ‘reasonable’</w:t>
      </w:r>
      <w:r>
        <w:rPr>
          <w:rFonts w:ascii="Book Antiqua" w:hAnsi="Book Antiqua"/>
        </w:rPr>
        <w:t xml:space="preserve"> to expect the British child</w:t>
      </w:r>
      <w:r w:rsidR="0084091B">
        <w:rPr>
          <w:rFonts w:ascii="Book Antiqua" w:hAnsi="Book Antiqua"/>
        </w:rPr>
        <w:t xml:space="preserve"> to leave the UK within the meaning of section 117</w:t>
      </w:r>
      <w:proofErr w:type="gramStart"/>
      <w:r w:rsidR="0084091B">
        <w:rPr>
          <w:rFonts w:ascii="Book Antiqua" w:hAnsi="Book Antiqua"/>
        </w:rPr>
        <w:t>B(</w:t>
      </w:r>
      <w:proofErr w:type="gramEnd"/>
      <w:r w:rsidR="0084091B">
        <w:rPr>
          <w:rFonts w:ascii="Book Antiqua" w:hAnsi="Book Antiqua"/>
        </w:rPr>
        <w:t xml:space="preserve">6) of the Nationality, Immigration and Asylum Act 2002. </w:t>
      </w:r>
    </w:p>
    <w:p w:rsidR="0084091B" w:rsidRDefault="0084091B" w:rsidP="00933B65">
      <w:pPr>
        <w:tabs>
          <w:tab w:val="left" w:pos="567"/>
        </w:tabs>
        <w:jc w:val="both"/>
        <w:rPr>
          <w:rFonts w:ascii="Book Antiqua" w:hAnsi="Book Antiqua" w:cs="Arial"/>
        </w:rPr>
      </w:pPr>
    </w:p>
    <w:p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t>Decision and reasons</w:t>
      </w:r>
    </w:p>
    <w:p w:rsidR="00405694" w:rsidRDefault="00405694" w:rsidP="00933B65">
      <w:pPr>
        <w:tabs>
          <w:tab w:val="left" w:pos="567"/>
        </w:tabs>
        <w:jc w:val="both"/>
        <w:rPr>
          <w:rFonts w:ascii="Book Antiqua" w:hAnsi="Book Antiqua" w:cs="Arial"/>
        </w:rPr>
      </w:pPr>
    </w:p>
    <w:p w:rsidR="00405694" w:rsidRDefault="00B6649E" w:rsidP="00D43764">
      <w:pPr>
        <w:tabs>
          <w:tab w:val="left" w:pos="567"/>
        </w:tabs>
        <w:ind w:left="564" w:hanging="564"/>
        <w:jc w:val="both"/>
        <w:rPr>
          <w:rFonts w:ascii="Book Antiqua" w:hAnsi="Book Antiqua" w:cs="Arial"/>
        </w:rPr>
      </w:pPr>
      <w:r>
        <w:rPr>
          <w:rFonts w:ascii="Book Antiqua" w:hAnsi="Book Antiqua" w:cs="Arial"/>
        </w:rPr>
        <w:t>3</w:t>
      </w:r>
      <w:r w:rsidR="0084091B">
        <w:rPr>
          <w:rFonts w:ascii="Book Antiqua" w:hAnsi="Book Antiqua" w:cs="Arial"/>
        </w:rPr>
        <w:t>.</w:t>
      </w:r>
      <w:r w:rsidR="0084091B">
        <w:rPr>
          <w:rFonts w:ascii="Book Antiqua" w:hAnsi="Book Antiqua" w:cs="Arial"/>
        </w:rPr>
        <w:tab/>
        <w:t>At the date of the resumed hearing, the appellant’s wife and child</w:t>
      </w:r>
      <w:r w:rsidR="00D43764">
        <w:rPr>
          <w:rFonts w:ascii="Book Antiqua" w:hAnsi="Book Antiqua" w:cs="Arial"/>
        </w:rPr>
        <w:t xml:space="preserve"> had recently been granted further leave to remain in the UK. Ms Holmes confirmed that she </w:t>
      </w:r>
      <w:r w:rsidR="007349EE">
        <w:rPr>
          <w:rFonts w:ascii="Book Antiqua" w:hAnsi="Book Antiqua" w:cs="Arial"/>
        </w:rPr>
        <w:t>was</w:t>
      </w:r>
      <w:r w:rsidR="00D43764">
        <w:rPr>
          <w:rFonts w:ascii="Book Antiqua" w:hAnsi="Book Antiqua" w:cs="Arial"/>
        </w:rPr>
        <w:t xml:space="preserve"> instructed to concede the appeal ‘subject to criminal records checks’. She said that the appellant’s wife </w:t>
      </w:r>
      <w:r w:rsidR="007349EE">
        <w:rPr>
          <w:rFonts w:ascii="Book Antiqua" w:hAnsi="Book Antiqua" w:cs="Arial"/>
        </w:rPr>
        <w:t>was</w:t>
      </w:r>
      <w:r w:rsidR="00D43764">
        <w:rPr>
          <w:rFonts w:ascii="Book Antiqua" w:hAnsi="Book Antiqua" w:cs="Arial"/>
        </w:rPr>
        <w:t xml:space="preserve"> granted further leave to remain because she is the mother of a British citizen child</w:t>
      </w:r>
      <w:r>
        <w:rPr>
          <w:rFonts w:ascii="Book Antiqua" w:hAnsi="Book Antiqua" w:cs="Arial"/>
        </w:rPr>
        <w:t xml:space="preserve"> (the first child)</w:t>
      </w:r>
      <w:r w:rsidR="00D43764">
        <w:rPr>
          <w:rFonts w:ascii="Book Antiqua" w:hAnsi="Book Antiqua" w:cs="Arial"/>
        </w:rPr>
        <w:t xml:space="preserve">. The second child was granted leave to remain in line with his mother. She said that it would be inconsistent not to </w:t>
      </w:r>
      <w:r>
        <w:rPr>
          <w:rFonts w:ascii="Book Antiqua" w:hAnsi="Book Antiqua" w:cs="Arial"/>
        </w:rPr>
        <w:t>grant the appellant leave to remain given that the</w:t>
      </w:r>
      <w:r w:rsidR="00D43764">
        <w:rPr>
          <w:rFonts w:ascii="Book Antiqua" w:hAnsi="Book Antiqua" w:cs="Arial"/>
        </w:rPr>
        <w:t xml:space="preserve"> First-tier Tribunal judge </w:t>
      </w:r>
      <w:r>
        <w:rPr>
          <w:rFonts w:ascii="Book Antiqua" w:hAnsi="Book Antiqua" w:cs="Arial"/>
        </w:rPr>
        <w:t>was</w:t>
      </w:r>
      <w:r w:rsidR="00D43764">
        <w:rPr>
          <w:rFonts w:ascii="Book Antiqua" w:hAnsi="Book Antiqua" w:cs="Arial"/>
        </w:rPr>
        <w:t xml:space="preserve"> satisfied that he had a ‘genuine and subsisting parental relationship’ with the </w:t>
      </w:r>
      <w:r w:rsidR="007349EE">
        <w:rPr>
          <w:rFonts w:ascii="Book Antiqua" w:hAnsi="Book Antiqua" w:cs="Arial"/>
        </w:rPr>
        <w:t xml:space="preserve">British </w:t>
      </w:r>
      <w:r w:rsidR="00D43764">
        <w:rPr>
          <w:rFonts w:ascii="Book Antiqua" w:hAnsi="Book Antiqua" w:cs="Arial"/>
        </w:rPr>
        <w:t xml:space="preserve">child albeit he is not the child’s biological father. Ms Holmes accepted that the evidence showed that the appellant formed part of the family unit and was responsible for looking after both children. </w:t>
      </w:r>
    </w:p>
    <w:p w:rsidR="00D43764" w:rsidRDefault="00D43764" w:rsidP="00D43764">
      <w:pPr>
        <w:tabs>
          <w:tab w:val="left" w:pos="567"/>
        </w:tabs>
        <w:ind w:left="564" w:hanging="564"/>
        <w:jc w:val="both"/>
        <w:rPr>
          <w:rFonts w:ascii="Book Antiqua" w:hAnsi="Book Antiqua" w:cs="Arial"/>
        </w:rPr>
      </w:pPr>
    </w:p>
    <w:p w:rsidR="00D43764" w:rsidRDefault="00B6649E" w:rsidP="00D43764">
      <w:pPr>
        <w:tabs>
          <w:tab w:val="left" w:pos="567"/>
        </w:tabs>
        <w:ind w:left="564" w:hanging="564"/>
        <w:jc w:val="both"/>
        <w:rPr>
          <w:rFonts w:ascii="Book Antiqua" w:hAnsi="Book Antiqua" w:cs="Arial"/>
        </w:rPr>
      </w:pPr>
      <w:r>
        <w:rPr>
          <w:rFonts w:ascii="Book Antiqua" w:hAnsi="Book Antiqua" w:cs="Arial"/>
        </w:rPr>
        <w:t>4</w:t>
      </w:r>
      <w:r w:rsidR="00D43764">
        <w:rPr>
          <w:rFonts w:ascii="Book Antiqua" w:hAnsi="Book Antiqua" w:cs="Arial"/>
        </w:rPr>
        <w:t>.</w:t>
      </w:r>
      <w:r w:rsidR="00D43764">
        <w:rPr>
          <w:rFonts w:ascii="Book Antiqua" w:hAnsi="Book Antiqua" w:cs="Arial"/>
        </w:rPr>
        <w:tab/>
        <w:t xml:space="preserve">A discussion followed as to the best way to </w:t>
      </w:r>
      <w:r>
        <w:rPr>
          <w:rFonts w:ascii="Book Antiqua" w:hAnsi="Book Antiqua" w:cs="Arial"/>
        </w:rPr>
        <w:t>proceed</w:t>
      </w:r>
      <w:r w:rsidR="00D43764">
        <w:rPr>
          <w:rFonts w:ascii="Book Antiqua" w:hAnsi="Book Antiqua" w:cs="Arial"/>
        </w:rPr>
        <w:t>. The respondent’s concession was qualified ‘subject to criminal records checks’</w:t>
      </w:r>
      <w:r>
        <w:rPr>
          <w:rFonts w:ascii="Book Antiqua" w:hAnsi="Book Antiqua" w:cs="Arial"/>
        </w:rPr>
        <w:t>. However, t</w:t>
      </w:r>
      <w:r w:rsidR="00D43764">
        <w:rPr>
          <w:rFonts w:ascii="Book Antiqua" w:hAnsi="Book Antiqua" w:cs="Arial"/>
        </w:rPr>
        <w:t xml:space="preserve">he core element of the appeal as to whether it would be ‘reasonable to expect the child to leave the UK’ </w:t>
      </w:r>
      <w:r w:rsidR="001509F4">
        <w:rPr>
          <w:rFonts w:ascii="Book Antiqua" w:hAnsi="Book Antiqua" w:cs="Arial"/>
        </w:rPr>
        <w:t>was</w:t>
      </w:r>
      <w:r w:rsidR="00D43764">
        <w:rPr>
          <w:rFonts w:ascii="Book Antiqua" w:hAnsi="Book Antiqua" w:cs="Arial"/>
        </w:rPr>
        <w:t xml:space="preserve"> conceded. It was accepted that </w:t>
      </w:r>
      <w:r>
        <w:rPr>
          <w:rFonts w:ascii="Book Antiqua" w:hAnsi="Book Antiqua" w:cs="Arial"/>
        </w:rPr>
        <w:t>it was in the</w:t>
      </w:r>
      <w:r w:rsidR="00D43764">
        <w:rPr>
          <w:rFonts w:ascii="Book Antiqua" w:hAnsi="Book Antiqua" w:cs="Arial"/>
        </w:rPr>
        <w:t xml:space="preserve"> best interests of the children to remain in the UK with their parents as a family unit. At the date of the hearing, the respondent had not adduced any evidence of criminal convictions that might outweigh the significant weight that should be given to the best interests of the children. After further discussion, I concluded that it was appropriate for the Upper Tribunal to determine the appeal in light of the concession. </w:t>
      </w:r>
      <w:r w:rsidR="007349EE">
        <w:rPr>
          <w:rFonts w:ascii="Book Antiqua" w:hAnsi="Book Antiqua" w:cs="Arial"/>
        </w:rPr>
        <w:t>The respondent can</w:t>
      </w:r>
      <w:r w:rsidR="00D43764">
        <w:rPr>
          <w:rFonts w:ascii="Book Antiqua" w:hAnsi="Book Antiqua" w:cs="Arial"/>
        </w:rPr>
        <w:t xml:space="preserve"> make checks before </w:t>
      </w:r>
      <w:r w:rsidR="007349EE">
        <w:rPr>
          <w:rFonts w:ascii="Book Antiqua" w:hAnsi="Book Antiqua" w:cs="Arial"/>
        </w:rPr>
        <w:t>granting</w:t>
      </w:r>
      <w:r w:rsidR="00D43764">
        <w:rPr>
          <w:rFonts w:ascii="Book Antiqua" w:hAnsi="Book Antiqua" w:cs="Arial"/>
        </w:rPr>
        <w:t xml:space="preserve"> le</w:t>
      </w:r>
      <w:r>
        <w:rPr>
          <w:rFonts w:ascii="Book Antiqua" w:hAnsi="Book Antiqua" w:cs="Arial"/>
        </w:rPr>
        <w:t xml:space="preserve">ave to remain. If checks disclose any significant public policy considerations, it is open to the respondent to make a further decision. However, on the evidence before the Upper Tribunal at the date of the hearing, it is conceded that the appellant’s removal in consequence of the decision would be unlawful under section 6 of the Human Rights Act 1998. </w:t>
      </w:r>
      <w:r w:rsidR="00D43764">
        <w:rPr>
          <w:rFonts w:ascii="Book Antiqua" w:hAnsi="Book Antiqua" w:cs="Arial"/>
        </w:rPr>
        <w:t xml:space="preserve"> </w:t>
      </w:r>
    </w:p>
    <w:p w:rsidR="00D43764" w:rsidRDefault="00D43764" w:rsidP="00D43764">
      <w:pPr>
        <w:tabs>
          <w:tab w:val="left" w:pos="567"/>
        </w:tabs>
        <w:ind w:left="564" w:hanging="564"/>
        <w:jc w:val="both"/>
        <w:rPr>
          <w:rFonts w:ascii="Book Antiqua" w:hAnsi="Book Antiqua" w:cs="Arial"/>
        </w:rPr>
      </w:pPr>
    </w:p>
    <w:p w:rsidR="00D43764" w:rsidRPr="00D43764" w:rsidRDefault="00D43764" w:rsidP="00D43764">
      <w:pPr>
        <w:tabs>
          <w:tab w:val="left" w:pos="567"/>
        </w:tabs>
        <w:ind w:left="564" w:hanging="564"/>
        <w:jc w:val="both"/>
        <w:rPr>
          <w:rFonts w:ascii="Book Antiqua" w:hAnsi="Book Antiqua" w:cs="Arial"/>
          <w:b/>
          <w:u w:val="single"/>
        </w:rPr>
      </w:pPr>
      <w:r w:rsidRPr="00D43764">
        <w:rPr>
          <w:rFonts w:ascii="Book Antiqua" w:hAnsi="Book Antiqua" w:cs="Arial"/>
          <w:b/>
          <w:u w:val="single"/>
        </w:rPr>
        <w:t>DECISION</w:t>
      </w:r>
    </w:p>
    <w:p w:rsidR="00D43764" w:rsidRDefault="00D43764" w:rsidP="00D43764">
      <w:pPr>
        <w:tabs>
          <w:tab w:val="left" w:pos="567"/>
        </w:tabs>
        <w:ind w:left="564" w:hanging="564"/>
        <w:jc w:val="both"/>
        <w:rPr>
          <w:rFonts w:ascii="Book Antiqua" w:hAnsi="Book Antiqua" w:cs="Arial"/>
        </w:rPr>
      </w:pPr>
    </w:p>
    <w:p w:rsidR="00405694" w:rsidRDefault="00B6649E" w:rsidP="00933B65">
      <w:pPr>
        <w:tabs>
          <w:tab w:val="left" w:pos="567"/>
        </w:tabs>
        <w:jc w:val="both"/>
        <w:rPr>
          <w:rFonts w:ascii="Book Antiqua" w:hAnsi="Book Antiqua" w:cs="Arial"/>
        </w:rPr>
      </w:pPr>
      <w:r>
        <w:rPr>
          <w:rFonts w:ascii="Book Antiqua" w:hAnsi="Book Antiqua" w:cs="Arial"/>
        </w:rPr>
        <w:t>The appeal is ALLOWED</w:t>
      </w:r>
    </w:p>
    <w:p w:rsidR="00B6649E" w:rsidRDefault="00B6649E"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510A66" w:rsidRPr="000A38E1">
        <w:rPr>
          <w:rFonts w:ascii="Book Antiqua" w:hAnsi="Book Antiqua" w:cs="Arial"/>
          <w:noProof/>
        </w:rPr>
        <w:drawing>
          <wp:inline distT="0" distB="0" distL="0" distR="0">
            <wp:extent cx="1381125" cy="3714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sidR="00A57676">
        <w:rPr>
          <w:rFonts w:ascii="Book Antiqua" w:hAnsi="Book Antiqua" w:cs="Arial"/>
        </w:rPr>
        <w:tab/>
      </w:r>
      <w:proofErr w:type="gramStart"/>
      <w:r>
        <w:rPr>
          <w:rFonts w:ascii="Book Antiqua" w:hAnsi="Book Antiqua" w:cs="Arial"/>
        </w:rPr>
        <w:t>Date</w:t>
      </w:r>
      <w:r w:rsidR="00056E7C">
        <w:rPr>
          <w:rFonts w:ascii="Book Antiqua" w:hAnsi="Book Antiqua" w:cs="Arial"/>
        </w:rPr>
        <w:t xml:space="preserve"> </w:t>
      </w:r>
      <w:r w:rsidR="00D43764">
        <w:rPr>
          <w:rFonts w:ascii="Book Antiqua" w:hAnsi="Book Antiqua" w:cs="Arial"/>
        </w:rPr>
        <w:t xml:space="preserve"> 16</w:t>
      </w:r>
      <w:proofErr w:type="gramEnd"/>
      <w:r w:rsidR="00D43764">
        <w:rPr>
          <w:rFonts w:ascii="Book Antiqua" w:hAnsi="Book Antiqua" w:cs="Arial"/>
        </w:rPr>
        <w:t xml:space="preserve"> May 2018</w:t>
      </w:r>
    </w:p>
    <w:p w:rsidR="001509F4" w:rsidRDefault="001509F4" w:rsidP="00933B65">
      <w:pPr>
        <w:tabs>
          <w:tab w:val="left" w:pos="567"/>
        </w:tabs>
        <w:jc w:val="both"/>
        <w:rPr>
          <w:rFonts w:ascii="Book Antiqua" w:hAnsi="Book Antiqua" w:cs="Arial"/>
        </w:rPr>
      </w:pP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4C27C7" w:rsidRDefault="004C27C7">
      <w:pPr>
        <w:rPr>
          <w:rFonts w:ascii="Book Antiqua" w:hAnsi="Book Antiqua" w:cs="Arial"/>
        </w:rPr>
      </w:pPr>
    </w:p>
    <w:p w:rsidR="004C27C7" w:rsidRDefault="004C27C7">
      <w:pPr>
        <w:rPr>
          <w:rFonts w:ascii="Book Antiqua" w:hAnsi="Book Antiqua" w:cs="Arial"/>
        </w:rPr>
      </w:pPr>
    </w:p>
    <w:p w:rsidR="004C27C7" w:rsidRDefault="004C27C7">
      <w:pPr>
        <w:rPr>
          <w:rFonts w:ascii="Book Antiqua" w:hAnsi="Book Antiqua" w:cs="Arial"/>
        </w:rPr>
        <w:sectPr w:rsidR="004C27C7"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pPr>
    </w:p>
    <w:p w:rsidR="00B6649E" w:rsidRDefault="00B6649E" w:rsidP="00F73B6F">
      <w:pPr>
        <w:tabs>
          <w:tab w:val="left" w:pos="567"/>
        </w:tabs>
        <w:jc w:val="both"/>
        <w:rPr>
          <w:rFonts w:ascii="Arial" w:hAnsi="Arial" w:cs="Arial"/>
          <w:b/>
          <w:sz w:val="28"/>
          <w:szCs w:val="28"/>
          <w:u w:val="single"/>
        </w:rPr>
      </w:pPr>
    </w:p>
    <w:p w:rsidR="008832E8" w:rsidRDefault="00F73B6F" w:rsidP="00F73B6F">
      <w:pPr>
        <w:tabs>
          <w:tab w:val="left" w:pos="567"/>
        </w:tabs>
        <w:jc w:val="both"/>
        <w:rPr>
          <w:rFonts w:ascii="Arial" w:hAnsi="Arial" w:cs="Arial"/>
          <w:b/>
          <w:sz w:val="28"/>
          <w:szCs w:val="28"/>
          <w:u w:val="single"/>
        </w:rPr>
      </w:pPr>
      <w:r w:rsidRPr="00F73B6F">
        <w:rPr>
          <w:rFonts w:ascii="Arial" w:hAnsi="Arial" w:cs="Arial"/>
          <w:b/>
          <w:sz w:val="28"/>
          <w:szCs w:val="28"/>
          <w:u w:val="single"/>
        </w:rPr>
        <w:t>ANNEX</w:t>
      </w:r>
    </w:p>
    <w:p w:rsidR="00F73B6F" w:rsidRDefault="00F73B6F" w:rsidP="00F73B6F">
      <w:pPr>
        <w:tabs>
          <w:tab w:val="left" w:pos="567"/>
        </w:tabs>
        <w:jc w:val="both"/>
        <w:rPr>
          <w:rFonts w:ascii="Arial" w:hAnsi="Arial" w:cs="Arial"/>
          <w:b/>
          <w:sz w:val="28"/>
          <w:szCs w:val="28"/>
          <w:u w:val="single"/>
        </w:rPr>
      </w:pPr>
    </w:p>
    <w:p w:rsidR="00F73B6F" w:rsidRDefault="00510A66" w:rsidP="00F73B6F">
      <w:pPr>
        <w:jc w:val="center"/>
        <w:rPr>
          <w:rFonts w:ascii="Book Antiqua" w:hAnsi="Book Antiqua" w:cs="Arial"/>
          <w:color w:val="000000"/>
        </w:rPr>
      </w:pPr>
      <w:r>
        <w:rPr>
          <w:noProof/>
        </w:rPr>
        <w:drawing>
          <wp:inline distT="0" distB="0" distL="0" distR="0">
            <wp:extent cx="1495425" cy="1133475"/>
            <wp:effectExtent l="0" t="0" r="0" b="0"/>
            <wp:docPr id="3" name="Picture 3"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F73B6F" w:rsidRPr="00F97703" w:rsidRDefault="00F73B6F" w:rsidP="00F73B6F">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F73B6F" w:rsidRPr="00F97703" w:rsidRDefault="00F73B6F" w:rsidP="00F73B6F">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Pr>
          <w:rFonts w:ascii="Book Antiqua" w:hAnsi="Book Antiqua" w:cs="Arial"/>
          <w:color w:val="000000"/>
        </w:rPr>
        <w:t>HU/14492/2016</w:t>
      </w:r>
    </w:p>
    <w:p w:rsidR="00F73B6F" w:rsidRPr="00F97703" w:rsidRDefault="00F73B6F" w:rsidP="00F73B6F">
      <w:pPr>
        <w:jc w:val="center"/>
        <w:rPr>
          <w:rFonts w:ascii="Book Antiqua" w:hAnsi="Book Antiqua" w:cs="Arial"/>
          <w:color w:val="000000"/>
        </w:rPr>
      </w:pPr>
    </w:p>
    <w:p w:rsidR="00F73B6F" w:rsidRPr="00F97703" w:rsidRDefault="00F73B6F" w:rsidP="00F73B6F">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F73B6F" w:rsidRPr="00F97703" w:rsidRDefault="00F73B6F" w:rsidP="00F73B6F">
      <w:pPr>
        <w:jc w:val="center"/>
        <w:rPr>
          <w:rFonts w:ascii="Book Antiqua" w:hAnsi="Book Antiqua" w:cs="Arial"/>
          <w:b/>
          <w:u w:val="single"/>
        </w:rPr>
      </w:pPr>
    </w:p>
    <w:tbl>
      <w:tblPr>
        <w:tblW w:w="0" w:type="auto"/>
        <w:tblLook w:val="01E0" w:firstRow="1" w:lastRow="1" w:firstColumn="1" w:lastColumn="1" w:noHBand="0" w:noVBand="0"/>
      </w:tblPr>
      <w:tblGrid>
        <w:gridCol w:w="5874"/>
        <w:gridCol w:w="3764"/>
      </w:tblGrid>
      <w:tr w:rsidR="00F73B6F" w:rsidRPr="00AB1DC6" w:rsidTr="00B92FC1">
        <w:tc>
          <w:tcPr>
            <w:tcW w:w="6048" w:type="dxa"/>
            <w:shd w:val="clear" w:color="auto" w:fill="auto"/>
          </w:tcPr>
          <w:p w:rsidR="00F73B6F" w:rsidRPr="00AB1DC6" w:rsidRDefault="00F73B6F" w:rsidP="00B92FC1">
            <w:pPr>
              <w:jc w:val="both"/>
              <w:rPr>
                <w:rFonts w:ascii="Book Antiqua" w:hAnsi="Book Antiqua" w:cs="Arial"/>
                <w:b/>
              </w:rPr>
            </w:pPr>
            <w:r w:rsidRPr="00AB1DC6">
              <w:rPr>
                <w:rFonts w:ascii="Book Antiqua" w:hAnsi="Book Antiqua" w:cs="Arial"/>
                <w:b/>
              </w:rPr>
              <w:t>Heard at Field House</w:t>
            </w:r>
          </w:p>
        </w:tc>
        <w:tc>
          <w:tcPr>
            <w:tcW w:w="3780" w:type="dxa"/>
            <w:shd w:val="clear" w:color="auto" w:fill="auto"/>
          </w:tcPr>
          <w:p w:rsidR="00F73B6F" w:rsidRPr="00AB1DC6" w:rsidRDefault="00F73B6F" w:rsidP="00B92FC1">
            <w:pPr>
              <w:jc w:val="both"/>
              <w:rPr>
                <w:rFonts w:ascii="Book Antiqua" w:hAnsi="Book Antiqua" w:cs="Arial"/>
                <w:b/>
                <w:color w:val="000000"/>
              </w:rPr>
            </w:pPr>
            <w:r w:rsidRPr="00AB1DC6">
              <w:rPr>
                <w:rFonts w:ascii="Book Antiqua" w:hAnsi="Book Antiqua" w:cs="Arial"/>
                <w:b/>
                <w:color w:val="000000"/>
              </w:rPr>
              <w:t>Decision Promulgated</w:t>
            </w:r>
          </w:p>
        </w:tc>
      </w:tr>
      <w:tr w:rsidR="00F73B6F" w:rsidRPr="00AB1DC6" w:rsidTr="00B92FC1">
        <w:tc>
          <w:tcPr>
            <w:tcW w:w="6048" w:type="dxa"/>
            <w:shd w:val="clear" w:color="auto" w:fill="auto"/>
          </w:tcPr>
          <w:p w:rsidR="00F73B6F" w:rsidRPr="00AB1DC6" w:rsidRDefault="00F73B6F" w:rsidP="00B92FC1">
            <w:pPr>
              <w:jc w:val="both"/>
              <w:rPr>
                <w:rFonts w:ascii="Book Antiqua" w:hAnsi="Book Antiqua" w:cs="Arial"/>
                <w:b/>
              </w:rPr>
            </w:pPr>
            <w:r w:rsidRPr="00AB1DC6">
              <w:rPr>
                <w:rFonts w:ascii="Book Antiqua" w:hAnsi="Book Antiqua" w:cs="Arial"/>
                <w:b/>
              </w:rPr>
              <w:t xml:space="preserve">On </w:t>
            </w:r>
            <w:r>
              <w:rPr>
                <w:rFonts w:ascii="Book Antiqua" w:hAnsi="Book Antiqua" w:cs="Arial"/>
                <w:b/>
              </w:rPr>
              <w:t>14 February 2018</w:t>
            </w:r>
          </w:p>
        </w:tc>
        <w:tc>
          <w:tcPr>
            <w:tcW w:w="3780" w:type="dxa"/>
            <w:shd w:val="clear" w:color="auto" w:fill="auto"/>
          </w:tcPr>
          <w:p w:rsidR="00F73B6F" w:rsidRPr="00AB1DC6" w:rsidRDefault="00F73B6F" w:rsidP="00B92FC1">
            <w:pPr>
              <w:jc w:val="both"/>
              <w:rPr>
                <w:rFonts w:ascii="Book Antiqua" w:hAnsi="Book Antiqua" w:cs="Arial"/>
                <w:b/>
              </w:rPr>
            </w:pPr>
          </w:p>
        </w:tc>
      </w:tr>
      <w:tr w:rsidR="00F73B6F" w:rsidRPr="00AB1DC6" w:rsidTr="00B92FC1">
        <w:tc>
          <w:tcPr>
            <w:tcW w:w="6048" w:type="dxa"/>
            <w:shd w:val="clear" w:color="auto" w:fill="auto"/>
          </w:tcPr>
          <w:p w:rsidR="00F73B6F" w:rsidRPr="00AB1DC6" w:rsidRDefault="00F73B6F" w:rsidP="00B92FC1">
            <w:pPr>
              <w:jc w:val="both"/>
              <w:rPr>
                <w:rFonts w:ascii="Book Antiqua" w:hAnsi="Book Antiqua" w:cs="Arial"/>
                <w:b/>
              </w:rPr>
            </w:pPr>
          </w:p>
        </w:tc>
        <w:tc>
          <w:tcPr>
            <w:tcW w:w="3780" w:type="dxa"/>
            <w:shd w:val="clear" w:color="auto" w:fill="auto"/>
          </w:tcPr>
          <w:p w:rsidR="00F73B6F" w:rsidRPr="00AB1DC6" w:rsidRDefault="00F73B6F" w:rsidP="00B92FC1">
            <w:pPr>
              <w:jc w:val="both"/>
              <w:rPr>
                <w:rFonts w:ascii="Book Antiqua" w:hAnsi="Book Antiqua" w:cs="Arial"/>
                <w:b/>
              </w:rPr>
            </w:pPr>
            <w:r w:rsidRPr="00AB1DC6">
              <w:rPr>
                <w:rFonts w:ascii="Book Antiqua" w:hAnsi="Book Antiqua" w:cs="Arial"/>
              </w:rPr>
              <w:t>…………………………………</w:t>
            </w:r>
          </w:p>
        </w:tc>
      </w:tr>
    </w:tbl>
    <w:p w:rsidR="00F73B6F" w:rsidRPr="00F97703" w:rsidRDefault="00F73B6F" w:rsidP="00F73B6F">
      <w:pPr>
        <w:jc w:val="center"/>
        <w:rPr>
          <w:rFonts w:ascii="Book Antiqua" w:hAnsi="Book Antiqua" w:cs="Arial"/>
          <w:b/>
          <w:u w:val="single"/>
        </w:rPr>
      </w:pPr>
    </w:p>
    <w:p w:rsidR="00F73B6F" w:rsidRPr="00F97703" w:rsidRDefault="00F73B6F" w:rsidP="00F73B6F">
      <w:pPr>
        <w:jc w:val="center"/>
        <w:rPr>
          <w:rFonts w:ascii="Book Antiqua" w:hAnsi="Book Antiqua" w:cs="Arial"/>
          <w:b/>
        </w:rPr>
      </w:pPr>
      <w:r w:rsidRPr="00F97703">
        <w:rPr>
          <w:rFonts w:ascii="Book Antiqua" w:hAnsi="Book Antiqua" w:cs="Arial"/>
          <w:b/>
        </w:rPr>
        <w:t>Before</w:t>
      </w:r>
    </w:p>
    <w:p w:rsidR="00F73B6F" w:rsidRDefault="00F73B6F" w:rsidP="00F73B6F">
      <w:pPr>
        <w:jc w:val="center"/>
        <w:rPr>
          <w:rFonts w:ascii="Book Antiqua" w:hAnsi="Book Antiqua" w:cs="Arial"/>
          <w:b/>
        </w:rPr>
      </w:pPr>
    </w:p>
    <w:p w:rsidR="00F73B6F" w:rsidRPr="00F97703" w:rsidRDefault="00F73B6F" w:rsidP="00F73B6F">
      <w:pPr>
        <w:jc w:val="center"/>
        <w:rPr>
          <w:rFonts w:ascii="Book Antiqua" w:hAnsi="Book Antiqua" w:cs="Arial"/>
          <w:b/>
          <w:color w:val="000000"/>
        </w:rPr>
      </w:pPr>
      <w:r>
        <w:rPr>
          <w:rFonts w:ascii="Book Antiqua" w:hAnsi="Book Antiqua" w:cs="Arial"/>
          <w:b/>
          <w:color w:val="000000"/>
        </w:rPr>
        <w:t>UPPER TRIBUNAL JUDGE CANAVAN</w:t>
      </w:r>
    </w:p>
    <w:p w:rsidR="00F73B6F" w:rsidRDefault="00F73B6F" w:rsidP="00F73B6F">
      <w:pPr>
        <w:jc w:val="center"/>
        <w:rPr>
          <w:rFonts w:ascii="Book Antiqua" w:hAnsi="Book Antiqua" w:cs="Arial"/>
          <w:b/>
        </w:rPr>
      </w:pPr>
    </w:p>
    <w:p w:rsidR="00F73B6F" w:rsidRPr="00F97703" w:rsidRDefault="00F73B6F" w:rsidP="00F73B6F">
      <w:pPr>
        <w:jc w:val="center"/>
        <w:rPr>
          <w:rFonts w:ascii="Book Antiqua" w:hAnsi="Book Antiqua" w:cs="Arial"/>
          <w:b/>
        </w:rPr>
      </w:pPr>
    </w:p>
    <w:p w:rsidR="00F73B6F" w:rsidRDefault="00F73B6F" w:rsidP="00F73B6F">
      <w:pPr>
        <w:jc w:val="center"/>
        <w:rPr>
          <w:rFonts w:ascii="Book Antiqua" w:hAnsi="Book Antiqua" w:cs="Arial"/>
          <w:b/>
        </w:rPr>
      </w:pPr>
      <w:r w:rsidRPr="00F97703">
        <w:rPr>
          <w:rFonts w:ascii="Book Antiqua" w:hAnsi="Book Antiqua" w:cs="Arial"/>
          <w:b/>
        </w:rPr>
        <w:t>Between</w:t>
      </w:r>
    </w:p>
    <w:p w:rsidR="00F73B6F" w:rsidRDefault="00F73B6F" w:rsidP="00F73B6F">
      <w:pPr>
        <w:jc w:val="center"/>
        <w:rPr>
          <w:rFonts w:ascii="Book Antiqua" w:hAnsi="Book Antiqua" w:cs="Arial"/>
          <w:b/>
        </w:rPr>
      </w:pPr>
    </w:p>
    <w:p w:rsidR="00F73B6F" w:rsidRDefault="00F73B6F" w:rsidP="00F73B6F">
      <w:pPr>
        <w:jc w:val="center"/>
        <w:rPr>
          <w:rFonts w:ascii="Book Antiqua" w:hAnsi="Book Antiqua" w:cs="Arial"/>
          <w:b/>
        </w:rPr>
      </w:pPr>
    </w:p>
    <w:p w:rsidR="00F73B6F" w:rsidRDefault="00F73B6F" w:rsidP="00F73B6F">
      <w:pPr>
        <w:jc w:val="center"/>
        <w:rPr>
          <w:rFonts w:ascii="Book Antiqua" w:hAnsi="Book Antiqua" w:cs="Arial"/>
          <w:b/>
        </w:rPr>
      </w:pPr>
      <w:r>
        <w:rPr>
          <w:rFonts w:ascii="Book Antiqua" w:hAnsi="Book Antiqua" w:cs="Arial"/>
          <w:b/>
        </w:rPr>
        <w:t xml:space="preserve">HUNG </w:t>
      </w:r>
      <w:r w:rsidR="004C27C7">
        <w:rPr>
          <w:rFonts w:ascii="Book Antiqua" w:hAnsi="Book Antiqua" w:cs="Arial"/>
          <w:b/>
        </w:rPr>
        <w:t>[</w:t>
      </w:r>
      <w:r>
        <w:rPr>
          <w:rFonts w:ascii="Book Antiqua" w:hAnsi="Book Antiqua" w:cs="Arial"/>
          <w:b/>
        </w:rPr>
        <w:t>P</w:t>
      </w:r>
      <w:r w:rsidR="004C27C7">
        <w:rPr>
          <w:rFonts w:ascii="Book Antiqua" w:hAnsi="Book Antiqua" w:cs="Arial"/>
          <w:b/>
        </w:rPr>
        <w:t>]</w:t>
      </w:r>
    </w:p>
    <w:p w:rsidR="00F73B6F" w:rsidRDefault="00F73B6F" w:rsidP="00F73B6F">
      <w:pPr>
        <w:jc w:val="right"/>
        <w:rPr>
          <w:rFonts w:ascii="Book Antiqua" w:hAnsi="Book Antiqua" w:cs="Arial"/>
          <w:u w:val="single"/>
        </w:rPr>
      </w:pPr>
      <w:r w:rsidRPr="00F97703">
        <w:rPr>
          <w:rFonts w:ascii="Book Antiqua" w:hAnsi="Book Antiqua" w:cs="Arial"/>
          <w:u w:val="single"/>
        </w:rPr>
        <w:t>Appellant</w:t>
      </w:r>
    </w:p>
    <w:p w:rsidR="00F73B6F" w:rsidRPr="00F97703" w:rsidRDefault="00F73B6F" w:rsidP="00F73B6F">
      <w:pPr>
        <w:jc w:val="right"/>
        <w:rPr>
          <w:rFonts w:ascii="Book Antiqua" w:hAnsi="Book Antiqua" w:cs="Arial"/>
          <w:u w:val="single"/>
        </w:rPr>
      </w:pPr>
    </w:p>
    <w:p w:rsidR="00F73B6F" w:rsidRPr="00F97703" w:rsidRDefault="00F73B6F" w:rsidP="00F73B6F">
      <w:pPr>
        <w:jc w:val="center"/>
        <w:rPr>
          <w:rFonts w:ascii="Book Antiqua" w:hAnsi="Book Antiqua" w:cs="Arial"/>
          <w:b/>
        </w:rPr>
      </w:pPr>
      <w:r w:rsidRPr="00F97703">
        <w:rPr>
          <w:rFonts w:ascii="Book Antiqua" w:hAnsi="Book Antiqua" w:cs="Arial"/>
          <w:b/>
        </w:rPr>
        <w:t>and</w:t>
      </w:r>
    </w:p>
    <w:p w:rsidR="00F73B6F" w:rsidRDefault="00F73B6F" w:rsidP="00F73B6F">
      <w:pPr>
        <w:jc w:val="center"/>
        <w:rPr>
          <w:rFonts w:ascii="Book Antiqua" w:hAnsi="Book Antiqua" w:cs="Arial"/>
          <w:b/>
        </w:rPr>
      </w:pPr>
    </w:p>
    <w:p w:rsidR="00F73B6F" w:rsidRPr="00F97703" w:rsidRDefault="00F73B6F" w:rsidP="00F73B6F">
      <w:pPr>
        <w:jc w:val="center"/>
        <w:rPr>
          <w:rFonts w:ascii="Book Antiqua" w:hAnsi="Book Antiqua" w:cs="Arial"/>
          <w:b/>
        </w:rPr>
      </w:pPr>
    </w:p>
    <w:p w:rsidR="00F73B6F" w:rsidRPr="00F97703" w:rsidRDefault="00F73B6F" w:rsidP="00F73B6F">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p>
    <w:p w:rsidR="00F73B6F" w:rsidRPr="00BF5020" w:rsidRDefault="00F73B6F" w:rsidP="00F73B6F">
      <w:pPr>
        <w:jc w:val="right"/>
        <w:rPr>
          <w:rFonts w:ascii="Book Antiqua" w:hAnsi="Book Antiqua" w:cs="Arial"/>
          <w:u w:val="single"/>
        </w:rPr>
      </w:pPr>
      <w:r w:rsidRPr="00F97703">
        <w:rPr>
          <w:rFonts w:ascii="Book Antiqua" w:hAnsi="Book Antiqua" w:cs="Arial"/>
          <w:u w:val="single"/>
        </w:rPr>
        <w:t>Respondent</w:t>
      </w:r>
      <w:r w:rsidRPr="00010B88">
        <w:rPr>
          <w:rFonts w:ascii="Book Antiqua" w:hAnsi="Book Antiqua" w:cs="Arial"/>
        </w:rPr>
        <w:t xml:space="preserve"> </w:t>
      </w:r>
    </w:p>
    <w:p w:rsidR="00F73B6F" w:rsidRDefault="00F73B6F" w:rsidP="00F73B6F">
      <w:pPr>
        <w:rPr>
          <w:rFonts w:ascii="Book Antiqua" w:hAnsi="Book Antiqua" w:cs="Arial"/>
          <w:u w:val="single"/>
        </w:rPr>
      </w:pPr>
    </w:p>
    <w:p w:rsidR="00F73B6F" w:rsidRDefault="00F73B6F" w:rsidP="00F73B6F">
      <w:pPr>
        <w:rPr>
          <w:rFonts w:ascii="Book Antiqua" w:hAnsi="Book Antiqua" w:cs="Arial"/>
          <w:b/>
          <w:u w:val="single"/>
        </w:rPr>
      </w:pPr>
      <w:r w:rsidRPr="00405694">
        <w:rPr>
          <w:rFonts w:ascii="Book Antiqua" w:hAnsi="Book Antiqua" w:cs="Arial"/>
          <w:b/>
          <w:u w:val="single"/>
        </w:rPr>
        <w:t>Representation:</w:t>
      </w:r>
    </w:p>
    <w:p w:rsidR="00F73B6F" w:rsidRDefault="00F73B6F" w:rsidP="00F73B6F">
      <w:pPr>
        <w:rPr>
          <w:rFonts w:ascii="Book Antiqua" w:hAnsi="Book Antiqua" w:cs="Arial"/>
        </w:rPr>
      </w:pPr>
    </w:p>
    <w:p w:rsidR="00F73B6F" w:rsidRDefault="00F73B6F" w:rsidP="00F73B6F">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t xml:space="preserve">Mr R. </w:t>
      </w:r>
      <w:proofErr w:type="spellStart"/>
      <w:r>
        <w:rPr>
          <w:rFonts w:ascii="Book Antiqua" w:hAnsi="Book Antiqua" w:cs="Arial"/>
        </w:rPr>
        <w:t>Jesurum</w:t>
      </w:r>
      <w:proofErr w:type="spellEnd"/>
      <w:r>
        <w:rPr>
          <w:rFonts w:ascii="Book Antiqua" w:hAnsi="Book Antiqua" w:cs="Arial"/>
        </w:rPr>
        <w:t>, Counsel</w:t>
      </w:r>
    </w:p>
    <w:p w:rsidR="00F73B6F" w:rsidRDefault="00F73B6F" w:rsidP="00F73B6F">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t xml:space="preserve">Ms A. Everett, Senior Home Office Presenting Officer </w:t>
      </w:r>
    </w:p>
    <w:p w:rsidR="00F73B6F" w:rsidRPr="00405694" w:rsidRDefault="00F73B6F" w:rsidP="00F73B6F">
      <w:pPr>
        <w:rPr>
          <w:rFonts w:ascii="Book Antiqua" w:hAnsi="Book Antiqua" w:cs="Arial"/>
        </w:rPr>
      </w:pPr>
    </w:p>
    <w:p w:rsidR="00F73B6F" w:rsidRDefault="00F73B6F" w:rsidP="00F73B6F">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F73B6F" w:rsidRDefault="00F73B6F" w:rsidP="00F73B6F">
      <w:pPr>
        <w:tabs>
          <w:tab w:val="left" w:pos="567"/>
        </w:tabs>
        <w:jc w:val="both"/>
        <w:rPr>
          <w:rFonts w:ascii="Book Antiqua" w:hAnsi="Book Antiqua" w:cs="Arial"/>
        </w:rPr>
      </w:pPr>
    </w:p>
    <w:p w:rsidR="00F73B6F" w:rsidRPr="00723195" w:rsidRDefault="00F73B6F" w:rsidP="00F73B6F">
      <w:pPr>
        <w:pStyle w:val="NormalWeb"/>
        <w:spacing w:before="2" w:after="2"/>
        <w:ind w:left="720" w:hanging="720"/>
        <w:jc w:val="both"/>
        <w:rPr>
          <w:rStyle w:val="apple-converted-space"/>
          <w:rFonts w:ascii="Calibri" w:hAnsi="Calibri"/>
          <w:sz w:val="24"/>
          <w:szCs w:val="24"/>
          <w:lang w:val="en-US"/>
        </w:rPr>
      </w:pPr>
      <w:r w:rsidRPr="00BA2C37">
        <w:rPr>
          <w:rFonts w:ascii="Book Antiqua" w:hAnsi="Book Antiqua"/>
          <w:color w:val="000000"/>
          <w:sz w:val="24"/>
        </w:rPr>
        <w:t xml:space="preserve">1. </w:t>
      </w:r>
      <w:r w:rsidRPr="00BA2C37">
        <w:rPr>
          <w:rFonts w:ascii="Book Antiqua" w:hAnsi="Book Antiqua"/>
          <w:color w:val="000000"/>
          <w:sz w:val="24"/>
        </w:rPr>
        <w:tab/>
        <w:t xml:space="preserve">The appellant appealed the respondent’s decision to refuse a human rights claim. In a decision promulgated on 09 November 2017 First-tier Tribunal Judge </w:t>
      </w:r>
      <w:r w:rsidR="004C27C7">
        <w:rPr>
          <w:rFonts w:ascii="Book Antiqua" w:hAnsi="Book Antiqua"/>
          <w:color w:val="000000"/>
          <w:sz w:val="24"/>
        </w:rPr>
        <w:t>C.A.S.</w:t>
      </w:r>
      <w:r w:rsidRPr="00BA2C37">
        <w:rPr>
          <w:rFonts w:ascii="Book Antiqua" w:hAnsi="Book Antiqua"/>
          <w:color w:val="000000"/>
          <w:sz w:val="24"/>
        </w:rPr>
        <w:t xml:space="preserve"> </w:t>
      </w:r>
      <w:proofErr w:type="spellStart"/>
      <w:r w:rsidRPr="00BA2C37">
        <w:rPr>
          <w:rFonts w:ascii="Book Antiqua" w:hAnsi="Book Antiqua"/>
          <w:color w:val="000000"/>
          <w:sz w:val="24"/>
        </w:rPr>
        <w:t>O’Garro</w:t>
      </w:r>
      <w:proofErr w:type="spellEnd"/>
      <w:r w:rsidRPr="00BA2C37">
        <w:rPr>
          <w:rFonts w:ascii="Book Antiqua" w:hAnsi="Book Antiqua"/>
          <w:color w:val="000000"/>
          <w:sz w:val="24"/>
        </w:rPr>
        <w:t xml:space="preserve"> (“the judge”) dismissed the appeal.</w:t>
      </w:r>
      <w:r w:rsidRPr="00BA2C37">
        <w:rPr>
          <w:rStyle w:val="apple-converted-space"/>
          <w:rFonts w:ascii="Book Antiqua" w:hAnsi="Book Antiqua"/>
          <w:color w:val="000000"/>
          <w:sz w:val="24"/>
        </w:rPr>
        <w:t> </w:t>
      </w:r>
    </w:p>
    <w:p w:rsidR="00F73B6F" w:rsidRPr="00BA2C37" w:rsidRDefault="00F73B6F" w:rsidP="00F73B6F">
      <w:pPr>
        <w:pStyle w:val="NormalWeb"/>
        <w:spacing w:before="2" w:after="2"/>
        <w:ind w:left="720" w:hanging="720"/>
        <w:jc w:val="both"/>
        <w:rPr>
          <w:rFonts w:ascii="Book Antiqua" w:hAnsi="Book Antiqua"/>
          <w:color w:val="000000"/>
          <w:sz w:val="24"/>
        </w:rPr>
      </w:pPr>
    </w:p>
    <w:p w:rsidR="00F73B6F" w:rsidRPr="00BA2C37" w:rsidRDefault="00F73B6F" w:rsidP="00F73B6F">
      <w:pPr>
        <w:pStyle w:val="NormalWeb"/>
        <w:spacing w:before="2" w:after="2"/>
        <w:ind w:left="720" w:hanging="720"/>
        <w:jc w:val="both"/>
        <w:rPr>
          <w:rFonts w:ascii="Book Antiqua" w:hAnsi="Book Antiqua"/>
          <w:color w:val="000000"/>
          <w:sz w:val="24"/>
        </w:rPr>
      </w:pPr>
      <w:r w:rsidRPr="00BA2C37">
        <w:rPr>
          <w:rFonts w:ascii="Book Antiqua" w:hAnsi="Book Antiqua"/>
          <w:color w:val="000000"/>
          <w:sz w:val="24"/>
        </w:rPr>
        <w:lastRenderedPageBreak/>
        <w:t xml:space="preserve">2. </w:t>
      </w:r>
      <w:r w:rsidRPr="00BA2C37">
        <w:rPr>
          <w:rFonts w:ascii="Book Antiqua" w:hAnsi="Book Antiqua"/>
          <w:color w:val="000000"/>
          <w:sz w:val="24"/>
        </w:rPr>
        <w:tab/>
        <w:t>The factual matrix of the claim was not in dispute. The judge accepted that the appellant was married to a person with Discretionary Leave to Remain (DLR) until 29 January 2018. She also accepted that the appellant had a genuine and subsisting parental relationship with their 2-year-old daughter and had a relationship akin to a</w:t>
      </w:r>
      <w:r w:rsidRPr="00BA2C37">
        <w:rPr>
          <w:rStyle w:val="apple-converted-space"/>
          <w:rFonts w:ascii="Book Antiqua" w:hAnsi="Book Antiqua"/>
          <w:color w:val="000000"/>
          <w:sz w:val="24"/>
        </w:rPr>
        <w:t> parental</w:t>
      </w:r>
      <w:r w:rsidRPr="00BA2C37">
        <w:rPr>
          <w:rFonts w:ascii="Book Antiqua" w:hAnsi="Book Antiqua"/>
          <w:color w:val="000000"/>
          <w:sz w:val="24"/>
        </w:rPr>
        <w:t xml:space="preserve"> relationship with his wife’s 4-year-old son from a previous relationship. It was accepted that the oldest child is likely to be a British citizen and that he has an ongoing relationship with his father, who he has contact with every month.</w:t>
      </w:r>
      <w:r w:rsidRPr="00BA2C37">
        <w:rPr>
          <w:rStyle w:val="apple-converted-space"/>
          <w:rFonts w:ascii="Book Antiqua" w:hAnsi="Book Antiqua"/>
          <w:color w:val="000000"/>
          <w:sz w:val="24"/>
        </w:rPr>
        <w:t> </w:t>
      </w:r>
    </w:p>
    <w:p w:rsidR="00F73B6F" w:rsidRPr="00BA2C37" w:rsidRDefault="00F73B6F" w:rsidP="00F73B6F">
      <w:pPr>
        <w:pStyle w:val="NormalWeb"/>
        <w:spacing w:before="2" w:after="2"/>
        <w:jc w:val="both"/>
        <w:rPr>
          <w:rFonts w:ascii="Book Antiqua" w:hAnsi="Book Antiqua"/>
          <w:color w:val="000000"/>
          <w:sz w:val="24"/>
        </w:rPr>
      </w:pPr>
    </w:p>
    <w:p w:rsidR="00F73B6F" w:rsidRPr="00BA2C37" w:rsidRDefault="00F73B6F" w:rsidP="00F73B6F">
      <w:pPr>
        <w:pStyle w:val="NormalWeb"/>
        <w:spacing w:before="2" w:after="2"/>
        <w:ind w:left="720" w:hanging="720"/>
        <w:jc w:val="both"/>
        <w:rPr>
          <w:rFonts w:ascii="Book Antiqua" w:hAnsi="Book Antiqua"/>
          <w:color w:val="000000"/>
          <w:sz w:val="24"/>
        </w:rPr>
      </w:pPr>
      <w:r w:rsidRPr="00BA2C37">
        <w:rPr>
          <w:rFonts w:ascii="Book Antiqua" w:hAnsi="Book Antiqua"/>
          <w:color w:val="000000"/>
          <w:sz w:val="24"/>
        </w:rPr>
        <w:t xml:space="preserve">3. </w:t>
      </w:r>
      <w:r w:rsidRPr="00BA2C37">
        <w:rPr>
          <w:rFonts w:ascii="Book Antiqua" w:hAnsi="Book Antiqua"/>
          <w:color w:val="000000"/>
          <w:sz w:val="24"/>
        </w:rPr>
        <w:tab/>
        <w:t xml:space="preserve">The judge found that the appellant did not meet the requirements of Appendix FM of the immigration rules because his wife is not a British citizen and was not settled in the UK. When she considered Article 8 outside the immigration rules she accepted that the appellant had established a private and family life in the UK. She went on to consider the proportionality of removal with reference to the statutory provisions contained in section 117B of the Nationality, Immigration and Asylum Act 2002 (“NIAA 2002”). The judge took note of the fact that it was in the best interests of a child to live with and be brought up by both parents “subject any very strong contra-indication” [29]. She also directed herself to the decision in </w:t>
      </w:r>
      <w:proofErr w:type="spellStart"/>
      <w:r w:rsidRPr="00B6649E">
        <w:rPr>
          <w:rFonts w:ascii="Book Antiqua" w:hAnsi="Book Antiqua"/>
          <w:i/>
          <w:color w:val="000000"/>
          <w:sz w:val="24"/>
        </w:rPr>
        <w:t>Zoumbas</w:t>
      </w:r>
      <w:proofErr w:type="spellEnd"/>
      <w:r w:rsidRPr="00BA2C37">
        <w:rPr>
          <w:rFonts w:ascii="Book Antiqua" w:hAnsi="Book Antiqua"/>
          <w:color w:val="000000"/>
          <w:sz w:val="24"/>
        </w:rPr>
        <w:t xml:space="preserve"> </w:t>
      </w:r>
      <w:r w:rsidRPr="00B6649E">
        <w:rPr>
          <w:rFonts w:ascii="Book Antiqua" w:hAnsi="Book Antiqua"/>
          <w:i/>
          <w:color w:val="000000"/>
          <w:sz w:val="24"/>
        </w:rPr>
        <w:t>v SSHD</w:t>
      </w:r>
      <w:r w:rsidRPr="00BA2C37">
        <w:rPr>
          <w:rFonts w:ascii="Book Antiqua" w:hAnsi="Book Antiqua"/>
          <w:color w:val="000000"/>
          <w:sz w:val="24"/>
        </w:rPr>
        <w:t xml:space="preserve"> [2013] UKSC 74 in so far as the Supreme Court made clear that the best interests of a child are a primary consideration, but not a paramount consideration [30]. The judge appeared to accept that the appellant had a ‘genuine and subsisting parental relationship’ with both children [31-32]. The only remaining issue for determination was whether it was ‘reasonable to expect the child to leave the UK’ for the purpose of section 117B(6)(b). The judge made a general reference to “the respondent’s guidance” as set out by the Upper Tribunal decision in </w:t>
      </w:r>
      <w:r w:rsidRPr="00BA2C37">
        <w:rPr>
          <w:rFonts w:ascii="Book Antiqua" w:hAnsi="Book Antiqua"/>
          <w:i/>
          <w:color w:val="000000"/>
          <w:sz w:val="24"/>
        </w:rPr>
        <w:t>SF (Guidance post 2014 Act) Albania</w:t>
      </w:r>
      <w:r w:rsidRPr="00BA2C37">
        <w:rPr>
          <w:rFonts w:ascii="Book Antiqua" w:hAnsi="Book Antiqua"/>
          <w:color w:val="000000"/>
          <w:sz w:val="24"/>
        </w:rPr>
        <w:t xml:space="preserve"> [2017] UKUT 00120 [34]. She went on to make the following findings:</w:t>
      </w:r>
      <w:r w:rsidRPr="00BA2C37">
        <w:rPr>
          <w:rStyle w:val="apple-converted-space"/>
          <w:rFonts w:ascii="Book Antiqua" w:hAnsi="Book Antiqua"/>
          <w:color w:val="000000"/>
          <w:sz w:val="24"/>
        </w:rPr>
        <w:t> </w:t>
      </w:r>
    </w:p>
    <w:p w:rsidR="00F73B6F" w:rsidRPr="004C27C7" w:rsidRDefault="00F73B6F" w:rsidP="004C27C7">
      <w:pPr>
        <w:pStyle w:val="NormalWeb"/>
        <w:tabs>
          <w:tab w:val="left" w:pos="1701"/>
        </w:tabs>
        <w:spacing w:beforeLines="0" w:before="120" w:afterLines="0" w:after="120"/>
        <w:ind w:left="1134" w:right="567"/>
        <w:jc w:val="both"/>
        <w:rPr>
          <w:rStyle w:val="apple-converted-space"/>
          <w:sz w:val="22"/>
          <w:szCs w:val="22"/>
        </w:rPr>
      </w:pPr>
      <w:r w:rsidRPr="004C27C7">
        <w:rPr>
          <w:rFonts w:ascii="Book Antiqua" w:hAnsi="Book Antiqua"/>
          <w:color w:val="000000"/>
          <w:sz w:val="22"/>
          <w:szCs w:val="22"/>
        </w:rPr>
        <w:t>“35.</w:t>
      </w:r>
      <w:r w:rsidR="004C27C7">
        <w:rPr>
          <w:rFonts w:ascii="Book Antiqua" w:hAnsi="Book Antiqua"/>
          <w:color w:val="000000"/>
          <w:sz w:val="22"/>
          <w:szCs w:val="22"/>
        </w:rPr>
        <w:tab/>
      </w:r>
      <w:r w:rsidRPr="004C27C7">
        <w:rPr>
          <w:rFonts w:ascii="Book Antiqua" w:hAnsi="Book Antiqua"/>
          <w:color w:val="000000"/>
          <w:sz w:val="22"/>
          <w:szCs w:val="22"/>
        </w:rPr>
        <w:t xml:space="preserve">I have taken into account the respondent’s guidance and find the circumstances in this case is different to that in SF and others </w:t>
      </w:r>
      <w:r w:rsidR="004C27C7" w:rsidRPr="004C27C7">
        <w:rPr>
          <w:rFonts w:ascii="Book Antiqua" w:hAnsi="Book Antiqua"/>
          <w:color w:val="000000"/>
          <w:sz w:val="22"/>
          <w:szCs w:val="22"/>
        </w:rPr>
        <w:t>(Guidance</w:t>
      </w:r>
      <w:r w:rsidRPr="004C27C7">
        <w:rPr>
          <w:rFonts w:ascii="Book Antiqua" w:hAnsi="Book Antiqua"/>
          <w:color w:val="000000"/>
          <w:sz w:val="22"/>
          <w:szCs w:val="22"/>
        </w:rPr>
        <w:t xml:space="preserve"> Post -4014 Act) Albania [2017] UKUT (sic) because this appellant has a very poor immigration history having entered </w:t>
      </w:r>
      <w:r w:rsidR="004C27C7" w:rsidRPr="004C27C7">
        <w:rPr>
          <w:rFonts w:ascii="Book Antiqua" w:hAnsi="Book Antiqua"/>
          <w:color w:val="000000"/>
          <w:sz w:val="22"/>
          <w:szCs w:val="22"/>
        </w:rPr>
        <w:t>illegally,</w:t>
      </w:r>
      <w:r w:rsidRPr="004C27C7">
        <w:rPr>
          <w:rFonts w:ascii="Book Antiqua" w:hAnsi="Book Antiqua"/>
          <w:color w:val="000000"/>
          <w:sz w:val="22"/>
          <w:szCs w:val="22"/>
        </w:rPr>
        <w:t xml:space="preserve"> absconded for several years, used false name and gave false details to an Immigration officer and more importantly is not the only carer of the children. If the appellant is removed, the appellant’s children can remain in the United Kingdom with their mother.</w:t>
      </w:r>
      <w:r w:rsidRPr="004C27C7">
        <w:rPr>
          <w:rStyle w:val="apple-converted-space"/>
          <w:rFonts w:ascii="Book Antiqua" w:hAnsi="Book Antiqua"/>
          <w:color w:val="000000"/>
          <w:sz w:val="22"/>
          <w:szCs w:val="22"/>
        </w:rPr>
        <w:t> </w:t>
      </w:r>
    </w:p>
    <w:p w:rsidR="00F73B6F" w:rsidRPr="004C27C7" w:rsidRDefault="00F73B6F" w:rsidP="004C27C7">
      <w:pPr>
        <w:pStyle w:val="NormalWeb"/>
        <w:tabs>
          <w:tab w:val="left" w:pos="1701"/>
        </w:tabs>
        <w:spacing w:beforeLines="0" w:before="120" w:afterLines="0" w:after="120"/>
        <w:ind w:left="1134" w:right="567"/>
        <w:jc w:val="both"/>
        <w:rPr>
          <w:rFonts w:ascii="Book Antiqua" w:hAnsi="Book Antiqua"/>
          <w:color w:val="000000"/>
          <w:sz w:val="22"/>
          <w:szCs w:val="22"/>
        </w:rPr>
      </w:pPr>
      <w:r w:rsidRPr="004C27C7">
        <w:rPr>
          <w:rFonts w:ascii="Book Antiqua" w:hAnsi="Book Antiqua"/>
          <w:color w:val="000000"/>
          <w:sz w:val="22"/>
          <w:szCs w:val="22"/>
        </w:rPr>
        <w:t>36.</w:t>
      </w:r>
      <w:r w:rsidR="004C27C7">
        <w:rPr>
          <w:rFonts w:ascii="Book Antiqua" w:hAnsi="Book Antiqua"/>
          <w:color w:val="000000"/>
          <w:sz w:val="22"/>
          <w:szCs w:val="22"/>
        </w:rPr>
        <w:tab/>
      </w:r>
      <w:r w:rsidRPr="004C27C7">
        <w:rPr>
          <w:rFonts w:ascii="Book Antiqua" w:hAnsi="Book Antiqua"/>
          <w:color w:val="000000"/>
          <w:sz w:val="22"/>
          <w:szCs w:val="22"/>
        </w:rPr>
        <w:t>This of course will mean that the appellant will be removed without his family. I have considered the impact of this removal on the children. The children will continue to be cared for and looked after by their mother if the appellant is removed and I find that their health and development will not be affected as they are still quite young. I accept that the children will lose the parental contact with the appellant and that the best interest of the children will be in some measure impaired by loss of the company of their father and I recognise this is a consideration of the first importance. However, in the overall context of this case, it is certainly not the only consideration and neither in the last analysis is it the determinative one.</w:t>
      </w:r>
      <w:r w:rsidRPr="004C27C7">
        <w:rPr>
          <w:rStyle w:val="apple-converted-space"/>
          <w:rFonts w:ascii="Book Antiqua" w:hAnsi="Book Antiqua"/>
          <w:color w:val="000000"/>
          <w:sz w:val="22"/>
          <w:szCs w:val="22"/>
        </w:rPr>
        <w:t> </w:t>
      </w:r>
    </w:p>
    <w:p w:rsidR="00F73B6F" w:rsidRPr="004C27C7" w:rsidRDefault="00F73B6F" w:rsidP="004C27C7">
      <w:pPr>
        <w:pStyle w:val="NormalWeb"/>
        <w:tabs>
          <w:tab w:val="left" w:pos="1701"/>
        </w:tabs>
        <w:spacing w:beforeLines="0" w:before="120" w:afterLines="0" w:after="120"/>
        <w:ind w:left="1134" w:right="567"/>
        <w:jc w:val="both"/>
        <w:rPr>
          <w:rFonts w:ascii="Book Antiqua" w:hAnsi="Book Antiqua"/>
          <w:color w:val="000000"/>
          <w:sz w:val="22"/>
          <w:szCs w:val="22"/>
        </w:rPr>
      </w:pPr>
      <w:r w:rsidRPr="004C27C7">
        <w:rPr>
          <w:rFonts w:ascii="Book Antiqua" w:hAnsi="Book Antiqua"/>
          <w:color w:val="000000"/>
          <w:sz w:val="22"/>
          <w:szCs w:val="22"/>
        </w:rPr>
        <w:t>37.</w:t>
      </w:r>
      <w:r w:rsidR="004C27C7">
        <w:rPr>
          <w:rFonts w:ascii="Book Antiqua" w:hAnsi="Book Antiqua"/>
          <w:color w:val="000000"/>
          <w:sz w:val="22"/>
          <w:szCs w:val="22"/>
        </w:rPr>
        <w:tab/>
      </w:r>
      <w:r w:rsidRPr="004C27C7">
        <w:rPr>
          <w:rFonts w:ascii="Book Antiqua" w:hAnsi="Book Antiqua"/>
          <w:color w:val="000000"/>
          <w:sz w:val="22"/>
          <w:szCs w:val="22"/>
        </w:rPr>
        <w:t>It cannot be overlooked that the appellant remained in the United Kingdom illegally has a poor immigration history and formed a family life knowing that both he and his partner’s positions were precarious. This has to be taken into account and weight has to be given to the respondent’s policy relating to the economic well-being of the United Kingdom.</w:t>
      </w:r>
      <w:r w:rsidRPr="004C27C7">
        <w:rPr>
          <w:rStyle w:val="apple-converted-space"/>
          <w:rFonts w:ascii="Book Antiqua" w:hAnsi="Book Antiqua"/>
          <w:color w:val="000000"/>
          <w:sz w:val="22"/>
          <w:szCs w:val="22"/>
        </w:rPr>
        <w:t> </w:t>
      </w:r>
    </w:p>
    <w:p w:rsidR="00F73B6F" w:rsidRPr="004C27C7" w:rsidRDefault="00F73B6F" w:rsidP="004C27C7">
      <w:pPr>
        <w:pStyle w:val="NormalWeb"/>
        <w:tabs>
          <w:tab w:val="left" w:pos="1701"/>
        </w:tabs>
        <w:spacing w:beforeLines="0" w:before="120" w:afterLines="0" w:after="120"/>
        <w:ind w:left="1134" w:right="567"/>
        <w:jc w:val="both"/>
        <w:rPr>
          <w:rFonts w:ascii="Book Antiqua" w:hAnsi="Book Antiqua"/>
          <w:color w:val="000000"/>
          <w:sz w:val="22"/>
          <w:szCs w:val="22"/>
        </w:rPr>
      </w:pPr>
      <w:r w:rsidRPr="004C27C7">
        <w:rPr>
          <w:rFonts w:ascii="Book Antiqua" w:hAnsi="Book Antiqua"/>
          <w:color w:val="000000"/>
          <w:sz w:val="22"/>
          <w:szCs w:val="22"/>
        </w:rPr>
        <w:lastRenderedPageBreak/>
        <w:t>38.</w:t>
      </w:r>
      <w:r w:rsidR="004C27C7">
        <w:rPr>
          <w:rFonts w:ascii="Book Antiqua" w:hAnsi="Book Antiqua"/>
          <w:color w:val="000000"/>
          <w:sz w:val="22"/>
          <w:szCs w:val="22"/>
        </w:rPr>
        <w:tab/>
      </w:r>
      <w:r w:rsidRPr="004C27C7">
        <w:rPr>
          <w:rFonts w:ascii="Book Antiqua" w:hAnsi="Book Antiqua"/>
          <w:color w:val="000000"/>
          <w:sz w:val="22"/>
          <w:szCs w:val="22"/>
        </w:rPr>
        <w:t xml:space="preserve">I do not accept that the appellant’s return to Vietnam will bring his family life with his partner and children to an end because they can communicate with the appellant by telephone or the internet, so all contact will not be lost. Further, in a month or so the appellant’s partner will no doubt be making a further application for leave and if she is granted Indefinite Leave to remain then there is no reason why the appellant cannot make an application to </w:t>
      </w:r>
      <w:proofErr w:type="spellStart"/>
      <w:r w:rsidRPr="004C27C7">
        <w:rPr>
          <w:rFonts w:ascii="Book Antiqua" w:hAnsi="Book Antiqua"/>
          <w:color w:val="000000"/>
          <w:sz w:val="22"/>
          <w:szCs w:val="22"/>
        </w:rPr>
        <w:t>rejoin</w:t>
      </w:r>
      <w:proofErr w:type="spellEnd"/>
      <w:r w:rsidRPr="004C27C7">
        <w:rPr>
          <w:rFonts w:ascii="Book Antiqua" w:hAnsi="Book Antiqua"/>
          <w:color w:val="000000"/>
          <w:sz w:val="22"/>
          <w:szCs w:val="22"/>
        </w:rPr>
        <w:t xml:space="preserve"> his family in the United Kingdom. </w:t>
      </w:r>
      <w:proofErr w:type="gramStart"/>
      <w:r w:rsidRPr="004C27C7">
        <w:rPr>
          <w:rFonts w:ascii="Book Antiqua" w:hAnsi="Book Antiqua"/>
          <w:color w:val="000000"/>
          <w:sz w:val="22"/>
          <w:szCs w:val="22"/>
        </w:rPr>
        <w:t>Alternatively</w:t>
      </w:r>
      <w:proofErr w:type="gramEnd"/>
      <w:r w:rsidRPr="004C27C7">
        <w:rPr>
          <w:rFonts w:ascii="Book Antiqua" w:hAnsi="Book Antiqua"/>
          <w:color w:val="000000"/>
          <w:sz w:val="22"/>
          <w:szCs w:val="22"/>
        </w:rPr>
        <w:t xml:space="preserve"> if the partner’s</w:t>
      </w:r>
      <w:r w:rsidRPr="004C27C7">
        <w:rPr>
          <w:rStyle w:val="apple-converted-space"/>
          <w:rFonts w:ascii="Book Antiqua" w:hAnsi="Book Antiqua"/>
          <w:color w:val="000000"/>
          <w:sz w:val="22"/>
          <w:szCs w:val="22"/>
        </w:rPr>
        <w:t> </w:t>
      </w:r>
      <w:r w:rsidRPr="004C27C7">
        <w:rPr>
          <w:rFonts w:ascii="Book Antiqua" w:hAnsi="Book Antiqua"/>
          <w:color w:val="000000"/>
          <w:sz w:val="22"/>
          <w:szCs w:val="22"/>
        </w:rPr>
        <w:t>application for further leave to remain is refused then she too will be returning to Vietnam where the family can resume their family life.”</w:t>
      </w:r>
      <w:r w:rsidRPr="004C27C7">
        <w:rPr>
          <w:rStyle w:val="apple-converted-space"/>
          <w:rFonts w:ascii="Book Antiqua" w:hAnsi="Book Antiqua"/>
          <w:color w:val="000000"/>
          <w:sz w:val="22"/>
          <w:szCs w:val="22"/>
        </w:rPr>
        <w:t> </w:t>
      </w:r>
    </w:p>
    <w:p w:rsidR="00F73B6F" w:rsidRPr="00BA2C37" w:rsidRDefault="00F73B6F" w:rsidP="00F73B6F">
      <w:pPr>
        <w:pStyle w:val="NormalWeb"/>
        <w:spacing w:before="2" w:after="2"/>
        <w:ind w:left="720" w:hanging="720"/>
        <w:jc w:val="both"/>
        <w:rPr>
          <w:rFonts w:ascii="Book Antiqua" w:hAnsi="Book Antiqua"/>
          <w:color w:val="000000"/>
          <w:sz w:val="24"/>
        </w:rPr>
      </w:pPr>
      <w:r w:rsidRPr="00BA2C37">
        <w:rPr>
          <w:rFonts w:ascii="Book Antiqua" w:hAnsi="Book Antiqua"/>
          <w:color w:val="000000"/>
          <w:sz w:val="24"/>
        </w:rPr>
        <w:t xml:space="preserve">4. </w:t>
      </w:r>
      <w:r w:rsidRPr="00BA2C37">
        <w:rPr>
          <w:rFonts w:ascii="Book Antiqua" w:hAnsi="Book Antiqua"/>
          <w:color w:val="000000"/>
          <w:sz w:val="24"/>
        </w:rPr>
        <w:tab/>
        <w:t>The appellant appeals the First-tier Tribunal decision on the ground that the judge failed to consider the “reasonableness” test set out in section 117</w:t>
      </w:r>
      <w:proofErr w:type="gramStart"/>
      <w:r w:rsidRPr="00BA2C37">
        <w:rPr>
          <w:rFonts w:ascii="Book Antiqua" w:hAnsi="Book Antiqua"/>
          <w:color w:val="000000"/>
          <w:sz w:val="24"/>
        </w:rPr>
        <w:t>B(</w:t>
      </w:r>
      <w:proofErr w:type="gramEnd"/>
      <w:r w:rsidRPr="00BA2C37">
        <w:rPr>
          <w:rFonts w:ascii="Book Antiqua" w:hAnsi="Book Antiqua"/>
          <w:color w:val="000000"/>
          <w:sz w:val="24"/>
        </w:rPr>
        <w:t xml:space="preserve">6) of the Nationality, Immigration and Asylum Act 2002 (“NIAA 2002”) properly. The written grounds were not clearly particularised, but Mr </w:t>
      </w:r>
      <w:proofErr w:type="spellStart"/>
      <w:r w:rsidRPr="00BA2C37">
        <w:rPr>
          <w:rFonts w:ascii="Book Antiqua" w:hAnsi="Book Antiqua"/>
          <w:color w:val="000000"/>
          <w:sz w:val="24"/>
        </w:rPr>
        <w:t>Jesurum</w:t>
      </w:r>
      <w:proofErr w:type="spellEnd"/>
      <w:r w:rsidRPr="00BA2C37">
        <w:rPr>
          <w:rFonts w:ascii="Book Antiqua" w:hAnsi="Book Antiqua"/>
          <w:color w:val="000000"/>
          <w:sz w:val="24"/>
        </w:rPr>
        <w:t xml:space="preserve"> narrowed the main grounds of appeal to the following broad points. </w:t>
      </w:r>
    </w:p>
    <w:p w:rsidR="00F73B6F" w:rsidRPr="00BA2C37" w:rsidRDefault="00F73B6F" w:rsidP="00F73B6F">
      <w:pPr>
        <w:pStyle w:val="NormalWeb"/>
        <w:spacing w:before="2" w:after="2"/>
        <w:jc w:val="both"/>
        <w:rPr>
          <w:rFonts w:ascii="Book Antiqua" w:hAnsi="Book Antiqua"/>
          <w:color w:val="000000"/>
          <w:sz w:val="24"/>
        </w:rPr>
      </w:pPr>
    </w:p>
    <w:p w:rsidR="00F73B6F" w:rsidRPr="00BA2C37" w:rsidRDefault="00F73B6F" w:rsidP="00F73B6F">
      <w:pPr>
        <w:pStyle w:val="NormalWeb"/>
        <w:spacing w:before="2" w:after="2"/>
        <w:ind w:left="1440" w:hanging="720"/>
        <w:jc w:val="both"/>
        <w:rPr>
          <w:rFonts w:ascii="Book Antiqua" w:hAnsi="Book Antiqua"/>
          <w:color w:val="000000"/>
          <w:sz w:val="24"/>
        </w:rPr>
      </w:pPr>
      <w:r w:rsidRPr="00BA2C37">
        <w:rPr>
          <w:rFonts w:ascii="Book Antiqua" w:hAnsi="Book Antiqua"/>
          <w:color w:val="000000"/>
          <w:sz w:val="24"/>
        </w:rPr>
        <w:t>(</w:t>
      </w:r>
      <w:proofErr w:type="spellStart"/>
      <w:r w:rsidRPr="00BA2C37">
        <w:rPr>
          <w:rFonts w:ascii="Book Antiqua" w:hAnsi="Book Antiqua"/>
          <w:color w:val="000000"/>
          <w:sz w:val="24"/>
        </w:rPr>
        <w:t>i</w:t>
      </w:r>
      <w:proofErr w:type="spellEnd"/>
      <w:r w:rsidRPr="00BA2C37">
        <w:rPr>
          <w:rFonts w:ascii="Book Antiqua" w:hAnsi="Book Antiqua"/>
          <w:color w:val="000000"/>
          <w:sz w:val="24"/>
        </w:rPr>
        <w:t xml:space="preserve">) </w:t>
      </w:r>
      <w:r w:rsidRPr="00BA2C37">
        <w:rPr>
          <w:rFonts w:ascii="Book Antiqua" w:hAnsi="Book Antiqua"/>
          <w:color w:val="000000"/>
          <w:sz w:val="24"/>
        </w:rPr>
        <w:tab/>
        <w:t>The First-tier Tribunal failed to consider the best interests of the children adequately. In particular, the judge failed to consider what weight should be given to the rights of a British child and failed to consider the best interests of the appellant’s non-British child sufficiently.</w:t>
      </w:r>
      <w:r w:rsidRPr="00BA2C37">
        <w:rPr>
          <w:rStyle w:val="apple-converted-space"/>
          <w:rFonts w:ascii="Book Antiqua" w:hAnsi="Book Antiqua"/>
          <w:color w:val="000000"/>
          <w:sz w:val="24"/>
        </w:rPr>
        <w:t> </w:t>
      </w:r>
    </w:p>
    <w:p w:rsidR="00F73B6F" w:rsidRPr="00BA2C37" w:rsidRDefault="00F73B6F" w:rsidP="00F73B6F">
      <w:pPr>
        <w:pStyle w:val="NormalWeb"/>
        <w:spacing w:before="2" w:after="2"/>
        <w:jc w:val="both"/>
        <w:rPr>
          <w:rFonts w:ascii="Book Antiqua" w:hAnsi="Book Antiqua"/>
          <w:color w:val="000000"/>
          <w:sz w:val="24"/>
        </w:rPr>
      </w:pPr>
    </w:p>
    <w:p w:rsidR="00F73B6F" w:rsidRPr="00BA2C37" w:rsidRDefault="00F73B6F" w:rsidP="00F73B6F">
      <w:pPr>
        <w:pStyle w:val="NormalWeb"/>
        <w:spacing w:before="2" w:after="2"/>
        <w:ind w:left="1440" w:hanging="720"/>
        <w:jc w:val="both"/>
        <w:rPr>
          <w:rFonts w:ascii="Book Antiqua" w:hAnsi="Book Antiqua"/>
          <w:color w:val="000000"/>
          <w:sz w:val="24"/>
        </w:rPr>
      </w:pPr>
      <w:r w:rsidRPr="00BA2C37">
        <w:rPr>
          <w:rFonts w:ascii="Book Antiqua" w:hAnsi="Book Antiqua"/>
          <w:color w:val="000000"/>
          <w:sz w:val="24"/>
        </w:rPr>
        <w:t xml:space="preserve">(ii) </w:t>
      </w:r>
      <w:r w:rsidRPr="00BA2C37">
        <w:rPr>
          <w:rFonts w:ascii="Book Antiqua" w:hAnsi="Book Antiqua"/>
          <w:color w:val="000000"/>
          <w:sz w:val="24"/>
        </w:rPr>
        <w:tab/>
        <w:t>In finding that it would be reasonable to expect the children to leave the UK to live as a family in Vietnam the judge failed to consider a material issue i.e. that the British child would also be deprived on the regular contact he has with his father in the UK.</w:t>
      </w:r>
    </w:p>
    <w:p w:rsidR="00F73B6F" w:rsidRPr="00BA2C37" w:rsidRDefault="00F73B6F" w:rsidP="00F73B6F">
      <w:pPr>
        <w:jc w:val="both"/>
        <w:rPr>
          <w:rFonts w:ascii="Book Antiqua" w:hAnsi="Book Antiqua"/>
        </w:rPr>
      </w:pPr>
    </w:p>
    <w:p w:rsidR="00F73B6F" w:rsidRPr="00BA2C37" w:rsidRDefault="00F73B6F" w:rsidP="00F73B6F">
      <w:pPr>
        <w:jc w:val="both"/>
        <w:rPr>
          <w:rFonts w:ascii="Book Antiqua" w:hAnsi="Book Antiqua"/>
          <w:b/>
          <w:u w:val="single"/>
        </w:rPr>
      </w:pPr>
      <w:r w:rsidRPr="00BA2C37">
        <w:rPr>
          <w:rFonts w:ascii="Book Antiqua" w:hAnsi="Book Antiqua"/>
          <w:b/>
          <w:u w:val="single"/>
        </w:rPr>
        <w:t>Decision and reasons</w:t>
      </w:r>
    </w:p>
    <w:p w:rsidR="00F73B6F" w:rsidRPr="00BA2C37" w:rsidRDefault="00F73B6F" w:rsidP="00F73B6F">
      <w:pPr>
        <w:jc w:val="both"/>
        <w:rPr>
          <w:rFonts w:ascii="Book Antiqua" w:hAnsi="Book Antiqua"/>
        </w:rPr>
      </w:pPr>
    </w:p>
    <w:p w:rsidR="00F73B6F" w:rsidRPr="00BA2C37" w:rsidRDefault="00F73B6F" w:rsidP="00F73B6F">
      <w:pPr>
        <w:ind w:left="720" w:hanging="720"/>
        <w:jc w:val="both"/>
        <w:rPr>
          <w:rFonts w:ascii="Book Antiqua" w:hAnsi="Book Antiqua"/>
        </w:rPr>
      </w:pPr>
      <w:r w:rsidRPr="00BA2C37">
        <w:rPr>
          <w:rFonts w:ascii="Book Antiqua" w:hAnsi="Book Antiqua"/>
        </w:rPr>
        <w:t>5.</w:t>
      </w:r>
      <w:r w:rsidRPr="00BA2C37">
        <w:rPr>
          <w:rFonts w:ascii="Book Antiqua" w:hAnsi="Book Antiqua"/>
        </w:rPr>
        <w:tab/>
        <w:t xml:space="preserve">After having considered the submissions made by both parties I am satisfied that the First-tier Tribunal decision involved the making of an error of law. </w:t>
      </w:r>
    </w:p>
    <w:p w:rsidR="00F73B6F" w:rsidRPr="00BA2C37" w:rsidRDefault="00F73B6F" w:rsidP="00F73B6F">
      <w:pPr>
        <w:jc w:val="both"/>
        <w:rPr>
          <w:rFonts w:ascii="Book Antiqua" w:hAnsi="Book Antiqua"/>
        </w:rPr>
      </w:pPr>
    </w:p>
    <w:p w:rsidR="00F73B6F" w:rsidRPr="00BA2C37" w:rsidRDefault="00F73B6F" w:rsidP="00F73B6F">
      <w:pPr>
        <w:ind w:left="720" w:hanging="720"/>
        <w:jc w:val="both"/>
        <w:rPr>
          <w:rFonts w:ascii="Book Antiqua" w:hAnsi="Book Antiqua"/>
        </w:rPr>
      </w:pPr>
      <w:r w:rsidRPr="00BA2C37">
        <w:rPr>
          <w:rFonts w:ascii="Book Antiqua" w:hAnsi="Book Antiqua"/>
        </w:rPr>
        <w:t>6.</w:t>
      </w:r>
      <w:r w:rsidRPr="00BA2C37">
        <w:rPr>
          <w:rFonts w:ascii="Book Antiqua" w:hAnsi="Book Antiqua"/>
        </w:rPr>
        <w:tab/>
        <w:t xml:space="preserve">The judge noted some of the relevant legal framework. At [30] the judge noted that the best interests of the children were a primary consideration. At [34] she mentioned the respondent’s policy guidance, which was outlined by the Upper Tribunal in </w:t>
      </w:r>
      <w:r w:rsidRPr="00BA2C37">
        <w:rPr>
          <w:rFonts w:ascii="Book Antiqua" w:hAnsi="Book Antiqua"/>
          <w:i/>
        </w:rPr>
        <w:t>SF (Albania)</w:t>
      </w:r>
      <w:r w:rsidRPr="00BA2C37">
        <w:rPr>
          <w:rFonts w:ascii="Book Antiqua" w:hAnsi="Book Antiqua"/>
        </w:rPr>
        <w:t xml:space="preserve"> albeit that she did not mention the details of the policy. It is not necessary to do so as long as adequate consideration is given to matters that are relevant to a proper consideration of the legal framework. </w:t>
      </w:r>
    </w:p>
    <w:p w:rsidR="00F73B6F" w:rsidRPr="00BA2C37" w:rsidRDefault="00F73B6F" w:rsidP="00F73B6F">
      <w:pPr>
        <w:ind w:left="720" w:hanging="720"/>
        <w:jc w:val="both"/>
        <w:rPr>
          <w:rFonts w:ascii="Book Antiqua" w:hAnsi="Book Antiqua"/>
        </w:rPr>
      </w:pPr>
    </w:p>
    <w:p w:rsidR="00F73B6F" w:rsidRPr="00BA2C37" w:rsidRDefault="00F73B6F" w:rsidP="00F73B6F">
      <w:pPr>
        <w:ind w:left="720" w:hanging="720"/>
        <w:jc w:val="both"/>
        <w:rPr>
          <w:rFonts w:ascii="Book Antiqua" w:hAnsi="Book Antiqua"/>
        </w:rPr>
      </w:pPr>
      <w:r w:rsidRPr="00BA2C37">
        <w:rPr>
          <w:rFonts w:ascii="Book Antiqua" w:hAnsi="Book Antiqua"/>
        </w:rPr>
        <w:t>7.</w:t>
      </w:r>
      <w:r w:rsidRPr="00BA2C37">
        <w:rPr>
          <w:rFonts w:ascii="Book Antiqua" w:hAnsi="Book Antiqua"/>
        </w:rPr>
        <w:tab/>
        <w:t xml:space="preserve">However, in this case the judge’s findings relating to the best interests of the children were confined to a single paragraph [36]. There is little evidence in those findings to indicate that the best interests of the children were in fact given weight as a ‘primary consideration’. Few of the factors outlined by the Supreme Court in </w:t>
      </w:r>
      <w:proofErr w:type="spellStart"/>
      <w:r w:rsidRPr="009E0163">
        <w:rPr>
          <w:rFonts w:ascii="Book Antiqua" w:hAnsi="Book Antiqua" w:cs="BookAntiqua-Italic"/>
          <w:i/>
          <w:iCs/>
        </w:rPr>
        <w:t>Zoumbas</w:t>
      </w:r>
      <w:proofErr w:type="spellEnd"/>
      <w:r w:rsidRPr="009E0163">
        <w:rPr>
          <w:rFonts w:ascii="Book Antiqua" w:hAnsi="Book Antiqua" w:cs="BookAntiqua-Italic"/>
          <w:i/>
          <w:iCs/>
        </w:rPr>
        <w:t xml:space="preserve"> v SSHD </w:t>
      </w:r>
      <w:r>
        <w:rPr>
          <w:rFonts w:ascii="Book Antiqua" w:hAnsi="Book Antiqua" w:cs="BookAntiqua"/>
        </w:rPr>
        <w:t>[2013] UKSC 74 or</w:t>
      </w:r>
      <w:r w:rsidRPr="009E0163">
        <w:rPr>
          <w:rFonts w:ascii="Book Antiqua" w:hAnsi="Book Antiqua" w:cs="BookAntiqua"/>
        </w:rPr>
        <w:t xml:space="preserve"> </w:t>
      </w:r>
      <w:r w:rsidRPr="009E0163">
        <w:rPr>
          <w:rFonts w:ascii="Book Antiqua" w:hAnsi="Book Antiqua" w:cs="BookAntiqua-Italic"/>
          <w:i/>
          <w:iCs/>
        </w:rPr>
        <w:t xml:space="preserve">EV (Philippines) and others v SSHD </w:t>
      </w:r>
      <w:r w:rsidRPr="009E0163">
        <w:rPr>
          <w:rFonts w:ascii="Book Antiqua" w:hAnsi="Book Antiqua" w:cs="BookAntiqua"/>
        </w:rPr>
        <w:t>[2014]</w:t>
      </w:r>
      <w:r>
        <w:rPr>
          <w:rFonts w:ascii="Book Antiqua" w:hAnsi="Book Antiqua" w:cs="BookAntiqua"/>
        </w:rPr>
        <w:t xml:space="preserve"> </w:t>
      </w:r>
      <w:r w:rsidRPr="009E0163">
        <w:rPr>
          <w:rFonts w:ascii="Book Antiqua" w:hAnsi="Book Antiqua" w:cs="BookAntiqua"/>
        </w:rPr>
        <w:t xml:space="preserve">EWCA </w:t>
      </w:r>
      <w:proofErr w:type="spellStart"/>
      <w:r w:rsidRPr="009E0163">
        <w:rPr>
          <w:rFonts w:ascii="Book Antiqua" w:hAnsi="Book Antiqua" w:cs="BookAntiqua"/>
        </w:rPr>
        <w:t>Civ</w:t>
      </w:r>
      <w:proofErr w:type="spellEnd"/>
      <w:r w:rsidRPr="009E0163">
        <w:rPr>
          <w:rFonts w:ascii="Book Antiqua" w:hAnsi="Book Antiqua" w:cs="BookAntiqua"/>
        </w:rPr>
        <w:t xml:space="preserve"> 874</w:t>
      </w:r>
      <w:r>
        <w:rPr>
          <w:rFonts w:ascii="Book Antiqua" w:hAnsi="Book Antiqua" w:cs="BookAntiqua"/>
        </w:rPr>
        <w:t xml:space="preserve"> </w:t>
      </w:r>
      <w:r w:rsidRPr="00BA2C37">
        <w:rPr>
          <w:rFonts w:ascii="Book Antiqua" w:hAnsi="Book Antiqua"/>
        </w:rPr>
        <w:t>were considered. The respondent’s policy places greater weight on the rights of a British citizen child. No consideration was given to the fact that the oldest child is likely to be a British citizen in assessing whether it would be reasonable to expect the children to leave the UK for the purpose of the test set out in section 117</w:t>
      </w:r>
      <w:proofErr w:type="gramStart"/>
      <w:r w:rsidRPr="00BA2C37">
        <w:rPr>
          <w:rFonts w:ascii="Book Antiqua" w:hAnsi="Book Antiqua"/>
        </w:rPr>
        <w:t>B(</w:t>
      </w:r>
      <w:proofErr w:type="gramEnd"/>
      <w:r w:rsidRPr="00BA2C37">
        <w:rPr>
          <w:rFonts w:ascii="Book Antiqua" w:hAnsi="Book Antiqua"/>
        </w:rPr>
        <w:t xml:space="preserve">6) of The Nationality, Immigration and Asylum Act 2002 (“the NIAA 2002”). </w:t>
      </w:r>
    </w:p>
    <w:p w:rsidR="00F73B6F" w:rsidRPr="00BA2C37" w:rsidRDefault="00F73B6F" w:rsidP="00F73B6F">
      <w:pPr>
        <w:ind w:left="720" w:hanging="720"/>
        <w:jc w:val="both"/>
        <w:rPr>
          <w:rFonts w:ascii="Book Antiqua" w:hAnsi="Book Antiqua"/>
        </w:rPr>
      </w:pPr>
    </w:p>
    <w:p w:rsidR="00F73B6F" w:rsidRDefault="00F73B6F" w:rsidP="00F73B6F">
      <w:pPr>
        <w:ind w:left="720" w:hanging="720"/>
        <w:jc w:val="both"/>
        <w:rPr>
          <w:rFonts w:ascii="Book Antiqua" w:hAnsi="Book Antiqua" w:cs="BookAntiqua"/>
        </w:rPr>
      </w:pPr>
      <w:r w:rsidRPr="00BA2C37">
        <w:rPr>
          <w:rFonts w:ascii="Book Antiqua" w:hAnsi="Book Antiqua"/>
        </w:rPr>
        <w:t>8.</w:t>
      </w:r>
      <w:r w:rsidRPr="00BA2C37">
        <w:rPr>
          <w:rFonts w:ascii="Book Antiqua" w:hAnsi="Book Antiqua"/>
        </w:rPr>
        <w:tab/>
        <w:t xml:space="preserve">The conclusion that the best interests of the children would be “in some measure impaired by the loss of the company of their father” appears to diminish the importance of the relationship that the appellant has with the children when it was accepted that he has a genuine and subsisting parental relationship with both children. No clear findings were made as to where the best interests of the children lay, given that the judge had recognised that it is in the best interests of children to live with and be brought up by both parents [29]. It is only after deciding what the best interests of the children are that it is then possible to consider whether the cumulative effect of public interest considerations might still outweigh the undoubted weight that should be given to the interests of children in the UK: see </w:t>
      </w:r>
      <w:r w:rsidRPr="009E0163">
        <w:rPr>
          <w:rFonts w:ascii="Book Antiqua" w:hAnsi="Book Antiqua" w:cs="BookAntiqua-Italic"/>
          <w:i/>
          <w:iCs/>
        </w:rPr>
        <w:t xml:space="preserve">ZH (Tanzania) v SSHD </w:t>
      </w:r>
      <w:r w:rsidRPr="009E0163">
        <w:rPr>
          <w:rFonts w:ascii="Book Antiqua" w:hAnsi="Book Antiqua" w:cs="BookAntiqua"/>
        </w:rPr>
        <w:t>[2011] UKSC</w:t>
      </w:r>
      <w:r>
        <w:rPr>
          <w:rFonts w:ascii="Book Antiqua" w:hAnsi="Book Antiqua" w:cs="BookAntiqua"/>
        </w:rPr>
        <w:t xml:space="preserve"> 4.</w:t>
      </w:r>
    </w:p>
    <w:p w:rsidR="00F73B6F" w:rsidRPr="00BA2C37" w:rsidRDefault="00F73B6F" w:rsidP="00F73B6F">
      <w:pPr>
        <w:ind w:left="720" w:hanging="720"/>
        <w:jc w:val="both"/>
        <w:rPr>
          <w:rFonts w:ascii="Book Antiqua" w:hAnsi="Book Antiqua"/>
        </w:rPr>
      </w:pPr>
    </w:p>
    <w:p w:rsidR="00F73B6F" w:rsidRPr="00BA2C37" w:rsidRDefault="00F73B6F" w:rsidP="00F73B6F">
      <w:pPr>
        <w:ind w:left="720" w:hanging="720"/>
        <w:jc w:val="both"/>
        <w:rPr>
          <w:rFonts w:ascii="Book Antiqua" w:hAnsi="Book Antiqua"/>
        </w:rPr>
      </w:pPr>
      <w:r w:rsidRPr="00BA2C37">
        <w:rPr>
          <w:rFonts w:ascii="Book Antiqua" w:hAnsi="Book Antiqua"/>
        </w:rPr>
        <w:t>9.</w:t>
      </w:r>
      <w:r w:rsidRPr="00BA2C37">
        <w:rPr>
          <w:rFonts w:ascii="Book Antiqua" w:hAnsi="Book Antiqua"/>
        </w:rPr>
        <w:tab/>
        <w:t>Having referred to ‘reasonableness’ test set out in section 117</w:t>
      </w:r>
      <w:proofErr w:type="gramStart"/>
      <w:r w:rsidRPr="00BA2C37">
        <w:rPr>
          <w:rFonts w:ascii="Book Antiqua" w:hAnsi="Book Antiqua"/>
        </w:rPr>
        <w:t>B(</w:t>
      </w:r>
      <w:proofErr w:type="gramEnd"/>
      <w:r w:rsidRPr="00BA2C37">
        <w:rPr>
          <w:rFonts w:ascii="Book Antiqua" w:hAnsi="Book Antiqua"/>
        </w:rPr>
        <w:t xml:space="preserve">6), the judge </w:t>
      </w:r>
      <w:r>
        <w:rPr>
          <w:rFonts w:ascii="Book Antiqua" w:hAnsi="Book Antiqua"/>
        </w:rPr>
        <w:t xml:space="preserve">made little  reference </w:t>
      </w:r>
      <w:r w:rsidRPr="00BA2C37">
        <w:rPr>
          <w:rFonts w:ascii="Book Antiqua" w:hAnsi="Book Antiqua"/>
        </w:rPr>
        <w:t>to the detail of the respondent’s policy in so far as it might apply to the facts of this particular case. At the date of the hearing, the respondent’s policy stated:</w:t>
      </w:r>
    </w:p>
    <w:p w:rsidR="00F73B6F" w:rsidRPr="004C27C7" w:rsidRDefault="00F73B6F" w:rsidP="004C27C7">
      <w:pPr>
        <w:pStyle w:val="NormalWeb"/>
        <w:spacing w:beforeLines="0" w:before="120" w:afterLines="0" w:after="120"/>
        <w:ind w:left="1440"/>
        <w:jc w:val="both"/>
        <w:rPr>
          <w:rFonts w:ascii="Book Antiqua" w:hAnsi="Book Antiqua"/>
          <w:color w:val="000000"/>
          <w:sz w:val="24"/>
          <w:szCs w:val="24"/>
        </w:rPr>
      </w:pPr>
      <w:r w:rsidRPr="004C27C7">
        <w:rPr>
          <w:rFonts w:ascii="Book Antiqua" w:hAnsi="Book Antiqua"/>
          <w:color w:val="000000"/>
          <w:sz w:val="24"/>
          <w:szCs w:val="24"/>
        </w:rPr>
        <w:t>“Would it be unreasonable to expect a British Citizen child to leave the UK?</w:t>
      </w:r>
      <w:r w:rsidRPr="004C27C7">
        <w:rPr>
          <w:rStyle w:val="apple-converted-space"/>
          <w:rFonts w:ascii="Book Antiqua" w:hAnsi="Book Antiqua"/>
          <w:color w:val="000000"/>
          <w:sz w:val="24"/>
          <w:szCs w:val="24"/>
        </w:rPr>
        <w:t> </w:t>
      </w:r>
    </w:p>
    <w:p w:rsidR="00F73B6F" w:rsidRPr="004C27C7" w:rsidRDefault="00F73B6F" w:rsidP="004C27C7">
      <w:pPr>
        <w:pStyle w:val="NormalWeb"/>
        <w:spacing w:beforeLines="0" w:before="120" w:afterLines="0" w:after="120"/>
        <w:ind w:left="1440"/>
        <w:jc w:val="both"/>
        <w:rPr>
          <w:rFonts w:ascii="Book Antiqua" w:hAnsi="Book Antiqua"/>
          <w:color w:val="000000"/>
          <w:sz w:val="24"/>
          <w:szCs w:val="24"/>
        </w:rPr>
      </w:pPr>
      <w:r w:rsidRPr="004C27C7">
        <w:rPr>
          <w:rFonts w:ascii="Book Antiqua" w:hAnsi="Book Antiqua"/>
          <w:color w:val="000000"/>
          <w:sz w:val="24"/>
          <w:szCs w:val="24"/>
        </w:rPr>
        <w:t>Save in cases involving criminality, the decision maker must not take a decision in relation to the parent or primary carer of a British Citizen child where the effect of that decision would be to force that British child to leave the EU, regardless of the age of that child. This reflects the European Court of Justice judgment in Zambrano.</w:t>
      </w:r>
      <w:r w:rsidRPr="004C27C7">
        <w:rPr>
          <w:rStyle w:val="apple-converted-space"/>
          <w:rFonts w:ascii="Book Antiqua" w:hAnsi="Book Antiqua"/>
          <w:color w:val="000000"/>
          <w:sz w:val="24"/>
          <w:szCs w:val="24"/>
        </w:rPr>
        <w:t> </w:t>
      </w:r>
    </w:p>
    <w:p w:rsidR="00F73B6F" w:rsidRPr="004C27C7" w:rsidRDefault="004C27C7" w:rsidP="004C27C7">
      <w:pPr>
        <w:pStyle w:val="NormalWeb"/>
        <w:spacing w:beforeLines="0" w:before="120" w:afterLines="0" w:after="120"/>
        <w:ind w:left="720" w:firstLine="720"/>
        <w:jc w:val="both"/>
        <w:rPr>
          <w:rFonts w:ascii="Book Antiqua" w:hAnsi="Book Antiqua"/>
          <w:color w:val="000000"/>
          <w:sz w:val="24"/>
          <w:szCs w:val="24"/>
        </w:rPr>
      </w:pPr>
      <w:r>
        <w:rPr>
          <w:rFonts w:ascii="Book Antiqua" w:hAnsi="Book Antiqua"/>
          <w:color w:val="000000"/>
          <w:sz w:val="24"/>
          <w:szCs w:val="24"/>
        </w:rPr>
        <w:t>…</w:t>
      </w:r>
    </w:p>
    <w:p w:rsidR="00F73B6F" w:rsidRPr="004C27C7" w:rsidRDefault="00F73B6F" w:rsidP="004C27C7">
      <w:pPr>
        <w:pStyle w:val="NormalWeb"/>
        <w:spacing w:beforeLines="0" w:before="120" w:afterLines="0" w:after="120"/>
        <w:ind w:left="1440"/>
        <w:jc w:val="both"/>
        <w:rPr>
          <w:rStyle w:val="apple-converted-space"/>
          <w:sz w:val="24"/>
          <w:szCs w:val="24"/>
        </w:rPr>
      </w:pPr>
      <w:r w:rsidRPr="004C27C7">
        <w:rPr>
          <w:rFonts w:ascii="Book Antiqua" w:hAnsi="Book Antiqua"/>
          <w:color w:val="000000"/>
          <w:sz w:val="24"/>
          <w:szCs w:val="24"/>
        </w:rPr>
        <w:t>Where a decision to refuse the application would require a parent or primary carer to return to a country outside the EU, the case must always be assessed on the basis that it would be unreasonable to expect a British Citizen child to leave the EU with that parent or primary carer.</w:t>
      </w:r>
      <w:r w:rsidRPr="004C27C7">
        <w:rPr>
          <w:rStyle w:val="apple-converted-space"/>
          <w:rFonts w:ascii="Book Antiqua" w:hAnsi="Book Antiqua"/>
          <w:color w:val="000000"/>
          <w:sz w:val="24"/>
          <w:szCs w:val="24"/>
        </w:rPr>
        <w:t> </w:t>
      </w:r>
    </w:p>
    <w:p w:rsidR="00F73B6F" w:rsidRPr="004C27C7" w:rsidRDefault="00F73B6F" w:rsidP="004C27C7">
      <w:pPr>
        <w:pStyle w:val="NormalWeb"/>
        <w:spacing w:beforeLines="0" w:before="120" w:afterLines="0" w:after="120"/>
        <w:ind w:left="1440"/>
        <w:jc w:val="both"/>
        <w:rPr>
          <w:rStyle w:val="apple-converted-space"/>
          <w:sz w:val="24"/>
          <w:szCs w:val="24"/>
        </w:rPr>
      </w:pPr>
      <w:r w:rsidRPr="004C27C7">
        <w:rPr>
          <w:rFonts w:ascii="Book Antiqua" w:hAnsi="Book Antiqua"/>
          <w:color w:val="000000"/>
          <w:sz w:val="24"/>
          <w:szCs w:val="24"/>
        </w:rPr>
        <w:t>In such cases it will usually be appropriate to grant leave to the parent or primary carer, to enable them to remain in the UK with the child, provided that there is satisfactory evidence of a genuine and subsisting parental relationship.</w:t>
      </w:r>
      <w:r w:rsidRPr="004C27C7">
        <w:rPr>
          <w:rStyle w:val="apple-converted-space"/>
          <w:rFonts w:ascii="Book Antiqua" w:hAnsi="Book Antiqua"/>
          <w:color w:val="000000"/>
          <w:sz w:val="24"/>
          <w:szCs w:val="24"/>
        </w:rPr>
        <w:t> </w:t>
      </w:r>
    </w:p>
    <w:p w:rsidR="00F73B6F" w:rsidRPr="004C27C7" w:rsidRDefault="00F73B6F" w:rsidP="004C27C7">
      <w:pPr>
        <w:pStyle w:val="NormalWeb"/>
        <w:spacing w:beforeLines="0" w:before="120" w:afterLines="0" w:after="120"/>
        <w:ind w:left="1440"/>
        <w:jc w:val="both"/>
        <w:rPr>
          <w:rStyle w:val="apple-converted-space"/>
          <w:sz w:val="24"/>
          <w:szCs w:val="24"/>
        </w:rPr>
      </w:pPr>
      <w:r w:rsidRPr="004C27C7">
        <w:rPr>
          <w:rFonts w:ascii="Book Antiqua" w:hAnsi="Book Antiqua"/>
          <w:color w:val="000000"/>
          <w:sz w:val="24"/>
          <w:szCs w:val="24"/>
        </w:rPr>
        <w:t>It may, however, be appropriate to refuse to grant leave where the conduct of the parent or primary carer gives rise to considerations of such weight as to justify separation, if the child could otherwise stay with another parent or alternative primary carer in the UK or in the EU.</w:t>
      </w:r>
      <w:r w:rsidRPr="004C27C7">
        <w:rPr>
          <w:rStyle w:val="apple-converted-space"/>
          <w:rFonts w:ascii="Book Antiqua" w:hAnsi="Book Antiqua"/>
          <w:color w:val="000000"/>
          <w:sz w:val="24"/>
          <w:szCs w:val="24"/>
        </w:rPr>
        <w:t> </w:t>
      </w:r>
    </w:p>
    <w:p w:rsidR="00F73B6F" w:rsidRPr="004C27C7" w:rsidRDefault="00F73B6F" w:rsidP="004C27C7">
      <w:pPr>
        <w:pStyle w:val="NormalWeb"/>
        <w:spacing w:beforeLines="0" w:before="120" w:afterLines="0" w:after="120"/>
        <w:ind w:left="720" w:firstLine="720"/>
        <w:jc w:val="both"/>
        <w:rPr>
          <w:rFonts w:ascii="Book Antiqua" w:hAnsi="Book Antiqua"/>
          <w:color w:val="000000"/>
          <w:sz w:val="24"/>
          <w:szCs w:val="24"/>
        </w:rPr>
      </w:pPr>
      <w:r w:rsidRPr="004C27C7">
        <w:rPr>
          <w:rFonts w:ascii="Book Antiqua" w:hAnsi="Book Antiqua"/>
          <w:color w:val="000000"/>
          <w:sz w:val="24"/>
          <w:szCs w:val="24"/>
        </w:rPr>
        <w:t>The circumstances envisaged could cover amongst others:</w:t>
      </w:r>
      <w:r w:rsidRPr="004C27C7">
        <w:rPr>
          <w:rStyle w:val="apple-converted-space"/>
          <w:rFonts w:ascii="Book Antiqua" w:hAnsi="Book Antiqua"/>
          <w:color w:val="000000"/>
          <w:sz w:val="24"/>
          <w:szCs w:val="24"/>
        </w:rPr>
        <w:t> </w:t>
      </w:r>
    </w:p>
    <w:p w:rsidR="00F73B6F" w:rsidRPr="004C27C7" w:rsidRDefault="00F73B6F" w:rsidP="004C27C7">
      <w:pPr>
        <w:pStyle w:val="NormalWeb"/>
        <w:spacing w:beforeLines="0" w:before="120" w:afterLines="0" w:after="120"/>
        <w:ind w:left="2160" w:hanging="720"/>
        <w:jc w:val="both"/>
        <w:rPr>
          <w:rFonts w:ascii="Book Antiqua" w:hAnsi="Book Antiqua"/>
          <w:color w:val="000000"/>
          <w:sz w:val="24"/>
          <w:szCs w:val="24"/>
        </w:rPr>
      </w:pPr>
      <w:r w:rsidRPr="004C27C7">
        <w:rPr>
          <w:rFonts w:ascii="Book Antiqua" w:hAnsi="Book Antiqua"/>
          <w:color w:val="000000"/>
          <w:sz w:val="24"/>
          <w:szCs w:val="24"/>
        </w:rPr>
        <w:t xml:space="preserve">· </w:t>
      </w:r>
      <w:r w:rsidRPr="004C27C7">
        <w:rPr>
          <w:rFonts w:ascii="Book Antiqua" w:hAnsi="Book Antiqua"/>
          <w:color w:val="000000"/>
          <w:sz w:val="24"/>
          <w:szCs w:val="24"/>
        </w:rPr>
        <w:tab/>
        <w:t>criminality falling below the thresholds set out in paragraph 398 of the Immigration Rules;</w:t>
      </w:r>
      <w:r w:rsidRPr="004C27C7">
        <w:rPr>
          <w:rStyle w:val="apple-converted-space"/>
          <w:rFonts w:ascii="Book Antiqua" w:hAnsi="Book Antiqua"/>
          <w:color w:val="000000"/>
          <w:sz w:val="24"/>
          <w:szCs w:val="24"/>
        </w:rPr>
        <w:t> </w:t>
      </w:r>
    </w:p>
    <w:p w:rsidR="00F73B6F" w:rsidRPr="004C27C7" w:rsidRDefault="00F73B6F" w:rsidP="004C27C7">
      <w:pPr>
        <w:pStyle w:val="NormalWeb"/>
        <w:spacing w:beforeLines="0" w:before="120" w:afterLines="0" w:after="120"/>
        <w:ind w:left="2160" w:hanging="720"/>
        <w:jc w:val="both"/>
        <w:rPr>
          <w:rFonts w:ascii="Book Antiqua" w:hAnsi="Book Antiqua"/>
          <w:color w:val="000000"/>
          <w:sz w:val="24"/>
          <w:szCs w:val="24"/>
        </w:rPr>
      </w:pPr>
      <w:r w:rsidRPr="004C27C7">
        <w:rPr>
          <w:rFonts w:ascii="Book Antiqua" w:hAnsi="Book Antiqua"/>
          <w:color w:val="000000"/>
          <w:sz w:val="24"/>
          <w:szCs w:val="24"/>
        </w:rPr>
        <w:t xml:space="preserve">· </w:t>
      </w:r>
      <w:r w:rsidRPr="004C27C7">
        <w:rPr>
          <w:rFonts w:ascii="Book Antiqua" w:hAnsi="Book Antiqua"/>
          <w:color w:val="000000"/>
          <w:sz w:val="24"/>
          <w:szCs w:val="24"/>
        </w:rPr>
        <w:tab/>
        <w:t>a very poor immigration history, such as where the person has repeatedly and deliberately breached the Immigration Rules.</w:t>
      </w:r>
      <w:r w:rsidRPr="004C27C7">
        <w:rPr>
          <w:rStyle w:val="apple-converted-space"/>
          <w:rFonts w:ascii="Book Antiqua" w:hAnsi="Book Antiqua"/>
          <w:color w:val="000000"/>
          <w:sz w:val="24"/>
          <w:szCs w:val="24"/>
        </w:rPr>
        <w:t> </w:t>
      </w:r>
    </w:p>
    <w:p w:rsidR="00F73B6F" w:rsidRPr="004C27C7" w:rsidRDefault="00F73B6F" w:rsidP="004C27C7">
      <w:pPr>
        <w:pStyle w:val="NormalWeb"/>
        <w:spacing w:beforeLines="0" w:before="120" w:afterLines="0" w:after="120"/>
        <w:ind w:left="1440"/>
        <w:jc w:val="both"/>
        <w:rPr>
          <w:rFonts w:ascii="Book Antiqua" w:hAnsi="Book Antiqua"/>
          <w:color w:val="000000"/>
          <w:sz w:val="24"/>
          <w:szCs w:val="24"/>
        </w:rPr>
      </w:pPr>
      <w:r w:rsidRPr="004C27C7">
        <w:rPr>
          <w:rFonts w:ascii="Book Antiqua" w:hAnsi="Book Antiqua"/>
          <w:color w:val="000000"/>
          <w:sz w:val="24"/>
          <w:szCs w:val="24"/>
        </w:rPr>
        <w:lastRenderedPageBreak/>
        <w:t xml:space="preserve">In considering whether refusal may be appropriate the decision maker must consider the impact on the child of any separation. If the decision maker is minded </w:t>
      </w:r>
      <w:proofErr w:type="gramStart"/>
      <w:r w:rsidRPr="004C27C7">
        <w:rPr>
          <w:rFonts w:ascii="Book Antiqua" w:hAnsi="Book Antiqua"/>
          <w:color w:val="000000"/>
          <w:sz w:val="24"/>
          <w:szCs w:val="24"/>
        </w:rPr>
        <w:t>to refuse</w:t>
      </w:r>
      <w:proofErr w:type="gramEnd"/>
      <w:r w:rsidRPr="004C27C7">
        <w:rPr>
          <w:rFonts w:ascii="Book Antiqua" w:hAnsi="Book Antiqua"/>
          <w:color w:val="000000"/>
          <w:sz w:val="24"/>
          <w:szCs w:val="24"/>
        </w:rPr>
        <w:t>, in circumstances where separation would be the result, this decision should normally be discussed with a senior caseworker and, where appropriate, advice may be sought from the Office of the Children’s Champion on the implications for the welfare of the child, in order to inform the decision.”</w:t>
      </w:r>
    </w:p>
    <w:p w:rsidR="00F73B6F" w:rsidRPr="00BA2C37" w:rsidRDefault="00F73B6F" w:rsidP="00F73B6F">
      <w:pPr>
        <w:ind w:left="720" w:hanging="720"/>
        <w:jc w:val="both"/>
        <w:rPr>
          <w:rFonts w:ascii="Book Antiqua" w:hAnsi="Book Antiqua"/>
        </w:rPr>
      </w:pPr>
      <w:r w:rsidRPr="00BA2C37">
        <w:rPr>
          <w:rFonts w:ascii="Book Antiqua" w:hAnsi="Book Antiqua"/>
        </w:rPr>
        <w:t>10.</w:t>
      </w:r>
      <w:r w:rsidRPr="00BA2C37">
        <w:rPr>
          <w:rFonts w:ascii="Book Antiqua" w:hAnsi="Book Antiqua"/>
        </w:rPr>
        <w:tab/>
        <w:t xml:space="preserve">The judge was required to take into account public interest considerations relating to the appellant’s immigration history. It was open to her to take into account the fact that the appellant entered the UK illegally and that a subsequent protection claim was refused for non-compliance. However, for these matters to outweigh the interests of a British child the respondent’s policy sets a stringent threshold. A poor immigration history is not necessarily enough to outweigh the interests of a British child. A </w:t>
      </w:r>
      <w:r>
        <w:rPr>
          <w:rFonts w:ascii="Book Antiqua" w:hAnsi="Book Antiqua"/>
        </w:rPr>
        <w:t>“</w:t>
      </w:r>
      <w:r w:rsidRPr="00BA2C37">
        <w:rPr>
          <w:rFonts w:ascii="Book Antiqua" w:hAnsi="Book Antiqua"/>
        </w:rPr>
        <w:t>very poor immigration history</w:t>
      </w:r>
      <w:r>
        <w:rPr>
          <w:rFonts w:ascii="Book Antiqua" w:hAnsi="Book Antiqua"/>
        </w:rPr>
        <w:t>”</w:t>
      </w:r>
      <w:r w:rsidRPr="00BA2C37">
        <w:rPr>
          <w:rFonts w:ascii="Book Antiqua" w:hAnsi="Book Antiqua"/>
        </w:rPr>
        <w:t xml:space="preserve"> is required showing criminal behaviour or a history of “repeatedly and deliberately” breaching the rules. The judge’s finding at [37] outlined the his</w:t>
      </w:r>
      <w:r>
        <w:rPr>
          <w:rFonts w:ascii="Book Antiqua" w:hAnsi="Book Antiqua"/>
        </w:rPr>
        <w:t xml:space="preserve">tory, but failed to give reasons to say how or why she considered that his history was </w:t>
      </w:r>
      <w:r w:rsidRPr="00BA2C37">
        <w:rPr>
          <w:rFonts w:ascii="Book Antiqua" w:hAnsi="Book Antiqua"/>
        </w:rPr>
        <w:t xml:space="preserve">sufficient to outweigh the interests of the children in light of the respondent’s stated policy, which recognises that it is not reasonable to expect a British child to leave the UK save in cases where the person has a “very poor immigration history”. Whilst the appellant’s immigration history undoubtedly is poor, there is an absence of analysis to explain why it was sufficiently poor to outweigh the interests of a British child. </w:t>
      </w:r>
    </w:p>
    <w:p w:rsidR="00F73B6F" w:rsidRPr="00BA2C37" w:rsidRDefault="00F73B6F" w:rsidP="00F73B6F">
      <w:pPr>
        <w:ind w:left="720" w:hanging="720"/>
        <w:jc w:val="both"/>
        <w:rPr>
          <w:rFonts w:ascii="Book Antiqua" w:hAnsi="Book Antiqua"/>
        </w:rPr>
      </w:pPr>
      <w:r w:rsidRPr="00BA2C37">
        <w:rPr>
          <w:rFonts w:ascii="Book Antiqua" w:hAnsi="Book Antiqua"/>
        </w:rPr>
        <w:t xml:space="preserve"> </w:t>
      </w:r>
    </w:p>
    <w:p w:rsidR="00F73B6F" w:rsidRPr="00BA2C37" w:rsidRDefault="00F73B6F" w:rsidP="00F73B6F">
      <w:pPr>
        <w:ind w:left="720" w:hanging="720"/>
        <w:jc w:val="both"/>
        <w:rPr>
          <w:rFonts w:ascii="Book Antiqua" w:hAnsi="Book Antiqua"/>
        </w:rPr>
      </w:pPr>
      <w:r w:rsidRPr="00BA2C37">
        <w:rPr>
          <w:rFonts w:ascii="Book Antiqua" w:hAnsi="Book Antiqua"/>
        </w:rPr>
        <w:t>11.</w:t>
      </w:r>
      <w:r w:rsidRPr="00BA2C37">
        <w:rPr>
          <w:rFonts w:ascii="Book Antiqua" w:hAnsi="Book Antiqua"/>
        </w:rPr>
        <w:tab/>
        <w:t xml:space="preserve">The judge considered the appellant’s family life in broad terms, and was entitled to </w:t>
      </w:r>
      <w:r>
        <w:rPr>
          <w:rFonts w:ascii="Book Antiqua" w:hAnsi="Book Antiqua"/>
        </w:rPr>
        <w:t>consider</w:t>
      </w:r>
      <w:r w:rsidRPr="00BA2C37">
        <w:rPr>
          <w:rFonts w:ascii="Book Antiqua" w:hAnsi="Book Antiqua"/>
        </w:rPr>
        <w:t xml:space="preserve"> his poor immigration history, but given the importance of the issues involved to the children in this case, I conclude that the First-tier Tribunal decision failed to take into account material matters and failed to make sufficiently detailed findings relating to the best interests of the children involved in this case. </w:t>
      </w:r>
    </w:p>
    <w:p w:rsidR="00F73B6F" w:rsidRPr="00BA2C37" w:rsidRDefault="00F73B6F" w:rsidP="00F73B6F">
      <w:pPr>
        <w:ind w:left="720" w:hanging="720"/>
        <w:jc w:val="both"/>
        <w:rPr>
          <w:rFonts w:ascii="Book Antiqua" w:hAnsi="Book Antiqua"/>
        </w:rPr>
      </w:pPr>
    </w:p>
    <w:p w:rsidR="00F73B6F" w:rsidRPr="00BA2C37" w:rsidRDefault="00F73B6F" w:rsidP="00F73B6F">
      <w:pPr>
        <w:ind w:left="720" w:hanging="720"/>
        <w:jc w:val="both"/>
        <w:rPr>
          <w:rFonts w:ascii="Book Antiqua" w:hAnsi="Book Antiqua"/>
        </w:rPr>
      </w:pPr>
      <w:r w:rsidRPr="00BA2C37">
        <w:rPr>
          <w:rFonts w:ascii="Book Antiqua" w:hAnsi="Book Antiqua"/>
        </w:rPr>
        <w:t>12.</w:t>
      </w:r>
      <w:r w:rsidRPr="00BA2C37">
        <w:rPr>
          <w:rFonts w:ascii="Book Antiqua" w:hAnsi="Book Antiqua"/>
        </w:rPr>
        <w:tab/>
        <w:t xml:space="preserve">The factual findings relating to the nature and extent of the appellant’s family life are not in dispute. The First-tier Tribunal’s findings relating to the genuine and subsisting nature of the appellant’s parental relationship with the children </w:t>
      </w:r>
      <w:r>
        <w:rPr>
          <w:rFonts w:ascii="Book Antiqua" w:hAnsi="Book Antiqua"/>
        </w:rPr>
        <w:t xml:space="preserve">shall </w:t>
      </w:r>
      <w:r w:rsidRPr="00BA2C37">
        <w:rPr>
          <w:rFonts w:ascii="Book Antiqua" w:hAnsi="Book Antiqua"/>
        </w:rPr>
        <w:t>stand. However, that part of the decision that deals with the best interests of the children</w:t>
      </w:r>
      <w:r>
        <w:rPr>
          <w:rFonts w:ascii="Book Antiqua" w:hAnsi="Book Antiqua"/>
        </w:rPr>
        <w:t xml:space="preserve">, </w:t>
      </w:r>
      <w:r w:rsidRPr="00BA2C37">
        <w:rPr>
          <w:rFonts w:ascii="Book Antiqua" w:hAnsi="Book Antiqua"/>
        </w:rPr>
        <w:t>and whether it would be “reasonable” to expect them to leave the UK within the meaning of the test contained in section 116</w:t>
      </w:r>
      <w:proofErr w:type="gramStart"/>
      <w:r w:rsidRPr="00BA2C37">
        <w:rPr>
          <w:rFonts w:ascii="Book Antiqua" w:hAnsi="Book Antiqua"/>
        </w:rPr>
        <w:t>B(</w:t>
      </w:r>
      <w:proofErr w:type="gramEnd"/>
      <w:r w:rsidRPr="00BA2C37">
        <w:rPr>
          <w:rFonts w:ascii="Book Antiqua" w:hAnsi="Book Antiqua"/>
        </w:rPr>
        <w:t>6)</w:t>
      </w:r>
      <w:r>
        <w:rPr>
          <w:rFonts w:ascii="Book Antiqua" w:hAnsi="Book Antiqua"/>
        </w:rPr>
        <w:t>,</w:t>
      </w:r>
      <w:r w:rsidRPr="00BA2C37">
        <w:rPr>
          <w:rFonts w:ascii="Book Antiqua" w:hAnsi="Book Antiqua"/>
        </w:rPr>
        <w:t xml:space="preserve"> is set aside and will be remade at a resumed hearing. </w:t>
      </w:r>
    </w:p>
    <w:p w:rsidR="00F73B6F" w:rsidRPr="00BA2C37" w:rsidRDefault="00F73B6F" w:rsidP="00F73B6F">
      <w:pPr>
        <w:ind w:left="720" w:hanging="720"/>
        <w:jc w:val="both"/>
        <w:rPr>
          <w:rFonts w:ascii="Book Antiqua" w:hAnsi="Book Antiqua"/>
        </w:rPr>
      </w:pPr>
    </w:p>
    <w:p w:rsidR="004C27C7" w:rsidRDefault="004C27C7" w:rsidP="00F73B6F">
      <w:pPr>
        <w:ind w:left="720" w:hanging="720"/>
        <w:jc w:val="both"/>
        <w:rPr>
          <w:rFonts w:ascii="Book Antiqua" w:hAnsi="Book Antiqua"/>
          <w:u w:val="single"/>
        </w:rPr>
      </w:pPr>
    </w:p>
    <w:p w:rsidR="00F73B6F" w:rsidRPr="00BA2C37" w:rsidRDefault="00F73B6F" w:rsidP="00F73B6F">
      <w:pPr>
        <w:ind w:left="720" w:hanging="720"/>
        <w:jc w:val="both"/>
        <w:rPr>
          <w:rFonts w:ascii="Book Antiqua" w:hAnsi="Book Antiqua"/>
          <w:u w:val="single"/>
        </w:rPr>
      </w:pPr>
      <w:r w:rsidRPr="00BA2C37">
        <w:rPr>
          <w:rFonts w:ascii="Book Antiqua" w:hAnsi="Book Antiqua"/>
          <w:u w:val="single"/>
        </w:rPr>
        <w:t>DIRECTIONS</w:t>
      </w:r>
    </w:p>
    <w:p w:rsidR="00F73B6F" w:rsidRPr="00BA2C37" w:rsidRDefault="00F73B6F" w:rsidP="00F73B6F">
      <w:pPr>
        <w:ind w:left="720" w:hanging="720"/>
        <w:jc w:val="both"/>
        <w:rPr>
          <w:rFonts w:ascii="Book Antiqua" w:hAnsi="Book Antiqua"/>
        </w:rPr>
      </w:pPr>
    </w:p>
    <w:p w:rsidR="00F73B6F" w:rsidRPr="00BA2C37" w:rsidRDefault="00F73B6F" w:rsidP="00F73B6F">
      <w:pPr>
        <w:ind w:left="720" w:hanging="720"/>
        <w:jc w:val="both"/>
        <w:rPr>
          <w:rFonts w:ascii="Book Antiqua" w:hAnsi="Book Antiqua"/>
        </w:rPr>
      </w:pPr>
      <w:r w:rsidRPr="00BA2C37">
        <w:rPr>
          <w:rFonts w:ascii="Book Antiqua" w:hAnsi="Book Antiqua"/>
        </w:rPr>
        <w:t>13.</w:t>
      </w:r>
      <w:r w:rsidRPr="00BA2C37">
        <w:rPr>
          <w:rFonts w:ascii="Book Antiqua" w:hAnsi="Book Antiqua"/>
        </w:rPr>
        <w:tab/>
        <w:t xml:space="preserve">The parties shall lodge any updated evidence that they wish to rely on relating to the appellant’s family life in the UK, including any evidence as to whether his wife’s application for ILR has been decided, no later than </w:t>
      </w:r>
      <w:r w:rsidRPr="00BA2C37">
        <w:rPr>
          <w:rFonts w:ascii="Book Antiqua" w:hAnsi="Book Antiqua"/>
          <w:b/>
          <w:u w:val="single"/>
        </w:rPr>
        <w:t>seven days</w:t>
      </w:r>
      <w:r w:rsidRPr="00BA2C37">
        <w:rPr>
          <w:rFonts w:ascii="Book Antiqua" w:hAnsi="Book Antiqua"/>
        </w:rPr>
        <w:t xml:space="preserve"> before the next hearing. </w:t>
      </w:r>
    </w:p>
    <w:p w:rsidR="00F73B6F" w:rsidRPr="00BA2C37" w:rsidRDefault="00F73B6F" w:rsidP="00F73B6F">
      <w:pPr>
        <w:ind w:left="720" w:hanging="720"/>
        <w:jc w:val="both"/>
        <w:rPr>
          <w:rFonts w:ascii="Book Antiqua" w:hAnsi="Book Antiqua"/>
        </w:rPr>
      </w:pPr>
      <w:r w:rsidRPr="00BA2C37">
        <w:rPr>
          <w:rFonts w:ascii="Book Antiqua" w:hAnsi="Book Antiqua"/>
        </w:rPr>
        <w:t xml:space="preserve"> </w:t>
      </w:r>
    </w:p>
    <w:p w:rsidR="004C27C7" w:rsidRDefault="004C27C7" w:rsidP="00F73B6F">
      <w:pPr>
        <w:ind w:left="720" w:hanging="720"/>
        <w:jc w:val="both"/>
        <w:rPr>
          <w:rFonts w:ascii="Book Antiqua" w:hAnsi="Book Antiqua"/>
          <w:b/>
          <w:u w:val="single"/>
        </w:rPr>
      </w:pPr>
    </w:p>
    <w:p w:rsidR="00F73B6F" w:rsidRPr="00BA2C37" w:rsidRDefault="00F73B6F" w:rsidP="00F73B6F">
      <w:pPr>
        <w:ind w:left="720" w:hanging="720"/>
        <w:jc w:val="both"/>
        <w:rPr>
          <w:rFonts w:ascii="Book Antiqua" w:hAnsi="Book Antiqua"/>
          <w:b/>
          <w:u w:val="single"/>
        </w:rPr>
      </w:pPr>
      <w:r w:rsidRPr="00BA2C37">
        <w:rPr>
          <w:rFonts w:ascii="Book Antiqua" w:hAnsi="Book Antiqua"/>
          <w:b/>
          <w:u w:val="single"/>
        </w:rPr>
        <w:t>DECISION</w:t>
      </w:r>
    </w:p>
    <w:p w:rsidR="00F73B6F" w:rsidRPr="00BA2C37" w:rsidRDefault="00F73B6F" w:rsidP="00F73B6F">
      <w:pPr>
        <w:ind w:left="720" w:hanging="720"/>
        <w:jc w:val="both"/>
        <w:rPr>
          <w:rFonts w:ascii="Book Antiqua" w:hAnsi="Book Antiqua"/>
        </w:rPr>
      </w:pPr>
    </w:p>
    <w:p w:rsidR="00F73B6F" w:rsidRPr="00BA2C37" w:rsidRDefault="00F73B6F" w:rsidP="00F73B6F">
      <w:pPr>
        <w:ind w:left="720" w:hanging="720"/>
        <w:jc w:val="both"/>
        <w:rPr>
          <w:rFonts w:ascii="Book Antiqua" w:hAnsi="Book Antiqua"/>
        </w:rPr>
      </w:pPr>
      <w:r w:rsidRPr="00BA2C37">
        <w:rPr>
          <w:rFonts w:ascii="Book Antiqua" w:hAnsi="Book Antiqua"/>
        </w:rPr>
        <w:lastRenderedPageBreak/>
        <w:t>The First-tier Tribunal decision involved the making of an error of law</w:t>
      </w:r>
    </w:p>
    <w:p w:rsidR="00F73B6F" w:rsidRPr="00BA2C37" w:rsidRDefault="00F73B6F" w:rsidP="00F73B6F">
      <w:pPr>
        <w:ind w:left="720" w:hanging="720"/>
        <w:jc w:val="both"/>
        <w:rPr>
          <w:rFonts w:ascii="Book Antiqua" w:hAnsi="Book Antiqua"/>
        </w:rPr>
      </w:pPr>
    </w:p>
    <w:p w:rsidR="00F73B6F" w:rsidRPr="00BA2C37" w:rsidRDefault="00F73B6F" w:rsidP="00F73B6F">
      <w:pPr>
        <w:ind w:left="720" w:hanging="720"/>
        <w:jc w:val="both"/>
        <w:rPr>
          <w:rFonts w:ascii="Book Antiqua" w:hAnsi="Book Antiqua"/>
        </w:rPr>
      </w:pPr>
      <w:r w:rsidRPr="00BA2C37">
        <w:rPr>
          <w:rFonts w:ascii="Book Antiqua" w:hAnsi="Book Antiqua"/>
        </w:rPr>
        <w:t>The decision is set aside and will be remade a</w:t>
      </w:r>
      <w:r>
        <w:rPr>
          <w:rFonts w:ascii="Book Antiqua" w:hAnsi="Book Antiqua"/>
        </w:rPr>
        <w:t>t</w:t>
      </w:r>
      <w:r w:rsidRPr="00BA2C37">
        <w:rPr>
          <w:rFonts w:ascii="Book Antiqua" w:hAnsi="Book Antiqua"/>
        </w:rPr>
        <w:t xml:space="preserve"> a resumed hearing</w:t>
      </w:r>
    </w:p>
    <w:p w:rsidR="00F73B6F" w:rsidRDefault="00F73B6F" w:rsidP="00F73B6F">
      <w:pPr>
        <w:tabs>
          <w:tab w:val="left" w:pos="567"/>
        </w:tabs>
        <w:jc w:val="both"/>
        <w:rPr>
          <w:rFonts w:ascii="Book Antiqua" w:hAnsi="Book Antiqua" w:cs="Arial"/>
        </w:rPr>
      </w:pPr>
    </w:p>
    <w:p w:rsidR="00F73B6F" w:rsidRDefault="00F73B6F" w:rsidP="00F73B6F">
      <w:pPr>
        <w:tabs>
          <w:tab w:val="left" w:pos="567"/>
        </w:tabs>
        <w:jc w:val="both"/>
        <w:rPr>
          <w:rFonts w:ascii="Book Antiqua" w:hAnsi="Book Antiqua" w:cs="Arial"/>
        </w:rPr>
      </w:pPr>
    </w:p>
    <w:p w:rsidR="00F73B6F" w:rsidRDefault="00F73B6F" w:rsidP="00F73B6F">
      <w:pPr>
        <w:tabs>
          <w:tab w:val="left" w:pos="567"/>
        </w:tabs>
        <w:jc w:val="both"/>
        <w:rPr>
          <w:rFonts w:ascii="Book Antiqua" w:hAnsi="Book Antiqua" w:cs="Arial"/>
        </w:rPr>
      </w:pPr>
      <w:r>
        <w:rPr>
          <w:rFonts w:ascii="Book Antiqua" w:hAnsi="Book Antiqua" w:cs="Arial"/>
        </w:rPr>
        <w:t xml:space="preserve">Signed   </w:t>
      </w:r>
      <w:bookmarkStart w:id="2" w:name="_Hlk506468876"/>
      <w:r w:rsidR="00510A66" w:rsidRPr="000A38E1">
        <w:rPr>
          <w:rFonts w:ascii="Book Antiqua" w:hAnsi="Book Antiqua" w:cs="Arial"/>
          <w:noProof/>
        </w:rPr>
        <w:drawing>
          <wp:inline distT="0" distB="0" distL="0" distR="0">
            <wp:extent cx="1381125" cy="3714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bookmarkEnd w:id="2"/>
      <w:r>
        <w:rPr>
          <w:rFonts w:ascii="Book Antiqua" w:hAnsi="Book Antiqua" w:cs="Arial"/>
        </w:rPr>
        <w:tab/>
      </w:r>
      <w:proofErr w:type="gramStart"/>
      <w:r>
        <w:rPr>
          <w:rFonts w:ascii="Book Antiqua" w:hAnsi="Book Antiqua" w:cs="Arial"/>
        </w:rPr>
        <w:t>Date  06</w:t>
      </w:r>
      <w:proofErr w:type="gramEnd"/>
      <w:r>
        <w:rPr>
          <w:rFonts w:ascii="Book Antiqua" w:hAnsi="Book Antiqua" w:cs="Arial"/>
        </w:rPr>
        <w:t xml:space="preserve"> March 2018</w:t>
      </w:r>
    </w:p>
    <w:p w:rsidR="00F73B6F" w:rsidRDefault="00F73B6F" w:rsidP="00F73B6F">
      <w:pPr>
        <w:tabs>
          <w:tab w:val="left" w:pos="567"/>
        </w:tabs>
        <w:jc w:val="both"/>
        <w:rPr>
          <w:rFonts w:ascii="Book Antiqua" w:hAnsi="Book Antiqua" w:cs="Arial"/>
        </w:rPr>
      </w:pPr>
      <w:r>
        <w:rPr>
          <w:rFonts w:ascii="Book Antiqua" w:hAnsi="Book Antiqua" w:cs="Arial"/>
        </w:rPr>
        <w:t>Upper Tribunal Judge Canavan</w:t>
      </w:r>
    </w:p>
    <w:sectPr w:rsidR="00F73B6F" w:rsidSect="00614E94">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923" w:rsidRDefault="00661923">
      <w:r>
        <w:separator/>
      </w:r>
    </w:p>
  </w:endnote>
  <w:endnote w:type="continuationSeparator" w:id="0">
    <w:p w:rsidR="00661923" w:rsidRDefault="00661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Antiqua-Italic">
    <w:panose1 w:val="00000000000000000000"/>
    <w:charset w:val="00"/>
    <w:family w:val="swiss"/>
    <w:notTrueType/>
    <w:pitch w:val="default"/>
    <w:sig w:usb0="00000003" w:usb1="00000000" w:usb2="00000000" w:usb3="00000000" w:csb0="00000001" w:csb1="00000000"/>
  </w:font>
  <w:font w:name="BookAntiqu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13179">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923" w:rsidRDefault="00661923">
      <w:r>
        <w:separator/>
      </w:r>
    </w:p>
  </w:footnote>
  <w:footnote w:type="continuationSeparator" w:id="0">
    <w:p w:rsidR="00661923" w:rsidRDefault="00661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07E" w:rsidRPr="00F97703" w:rsidRDefault="00F75541" w:rsidP="007C307E">
    <w:pPr>
      <w:tabs>
        <w:tab w:val="right" w:pos="9720"/>
      </w:tabs>
      <w:ind w:right="-82"/>
      <w:jc w:val="right"/>
      <w:rPr>
        <w:rFonts w:ascii="Book Antiqua" w:hAnsi="Book Antiqua" w:cs="Arial"/>
        <w:color w:val="000000"/>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7C307E" w:rsidRPr="007C307E">
      <w:rPr>
        <w:rFonts w:ascii="Book Antiqua" w:hAnsi="Book Antiqua" w:cs="Arial"/>
        <w:color w:val="000000"/>
        <w:sz w:val="16"/>
        <w:szCs w:val="16"/>
      </w:rPr>
      <w:t>HU/14492/2016</w:t>
    </w:r>
  </w:p>
  <w:p w:rsidR="00CF2453" w:rsidRPr="00CF2453" w:rsidRDefault="00CF2453" w:rsidP="00CF2453">
    <w:pPr>
      <w:tabs>
        <w:tab w:val="right" w:pos="9720"/>
      </w:tabs>
      <w:ind w:right="-82"/>
      <w:jc w:val="right"/>
      <w:rPr>
        <w:rFonts w:ascii="Book Antiqua" w:hAnsi="Book Antiqua" w:cs="Arial"/>
        <w:color w:val="000000"/>
        <w:sz w:val="16"/>
        <w:szCs w:val="16"/>
      </w:rPr>
    </w:pP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47060"/>
    <w:rsid w:val="00056E7C"/>
    <w:rsid w:val="000644CE"/>
    <w:rsid w:val="000D0603"/>
    <w:rsid w:val="00113179"/>
    <w:rsid w:val="00115648"/>
    <w:rsid w:val="00124089"/>
    <w:rsid w:val="001509F4"/>
    <w:rsid w:val="00194FB4"/>
    <w:rsid w:val="001A14A2"/>
    <w:rsid w:val="001A373D"/>
    <w:rsid w:val="001C2435"/>
    <w:rsid w:val="00200671"/>
    <w:rsid w:val="00266FFE"/>
    <w:rsid w:val="00270D89"/>
    <w:rsid w:val="00272712"/>
    <w:rsid w:val="00294F41"/>
    <w:rsid w:val="002F6D78"/>
    <w:rsid w:val="003049FE"/>
    <w:rsid w:val="00345182"/>
    <w:rsid w:val="00396F7B"/>
    <w:rsid w:val="003B36AE"/>
    <w:rsid w:val="004044E6"/>
    <w:rsid w:val="00405694"/>
    <w:rsid w:val="00407E66"/>
    <w:rsid w:val="004171D0"/>
    <w:rsid w:val="00426F9F"/>
    <w:rsid w:val="00497CC7"/>
    <w:rsid w:val="004A012D"/>
    <w:rsid w:val="004C27C7"/>
    <w:rsid w:val="004F4BE7"/>
    <w:rsid w:val="00510A66"/>
    <w:rsid w:val="00546523"/>
    <w:rsid w:val="0057020B"/>
    <w:rsid w:val="005819E4"/>
    <w:rsid w:val="005907D8"/>
    <w:rsid w:val="00614E94"/>
    <w:rsid w:val="00631E34"/>
    <w:rsid w:val="00661923"/>
    <w:rsid w:val="00662048"/>
    <w:rsid w:val="0068059E"/>
    <w:rsid w:val="006A364A"/>
    <w:rsid w:val="00731039"/>
    <w:rsid w:val="007349EE"/>
    <w:rsid w:val="0073630A"/>
    <w:rsid w:val="007B09CD"/>
    <w:rsid w:val="007C307E"/>
    <w:rsid w:val="00816668"/>
    <w:rsid w:val="00821972"/>
    <w:rsid w:val="0084091B"/>
    <w:rsid w:val="008832E8"/>
    <w:rsid w:val="008A3B24"/>
    <w:rsid w:val="008E01FB"/>
    <w:rsid w:val="008F0F73"/>
    <w:rsid w:val="00910BED"/>
    <w:rsid w:val="00933B65"/>
    <w:rsid w:val="0094479E"/>
    <w:rsid w:val="009701EB"/>
    <w:rsid w:val="009942DD"/>
    <w:rsid w:val="009D5EB6"/>
    <w:rsid w:val="00A03E4C"/>
    <w:rsid w:val="00A32C80"/>
    <w:rsid w:val="00A472B6"/>
    <w:rsid w:val="00A57676"/>
    <w:rsid w:val="00A621AC"/>
    <w:rsid w:val="00A7051D"/>
    <w:rsid w:val="00A70F8E"/>
    <w:rsid w:val="00A86A8D"/>
    <w:rsid w:val="00AB1DC6"/>
    <w:rsid w:val="00AB703E"/>
    <w:rsid w:val="00AD4E27"/>
    <w:rsid w:val="00AE22D9"/>
    <w:rsid w:val="00B6649E"/>
    <w:rsid w:val="00B85942"/>
    <w:rsid w:val="00B92FC1"/>
    <w:rsid w:val="00BB40C3"/>
    <w:rsid w:val="00C56E05"/>
    <w:rsid w:val="00C61D30"/>
    <w:rsid w:val="00C91E16"/>
    <w:rsid w:val="00CE5C94"/>
    <w:rsid w:val="00CF2453"/>
    <w:rsid w:val="00D25C76"/>
    <w:rsid w:val="00D3274C"/>
    <w:rsid w:val="00D36F32"/>
    <w:rsid w:val="00D40718"/>
    <w:rsid w:val="00D43764"/>
    <w:rsid w:val="00DA52F3"/>
    <w:rsid w:val="00DE3D56"/>
    <w:rsid w:val="00E15512"/>
    <w:rsid w:val="00E2527C"/>
    <w:rsid w:val="00E468D9"/>
    <w:rsid w:val="00E63B55"/>
    <w:rsid w:val="00E96B33"/>
    <w:rsid w:val="00ED1E61"/>
    <w:rsid w:val="00F648C0"/>
    <w:rsid w:val="00F66C52"/>
    <w:rsid w:val="00F73B6F"/>
    <w:rsid w:val="00F75541"/>
    <w:rsid w:val="00F8752A"/>
    <w:rsid w:val="00FA0A2E"/>
    <w:rsid w:val="00FB051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67B7F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 w:type="paragraph" w:styleId="NormalWeb">
    <w:name w:val="Normal (Web)"/>
    <w:basedOn w:val="Normal"/>
    <w:uiPriority w:val="99"/>
    <w:rsid w:val="00F73B6F"/>
    <w:pPr>
      <w:spacing w:beforeLines="1" w:afterLines="1"/>
    </w:pPr>
    <w:rPr>
      <w:rFonts w:ascii="Times" w:eastAsia="Cambria" w:hAnsi="Times"/>
      <w:sz w:val="20"/>
      <w:szCs w:val="20"/>
      <w:lang w:eastAsia="en-US"/>
    </w:rPr>
  </w:style>
  <w:style w:type="character" w:customStyle="1" w:styleId="apple-converted-space">
    <w:name w:val="apple-converted-space"/>
    <w:rsid w:val="00F73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6530-C99B-4EE7-9617-5658AF063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2780</Words>
  <Characters>13927</Characters>
  <Application>Microsoft Office Word</Application>
  <DocSecurity>0</DocSecurity>
  <Lines>116</Lines>
  <Paragraphs>33</Paragraphs>
  <ScaleCrop>false</ScaleCrop>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2018-06-11T14:27:00Z</dcterms:created>
  <dcterms:modified xsi:type="dcterms:W3CDTF">2018-06-11T14:27:00Z</dcterms:modified>
</cp:coreProperties>
</file>