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2A0A2" w14:textId="77777777" w:rsidR="000700DA" w:rsidRPr="002623D4" w:rsidRDefault="00706EF9" w:rsidP="002623D4">
      <w:pPr>
        <w:jc w:val="center"/>
        <w:rPr>
          <w:rFonts w:ascii="Book Antiqua" w:eastAsia="Book Antiqua" w:hAnsi="Book Antiqua" w:cs="Book Antiqua"/>
          <w:smallCaps/>
          <w:color w:val="000000"/>
          <w:sz w:val="16"/>
          <w:szCs w:val="16"/>
        </w:rPr>
      </w:pPr>
      <w:r>
        <w:rPr>
          <w:noProof/>
        </w:rPr>
        <w:drawing>
          <wp:inline distT="0" distB="0" distL="0" distR="0" wp14:anchorId="70A63FA5" wp14:editId="1AB3A6D7">
            <wp:extent cx="1044000" cy="997200"/>
            <wp:effectExtent l="0" t="0" r="381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044000" cy="997200"/>
                    </a:xfrm>
                    <a:prstGeom prst="rect">
                      <a:avLst/>
                    </a:prstGeom>
                    <a:ln/>
                  </pic:spPr>
                </pic:pic>
              </a:graphicData>
            </a:graphic>
          </wp:inline>
        </w:drawing>
      </w:r>
    </w:p>
    <w:p w14:paraId="41710F1F" w14:textId="77777777" w:rsidR="000700DA" w:rsidRDefault="00706EF9">
      <w:pPr>
        <w:tabs>
          <w:tab w:val="right" w:pos="9720"/>
        </w:tabs>
        <w:ind w:right="-82"/>
        <w:rPr>
          <w:rFonts w:ascii="Book Antiqua" w:eastAsia="Book Antiqua" w:hAnsi="Book Antiqua" w:cs="Book Antiqua"/>
          <w:b/>
          <w:color w:val="000000"/>
        </w:rPr>
      </w:pPr>
      <w:r>
        <w:rPr>
          <w:rFonts w:ascii="Book Antiqua" w:eastAsia="Book Antiqua" w:hAnsi="Book Antiqua" w:cs="Book Antiqua"/>
          <w:b/>
          <w:color w:val="000000"/>
        </w:rPr>
        <w:t>Upper Tribunal</w:t>
      </w:r>
    </w:p>
    <w:p w14:paraId="295DFA6B" w14:textId="69972A4E" w:rsidR="000700DA" w:rsidRPr="002922CF" w:rsidRDefault="00706EF9">
      <w:pPr>
        <w:tabs>
          <w:tab w:val="right" w:pos="9720"/>
        </w:tabs>
        <w:ind w:right="-82"/>
        <w:rPr>
          <w:rFonts w:ascii="Book Antiqua" w:eastAsia="Book Antiqua" w:hAnsi="Book Antiqua" w:cs="Book Antiqua"/>
          <w:b/>
          <w:smallCaps/>
          <w:color w:val="000000"/>
        </w:rPr>
      </w:pPr>
      <w:r>
        <w:rPr>
          <w:rFonts w:ascii="Book Antiqua" w:eastAsia="Book Antiqua" w:hAnsi="Book Antiqua" w:cs="Book Antiqua"/>
          <w:b/>
          <w:color w:val="000000"/>
        </w:rPr>
        <w:t>(</w:t>
      </w:r>
      <w:r w:rsidR="002922CF">
        <w:rPr>
          <w:rFonts w:ascii="Book Antiqua" w:eastAsia="Book Antiqua" w:hAnsi="Book Antiqua" w:cs="Book Antiqua"/>
          <w:b/>
          <w:color w:val="000000"/>
        </w:rPr>
        <w:t xml:space="preserve">Immigration and Asylum </w:t>
      </w:r>
      <w:proofErr w:type="gramStart"/>
      <w:r w:rsidR="002922CF">
        <w:rPr>
          <w:rFonts w:ascii="Book Antiqua" w:eastAsia="Book Antiqua" w:hAnsi="Book Antiqua" w:cs="Book Antiqua"/>
          <w:b/>
          <w:color w:val="000000"/>
        </w:rPr>
        <w:t xml:space="preserve">Chamber)   </w:t>
      </w:r>
      <w:proofErr w:type="gramEnd"/>
      <w:r w:rsidR="002922CF">
        <w:rPr>
          <w:rFonts w:ascii="Book Antiqua" w:eastAsia="Book Antiqua" w:hAnsi="Book Antiqua" w:cs="Book Antiqua"/>
          <w:b/>
          <w:color w:val="000000"/>
        </w:rPr>
        <w:t xml:space="preserve">                     </w:t>
      </w:r>
      <w:r w:rsidRPr="002922CF">
        <w:rPr>
          <w:rFonts w:ascii="Book Antiqua" w:eastAsia="Book Antiqua" w:hAnsi="Book Antiqua" w:cs="Book Antiqua"/>
          <w:b/>
          <w:color w:val="000000"/>
        </w:rPr>
        <w:t xml:space="preserve">Appeal Number: </w:t>
      </w:r>
      <w:bookmarkStart w:id="0" w:name="_Hlk513822011"/>
      <w:bookmarkStart w:id="1" w:name="_Hlk513817895"/>
      <w:r w:rsidR="00C8719E" w:rsidRPr="002922CF">
        <w:rPr>
          <w:rFonts w:ascii="Book Antiqua" w:eastAsia="Book Antiqua" w:hAnsi="Book Antiqua" w:cs="Book Antiqua"/>
          <w:b/>
          <w:color w:val="000000"/>
        </w:rPr>
        <w:t>HU</w:t>
      </w:r>
      <w:r w:rsidRPr="002922CF">
        <w:rPr>
          <w:rFonts w:ascii="Book Antiqua" w:eastAsia="Book Antiqua" w:hAnsi="Book Antiqua" w:cs="Book Antiqua"/>
          <w:b/>
          <w:smallCaps/>
          <w:color w:val="000000"/>
        </w:rPr>
        <w:t>/</w:t>
      </w:r>
      <w:r w:rsidR="00CF325B" w:rsidRPr="002922CF">
        <w:rPr>
          <w:rFonts w:ascii="Book Antiqua" w:eastAsia="Book Antiqua" w:hAnsi="Book Antiqua" w:cs="Book Antiqua"/>
          <w:b/>
          <w:smallCaps/>
          <w:color w:val="000000"/>
        </w:rPr>
        <w:t>14574</w:t>
      </w:r>
      <w:r w:rsidRPr="002922CF">
        <w:rPr>
          <w:rFonts w:ascii="Book Antiqua" w:eastAsia="Book Antiqua" w:hAnsi="Book Antiqua" w:cs="Book Antiqua"/>
          <w:b/>
          <w:smallCaps/>
          <w:color w:val="000000"/>
        </w:rPr>
        <w:t>/201</w:t>
      </w:r>
      <w:r w:rsidR="00CF325B" w:rsidRPr="002922CF">
        <w:rPr>
          <w:rFonts w:ascii="Book Antiqua" w:eastAsia="Book Antiqua" w:hAnsi="Book Antiqua" w:cs="Book Antiqua"/>
          <w:b/>
          <w:smallCaps/>
          <w:color w:val="000000"/>
        </w:rPr>
        <w:t>6</w:t>
      </w:r>
    </w:p>
    <w:bookmarkEnd w:id="0"/>
    <w:p w14:paraId="155CB2C4" w14:textId="77777777" w:rsidR="001F5F66" w:rsidRPr="002922CF" w:rsidRDefault="001F5F66">
      <w:pPr>
        <w:tabs>
          <w:tab w:val="right" w:pos="9720"/>
        </w:tabs>
        <w:ind w:right="-82"/>
        <w:rPr>
          <w:rFonts w:ascii="Book Antiqua" w:eastAsia="Book Antiqua" w:hAnsi="Book Antiqua" w:cs="Book Antiqua"/>
          <w:b/>
          <w:color w:val="000000"/>
        </w:rPr>
      </w:pPr>
      <w:r w:rsidRPr="002922CF">
        <w:rPr>
          <w:rFonts w:ascii="Book Antiqua" w:eastAsia="Book Antiqua" w:hAnsi="Book Antiqua" w:cs="Book Antiqua"/>
          <w:b/>
          <w:color w:val="000000"/>
        </w:rPr>
        <w:tab/>
      </w:r>
    </w:p>
    <w:bookmarkEnd w:id="1"/>
    <w:p w14:paraId="526CCDE2" w14:textId="77777777" w:rsidR="000700DA" w:rsidRDefault="00706EF9">
      <w:pPr>
        <w:jc w:val="center"/>
        <w:rPr>
          <w:rFonts w:ascii="Book Antiqua" w:eastAsia="Book Antiqua" w:hAnsi="Book Antiqua" w:cs="Book Antiqua"/>
          <w:b/>
          <w:color w:val="000000"/>
          <w:u w:val="single"/>
        </w:rPr>
      </w:pPr>
      <w:r>
        <w:rPr>
          <w:rFonts w:ascii="Book Antiqua" w:eastAsia="Book Antiqua" w:hAnsi="Book Antiqua" w:cs="Book Antiqua"/>
          <w:b/>
          <w:color w:val="000000"/>
          <w:u w:val="single"/>
        </w:rPr>
        <w:t>THE IMMIGRATION ACTS</w:t>
      </w:r>
    </w:p>
    <w:p w14:paraId="332331B1" w14:textId="77777777" w:rsidR="000700DA" w:rsidRDefault="000700DA">
      <w:pPr>
        <w:jc w:val="center"/>
        <w:rPr>
          <w:rFonts w:ascii="Book Antiqua" w:eastAsia="Book Antiqua" w:hAnsi="Book Antiqua" w:cs="Book Antiqua"/>
          <w:b/>
          <w:u w:val="single"/>
        </w:rPr>
      </w:pPr>
    </w:p>
    <w:tbl>
      <w:tblPr>
        <w:tblStyle w:val="a"/>
        <w:tblW w:w="10008" w:type="dxa"/>
        <w:tblLayout w:type="fixed"/>
        <w:tblLook w:val="0000" w:firstRow="0" w:lastRow="0" w:firstColumn="0" w:lastColumn="0" w:noHBand="0" w:noVBand="0"/>
      </w:tblPr>
      <w:tblGrid>
        <w:gridCol w:w="5103"/>
        <w:gridCol w:w="4905"/>
      </w:tblGrid>
      <w:tr w:rsidR="000700DA" w14:paraId="79A8A44A" w14:textId="77777777" w:rsidTr="002922CF">
        <w:tc>
          <w:tcPr>
            <w:tcW w:w="5103" w:type="dxa"/>
            <w:shd w:val="clear" w:color="auto" w:fill="auto"/>
          </w:tcPr>
          <w:p w14:paraId="7F270A00" w14:textId="77777777" w:rsidR="000700DA" w:rsidRDefault="00706EF9">
            <w:pPr>
              <w:jc w:val="both"/>
              <w:rPr>
                <w:rFonts w:ascii="Book Antiqua" w:eastAsia="Book Antiqua" w:hAnsi="Book Antiqua" w:cs="Book Antiqua"/>
                <w:b/>
              </w:rPr>
            </w:pPr>
            <w:r>
              <w:rPr>
                <w:rFonts w:ascii="Book Antiqua" w:eastAsia="Book Antiqua" w:hAnsi="Book Antiqua" w:cs="Book Antiqua"/>
                <w:b/>
              </w:rPr>
              <w:t>Heard at Field House</w:t>
            </w:r>
          </w:p>
        </w:tc>
        <w:tc>
          <w:tcPr>
            <w:tcW w:w="4905" w:type="dxa"/>
            <w:shd w:val="clear" w:color="auto" w:fill="auto"/>
          </w:tcPr>
          <w:p w14:paraId="17B79A56" w14:textId="0B4A6A8D" w:rsidR="000700DA" w:rsidRDefault="002922CF">
            <w:pPr>
              <w:jc w:val="both"/>
              <w:rPr>
                <w:rFonts w:ascii="Book Antiqua" w:eastAsia="Book Antiqua" w:hAnsi="Book Antiqua" w:cs="Book Antiqua"/>
                <w:b/>
                <w:color w:val="000000"/>
              </w:rPr>
            </w:pPr>
            <w:r>
              <w:rPr>
                <w:rFonts w:ascii="Book Antiqua" w:eastAsia="Book Antiqua" w:hAnsi="Book Antiqua" w:cs="Book Antiqua"/>
                <w:b/>
                <w:color w:val="000000"/>
              </w:rPr>
              <w:t xml:space="preserve">    Decisions and Reasons </w:t>
            </w:r>
            <w:r w:rsidR="00706EF9">
              <w:rPr>
                <w:rFonts w:ascii="Book Antiqua" w:eastAsia="Book Antiqua" w:hAnsi="Book Antiqua" w:cs="Book Antiqua"/>
                <w:b/>
                <w:color w:val="000000"/>
              </w:rPr>
              <w:t>Promulgated</w:t>
            </w:r>
          </w:p>
        </w:tc>
      </w:tr>
      <w:tr w:rsidR="000700DA" w14:paraId="6EA8B18D" w14:textId="77777777" w:rsidTr="002922CF">
        <w:tc>
          <w:tcPr>
            <w:tcW w:w="5103" w:type="dxa"/>
            <w:shd w:val="clear" w:color="auto" w:fill="auto"/>
          </w:tcPr>
          <w:p w14:paraId="55B39CEC" w14:textId="77777777" w:rsidR="000700DA" w:rsidRDefault="00706EF9">
            <w:pPr>
              <w:jc w:val="both"/>
              <w:rPr>
                <w:rFonts w:ascii="Book Antiqua" w:eastAsia="Book Antiqua" w:hAnsi="Book Antiqua" w:cs="Book Antiqua"/>
                <w:b/>
              </w:rPr>
            </w:pPr>
            <w:r>
              <w:rPr>
                <w:rFonts w:ascii="Book Antiqua" w:eastAsia="Book Antiqua" w:hAnsi="Book Antiqua" w:cs="Book Antiqua"/>
                <w:b/>
              </w:rPr>
              <w:t xml:space="preserve">On </w:t>
            </w:r>
            <w:r w:rsidR="00A46F26">
              <w:rPr>
                <w:rFonts w:ascii="Book Antiqua" w:eastAsia="Book Antiqua" w:hAnsi="Book Antiqua" w:cs="Book Antiqua"/>
                <w:b/>
              </w:rPr>
              <w:t>16 May</w:t>
            </w:r>
            <w:r>
              <w:rPr>
                <w:rFonts w:ascii="Book Antiqua" w:eastAsia="Book Antiqua" w:hAnsi="Book Antiqua" w:cs="Book Antiqua"/>
                <w:b/>
              </w:rPr>
              <w:t xml:space="preserve"> 201</w:t>
            </w:r>
            <w:r w:rsidR="002623D4">
              <w:rPr>
                <w:rFonts w:ascii="Book Antiqua" w:eastAsia="Book Antiqua" w:hAnsi="Book Antiqua" w:cs="Book Antiqua"/>
                <w:b/>
              </w:rPr>
              <w:t>8</w:t>
            </w:r>
          </w:p>
        </w:tc>
        <w:tc>
          <w:tcPr>
            <w:tcW w:w="4905" w:type="dxa"/>
            <w:shd w:val="clear" w:color="auto" w:fill="auto"/>
          </w:tcPr>
          <w:p w14:paraId="6697F541" w14:textId="3132C767" w:rsidR="000700DA" w:rsidRDefault="002922CF">
            <w:pPr>
              <w:jc w:val="both"/>
              <w:rPr>
                <w:rFonts w:ascii="Book Antiqua" w:eastAsia="Book Antiqua" w:hAnsi="Book Antiqua" w:cs="Book Antiqua"/>
                <w:b/>
              </w:rPr>
            </w:pPr>
            <w:r>
              <w:rPr>
                <w:rFonts w:ascii="Book Antiqua" w:hAnsi="Book Antiqua" w:cs="Arial"/>
                <w:b/>
              </w:rPr>
              <w:t xml:space="preserve">    </w:t>
            </w:r>
            <w:r w:rsidR="00167332">
              <w:rPr>
                <w:rFonts w:ascii="Book Antiqua" w:hAnsi="Book Antiqua" w:cs="Arial"/>
                <w:b/>
              </w:rPr>
              <w:t>On 30 May 2018</w:t>
            </w:r>
          </w:p>
        </w:tc>
      </w:tr>
      <w:tr w:rsidR="000700DA" w14:paraId="1F0EA9AA" w14:textId="77777777" w:rsidTr="002922CF">
        <w:tc>
          <w:tcPr>
            <w:tcW w:w="5103" w:type="dxa"/>
            <w:shd w:val="clear" w:color="auto" w:fill="auto"/>
          </w:tcPr>
          <w:p w14:paraId="58B0607D" w14:textId="77777777" w:rsidR="000700DA" w:rsidRDefault="000700DA">
            <w:pPr>
              <w:jc w:val="both"/>
              <w:rPr>
                <w:rFonts w:ascii="Book Antiqua" w:eastAsia="Book Antiqua" w:hAnsi="Book Antiqua" w:cs="Book Antiqua"/>
                <w:b/>
              </w:rPr>
            </w:pPr>
          </w:p>
        </w:tc>
        <w:tc>
          <w:tcPr>
            <w:tcW w:w="4905" w:type="dxa"/>
            <w:shd w:val="clear" w:color="auto" w:fill="auto"/>
          </w:tcPr>
          <w:p w14:paraId="01727567" w14:textId="77777777" w:rsidR="000700DA" w:rsidRDefault="000700DA">
            <w:pPr>
              <w:jc w:val="both"/>
              <w:rPr>
                <w:rFonts w:ascii="Book Antiqua" w:eastAsia="Book Antiqua" w:hAnsi="Book Antiqua" w:cs="Book Antiqua"/>
                <w:b/>
              </w:rPr>
            </w:pPr>
          </w:p>
        </w:tc>
      </w:tr>
    </w:tbl>
    <w:p w14:paraId="108FAFE9" w14:textId="77777777" w:rsidR="000700DA" w:rsidRDefault="000700DA">
      <w:pPr>
        <w:jc w:val="center"/>
        <w:rPr>
          <w:rFonts w:ascii="Book Antiqua" w:eastAsia="Book Antiqua" w:hAnsi="Book Antiqua" w:cs="Book Antiqua"/>
        </w:rPr>
      </w:pPr>
    </w:p>
    <w:p w14:paraId="32EDB2D6" w14:textId="77777777" w:rsidR="000700DA" w:rsidRDefault="00706EF9">
      <w:pPr>
        <w:jc w:val="center"/>
        <w:rPr>
          <w:rFonts w:ascii="Book Antiqua" w:eastAsia="Book Antiqua" w:hAnsi="Book Antiqua" w:cs="Book Antiqua"/>
          <w:b/>
        </w:rPr>
      </w:pPr>
      <w:bookmarkStart w:id="2" w:name="_GoBack"/>
      <w:bookmarkEnd w:id="2"/>
      <w:r>
        <w:rPr>
          <w:rFonts w:ascii="Book Antiqua" w:eastAsia="Book Antiqua" w:hAnsi="Book Antiqua" w:cs="Book Antiqua"/>
          <w:b/>
        </w:rPr>
        <w:t>Before</w:t>
      </w:r>
    </w:p>
    <w:p w14:paraId="63F28565" w14:textId="77777777" w:rsidR="000700DA" w:rsidRDefault="000700DA">
      <w:pPr>
        <w:jc w:val="center"/>
        <w:rPr>
          <w:rFonts w:ascii="Book Antiqua" w:eastAsia="Book Antiqua" w:hAnsi="Book Antiqua" w:cs="Book Antiqua"/>
          <w:b/>
        </w:rPr>
      </w:pPr>
    </w:p>
    <w:p w14:paraId="69F462BC" w14:textId="77777777" w:rsidR="000700DA" w:rsidRDefault="00706EF9">
      <w:pPr>
        <w:jc w:val="center"/>
        <w:rPr>
          <w:rFonts w:ascii="Book Antiqua" w:eastAsia="Book Antiqua" w:hAnsi="Book Antiqua" w:cs="Book Antiqua"/>
          <w:b/>
          <w:color w:val="000000"/>
        </w:rPr>
      </w:pPr>
      <w:r>
        <w:rPr>
          <w:rFonts w:ascii="Book Antiqua" w:eastAsia="Book Antiqua" w:hAnsi="Book Antiqua" w:cs="Book Antiqua"/>
          <w:b/>
          <w:color w:val="000000"/>
        </w:rPr>
        <w:t>UPPER TRIBUNAL JUDGE KOPIECZEK</w:t>
      </w:r>
    </w:p>
    <w:p w14:paraId="5F7CA77A" w14:textId="77777777" w:rsidR="000700DA" w:rsidRDefault="000700DA">
      <w:pPr>
        <w:jc w:val="center"/>
        <w:rPr>
          <w:rFonts w:ascii="Book Antiqua" w:eastAsia="Book Antiqua" w:hAnsi="Book Antiqua" w:cs="Book Antiqua"/>
          <w:b/>
        </w:rPr>
      </w:pPr>
    </w:p>
    <w:p w14:paraId="4C31E3B6" w14:textId="77777777" w:rsidR="000700DA" w:rsidRDefault="00706EF9">
      <w:pPr>
        <w:jc w:val="center"/>
        <w:rPr>
          <w:rFonts w:ascii="Book Antiqua" w:eastAsia="Book Antiqua" w:hAnsi="Book Antiqua" w:cs="Book Antiqua"/>
          <w:b/>
        </w:rPr>
      </w:pPr>
      <w:r>
        <w:rPr>
          <w:rFonts w:ascii="Book Antiqua" w:eastAsia="Book Antiqua" w:hAnsi="Book Antiqua" w:cs="Book Antiqua"/>
          <w:b/>
        </w:rPr>
        <w:t>Between</w:t>
      </w:r>
    </w:p>
    <w:p w14:paraId="30F9A8A4" w14:textId="77777777" w:rsidR="0062166F" w:rsidRDefault="0062166F">
      <w:pPr>
        <w:jc w:val="center"/>
        <w:rPr>
          <w:rFonts w:ascii="Book Antiqua" w:eastAsia="Book Antiqua" w:hAnsi="Book Antiqua" w:cs="Book Antiqua"/>
          <w:b/>
        </w:rPr>
      </w:pPr>
    </w:p>
    <w:p w14:paraId="74C76827" w14:textId="77777777" w:rsidR="000700DA" w:rsidRDefault="00111FB1">
      <w:pPr>
        <w:jc w:val="center"/>
        <w:rPr>
          <w:rFonts w:ascii="Book Antiqua" w:eastAsia="Book Antiqua" w:hAnsi="Book Antiqua" w:cs="Book Antiqua"/>
          <w:b/>
        </w:rPr>
      </w:pPr>
      <w:r>
        <w:rPr>
          <w:rFonts w:ascii="Book Antiqua" w:eastAsia="Book Antiqua" w:hAnsi="Book Antiqua" w:cs="Book Antiqua"/>
          <w:b/>
        </w:rPr>
        <w:t>DALJIT KLAIR</w:t>
      </w:r>
    </w:p>
    <w:p w14:paraId="20F39270" w14:textId="77777777" w:rsidR="000700DA" w:rsidRDefault="00706EF9">
      <w:pPr>
        <w:jc w:val="right"/>
        <w:rPr>
          <w:rFonts w:ascii="Book Antiqua" w:eastAsia="Book Antiqua" w:hAnsi="Book Antiqua" w:cs="Book Antiqua"/>
          <w:u w:val="single"/>
        </w:rPr>
      </w:pPr>
      <w:r>
        <w:rPr>
          <w:rFonts w:ascii="Book Antiqua" w:eastAsia="Book Antiqua" w:hAnsi="Book Antiqua" w:cs="Book Antiqua"/>
          <w:u w:val="single"/>
        </w:rPr>
        <w:t>Appellant</w:t>
      </w:r>
    </w:p>
    <w:p w14:paraId="3B458650" w14:textId="77777777" w:rsidR="000700DA" w:rsidRDefault="00706EF9">
      <w:pPr>
        <w:jc w:val="center"/>
        <w:rPr>
          <w:rFonts w:ascii="Book Antiqua" w:eastAsia="Book Antiqua" w:hAnsi="Book Antiqua" w:cs="Book Antiqua"/>
          <w:b/>
        </w:rPr>
      </w:pPr>
      <w:r>
        <w:rPr>
          <w:rFonts w:ascii="Book Antiqua" w:eastAsia="Book Antiqua" w:hAnsi="Book Antiqua" w:cs="Book Antiqua"/>
          <w:b/>
        </w:rPr>
        <w:t>and</w:t>
      </w:r>
    </w:p>
    <w:p w14:paraId="753E8AAB" w14:textId="77777777" w:rsidR="000700DA" w:rsidRDefault="000700DA">
      <w:pPr>
        <w:jc w:val="center"/>
        <w:rPr>
          <w:rFonts w:ascii="Book Antiqua" w:eastAsia="Book Antiqua" w:hAnsi="Book Antiqua" w:cs="Book Antiqua"/>
          <w:b/>
        </w:rPr>
      </w:pPr>
    </w:p>
    <w:p w14:paraId="7B5AB9A1" w14:textId="77777777" w:rsidR="0062166F" w:rsidRDefault="0062166F" w:rsidP="0062166F">
      <w:pPr>
        <w:jc w:val="center"/>
        <w:rPr>
          <w:rFonts w:ascii="Book Antiqua" w:eastAsia="Book Antiqua" w:hAnsi="Book Antiqua" w:cs="Book Antiqua"/>
          <w:b/>
          <w:smallCaps/>
        </w:rPr>
      </w:pPr>
      <w:bookmarkStart w:id="3" w:name="gjdgxs" w:colFirst="0" w:colLast="0"/>
      <w:bookmarkEnd w:id="3"/>
    </w:p>
    <w:p w14:paraId="62904AE6" w14:textId="77777777" w:rsidR="000700DA" w:rsidRPr="0062166F" w:rsidRDefault="00111FB1" w:rsidP="0062166F">
      <w:pPr>
        <w:jc w:val="center"/>
        <w:rPr>
          <w:rFonts w:ascii="Book Antiqua" w:eastAsia="Book Antiqua" w:hAnsi="Book Antiqua" w:cs="Book Antiqua"/>
          <w:b/>
          <w:smallCaps/>
        </w:rPr>
      </w:pPr>
      <w:r>
        <w:rPr>
          <w:rFonts w:ascii="Book Antiqua" w:eastAsia="Book Antiqua" w:hAnsi="Book Antiqua" w:cs="Book Antiqua"/>
          <w:b/>
          <w:smallCaps/>
        </w:rPr>
        <w:t>SECRETARY OF STATE FOR THE HOME DEPARTMENT</w:t>
      </w:r>
    </w:p>
    <w:p w14:paraId="54964BAB" w14:textId="77777777" w:rsidR="000700DA" w:rsidRDefault="00706EF9">
      <w:pPr>
        <w:jc w:val="right"/>
        <w:rPr>
          <w:rFonts w:ascii="Book Antiqua" w:eastAsia="Book Antiqua" w:hAnsi="Book Antiqua" w:cs="Book Antiqua"/>
          <w:u w:val="single"/>
        </w:rPr>
      </w:pPr>
      <w:r>
        <w:rPr>
          <w:rFonts w:ascii="Book Antiqua" w:eastAsia="Book Antiqua" w:hAnsi="Book Antiqua" w:cs="Book Antiqua"/>
          <w:u w:val="single"/>
        </w:rPr>
        <w:t>Respondent</w:t>
      </w:r>
    </w:p>
    <w:p w14:paraId="24E1D177" w14:textId="77777777" w:rsidR="000700DA" w:rsidRDefault="000700DA">
      <w:pPr>
        <w:rPr>
          <w:rFonts w:ascii="Book Antiqua" w:eastAsia="Book Antiqua" w:hAnsi="Book Antiqua" w:cs="Book Antiqua"/>
          <w:u w:val="single"/>
        </w:rPr>
      </w:pPr>
    </w:p>
    <w:p w14:paraId="062D7CC1" w14:textId="77777777" w:rsidR="000700DA" w:rsidRDefault="000700DA">
      <w:pPr>
        <w:rPr>
          <w:rFonts w:ascii="Book Antiqua" w:eastAsia="Book Antiqua" w:hAnsi="Book Antiqua" w:cs="Book Antiqua"/>
          <w:u w:val="single"/>
        </w:rPr>
      </w:pPr>
    </w:p>
    <w:p w14:paraId="1A17A646" w14:textId="77777777" w:rsidR="000700DA" w:rsidRDefault="00706EF9">
      <w:pPr>
        <w:rPr>
          <w:rFonts w:ascii="Book Antiqua" w:eastAsia="Book Antiqua" w:hAnsi="Book Antiqua" w:cs="Book Antiqua"/>
        </w:rPr>
      </w:pPr>
      <w:r>
        <w:rPr>
          <w:rFonts w:ascii="Book Antiqua" w:eastAsia="Book Antiqua" w:hAnsi="Book Antiqua" w:cs="Book Antiqua"/>
          <w:b/>
          <w:u w:val="single"/>
        </w:rPr>
        <w:t>Representation</w:t>
      </w:r>
      <w:r>
        <w:rPr>
          <w:rFonts w:ascii="Book Antiqua" w:eastAsia="Book Antiqua" w:hAnsi="Book Antiqua" w:cs="Book Antiqua"/>
          <w:b/>
        </w:rPr>
        <w:t>:</w:t>
      </w:r>
    </w:p>
    <w:p w14:paraId="18527AB6" w14:textId="77777777" w:rsidR="000700DA" w:rsidRDefault="000700DA">
      <w:pPr>
        <w:rPr>
          <w:rFonts w:ascii="Book Antiqua" w:eastAsia="Book Antiqua" w:hAnsi="Book Antiqua" w:cs="Book Antiqua"/>
        </w:rPr>
      </w:pPr>
    </w:p>
    <w:p w14:paraId="2F3A6332" w14:textId="16390F33" w:rsidR="000700DA" w:rsidRDefault="00706EF9">
      <w:pPr>
        <w:tabs>
          <w:tab w:val="left" w:pos="2520"/>
        </w:tabs>
        <w:rPr>
          <w:rFonts w:ascii="Book Antiqua" w:eastAsia="Book Antiqua" w:hAnsi="Book Antiqua" w:cs="Book Antiqua"/>
        </w:rPr>
      </w:pPr>
      <w:r>
        <w:rPr>
          <w:rFonts w:ascii="Book Antiqua" w:eastAsia="Book Antiqua" w:hAnsi="Book Antiqua" w:cs="Book Antiqua"/>
        </w:rPr>
        <w:t>For the Appellant:</w:t>
      </w:r>
      <w:r w:rsidR="0062166F">
        <w:rPr>
          <w:rFonts w:ascii="Book Antiqua" w:eastAsia="Book Antiqua" w:hAnsi="Book Antiqua" w:cs="Book Antiqua"/>
        </w:rPr>
        <w:t xml:space="preserve"> </w:t>
      </w:r>
      <w:r w:rsidR="002922CF">
        <w:rPr>
          <w:rFonts w:ascii="Book Antiqua" w:eastAsia="Book Antiqua" w:hAnsi="Book Antiqua" w:cs="Book Antiqua"/>
        </w:rPr>
        <w:t xml:space="preserve">             </w:t>
      </w:r>
      <w:r w:rsidR="007E0791">
        <w:rPr>
          <w:rFonts w:ascii="Book Antiqua" w:eastAsia="Book Antiqua" w:hAnsi="Book Antiqua" w:cs="Book Antiqua"/>
        </w:rPr>
        <w:t>Mr Z. Raza</w:t>
      </w:r>
      <w:r w:rsidR="00E869B6">
        <w:rPr>
          <w:rFonts w:ascii="Book Antiqua" w:eastAsia="Book Antiqua" w:hAnsi="Book Antiqua" w:cs="Book Antiqua"/>
        </w:rPr>
        <w:t>, Counsel</w:t>
      </w:r>
    </w:p>
    <w:p w14:paraId="6DFC4F27" w14:textId="2708BF92" w:rsidR="000700DA" w:rsidRDefault="00706EF9">
      <w:pPr>
        <w:tabs>
          <w:tab w:val="left" w:pos="2520"/>
        </w:tabs>
        <w:rPr>
          <w:rFonts w:ascii="Book Antiqua" w:eastAsia="Book Antiqua" w:hAnsi="Book Antiqua" w:cs="Book Antiqua"/>
        </w:rPr>
      </w:pPr>
      <w:r>
        <w:rPr>
          <w:rFonts w:ascii="Book Antiqua" w:eastAsia="Book Antiqua" w:hAnsi="Book Antiqua" w:cs="Book Antiqua"/>
        </w:rPr>
        <w:t>For the Respondent</w:t>
      </w:r>
      <w:r w:rsidR="0062166F">
        <w:rPr>
          <w:rFonts w:ascii="Book Antiqua" w:eastAsia="Book Antiqua" w:hAnsi="Book Antiqua" w:cs="Book Antiqua"/>
        </w:rPr>
        <w:t>s</w:t>
      </w:r>
      <w:r>
        <w:rPr>
          <w:rFonts w:ascii="Book Antiqua" w:eastAsia="Book Antiqua" w:hAnsi="Book Antiqua" w:cs="Book Antiqua"/>
        </w:rPr>
        <w:t>:</w:t>
      </w:r>
      <w:r w:rsidR="00111FB1" w:rsidRPr="00111FB1">
        <w:rPr>
          <w:rFonts w:ascii="Book Antiqua" w:eastAsia="Book Antiqua" w:hAnsi="Book Antiqua" w:cs="Book Antiqua"/>
        </w:rPr>
        <w:t xml:space="preserve"> </w:t>
      </w:r>
      <w:r w:rsidR="002922CF">
        <w:rPr>
          <w:rFonts w:ascii="Book Antiqua" w:eastAsia="Book Antiqua" w:hAnsi="Book Antiqua" w:cs="Book Antiqua"/>
        </w:rPr>
        <w:t xml:space="preserve">        </w:t>
      </w:r>
      <w:r w:rsidR="005907FD">
        <w:rPr>
          <w:rFonts w:ascii="Book Antiqua" w:eastAsia="Book Antiqua" w:hAnsi="Book Antiqua" w:cs="Book Antiqua"/>
        </w:rPr>
        <w:t xml:space="preserve">Mr M. </w:t>
      </w:r>
      <w:proofErr w:type="spellStart"/>
      <w:r w:rsidR="005907FD">
        <w:rPr>
          <w:rFonts w:ascii="Book Antiqua" w:hAnsi="Book Antiqua" w:cs="Arial"/>
        </w:rPr>
        <w:t>Diwnyez</w:t>
      </w:r>
      <w:proofErr w:type="spellEnd"/>
      <w:r w:rsidR="005907FD">
        <w:rPr>
          <w:rFonts w:ascii="Book Antiqua" w:eastAsia="Book Antiqua" w:hAnsi="Book Antiqua" w:cs="Book Antiqua"/>
        </w:rPr>
        <w:t xml:space="preserve">, </w:t>
      </w:r>
      <w:r w:rsidR="00111FB1">
        <w:rPr>
          <w:rFonts w:ascii="Book Antiqua" w:eastAsia="Book Antiqua" w:hAnsi="Book Antiqua" w:cs="Book Antiqua"/>
        </w:rPr>
        <w:t>Senior Home Office Presenting Officer</w:t>
      </w:r>
    </w:p>
    <w:p w14:paraId="03756AC8" w14:textId="77777777" w:rsidR="000700DA" w:rsidRDefault="000700DA">
      <w:pPr>
        <w:tabs>
          <w:tab w:val="left" w:pos="2520"/>
        </w:tabs>
        <w:jc w:val="center"/>
        <w:rPr>
          <w:rFonts w:ascii="Book Antiqua" w:eastAsia="Book Antiqua" w:hAnsi="Book Antiqua" w:cs="Book Antiqua"/>
        </w:rPr>
      </w:pPr>
    </w:p>
    <w:p w14:paraId="4A8E2571" w14:textId="77777777" w:rsidR="000700DA" w:rsidRDefault="000700DA">
      <w:pPr>
        <w:tabs>
          <w:tab w:val="left" w:pos="2520"/>
        </w:tabs>
        <w:jc w:val="center"/>
        <w:rPr>
          <w:rFonts w:ascii="Book Antiqua" w:eastAsia="Book Antiqua" w:hAnsi="Book Antiqua" w:cs="Book Antiqua"/>
        </w:rPr>
      </w:pPr>
    </w:p>
    <w:p w14:paraId="4A3F2F06" w14:textId="77777777" w:rsidR="000700DA" w:rsidRDefault="00706EF9">
      <w:pPr>
        <w:tabs>
          <w:tab w:val="left" w:pos="2520"/>
        </w:tabs>
        <w:jc w:val="center"/>
        <w:rPr>
          <w:rFonts w:ascii="Book Antiqua" w:eastAsia="Book Antiqua" w:hAnsi="Book Antiqua" w:cs="Book Antiqua"/>
        </w:rPr>
      </w:pPr>
      <w:r>
        <w:rPr>
          <w:rFonts w:ascii="Book Antiqua" w:eastAsia="Book Antiqua" w:hAnsi="Book Antiqua" w:cs="Book Antiqua"/>
          <w:b/>
          <w:u w:val="single"/>
        </w:rPr>
        <w:t>DECISION AND REASONS</w:t>
      </w:r>
    </w:p>
    <w:p w14:paraId="74FBE440" w14:textId="77777777" w:rsidR="000700DA" w:rsidRDefault="000700DA">
      <w:pPr>
        <w:tabs>
          <w:tab w:val="left" w:pos="2520"/>
        </w:tabs>
        <w:jc w:val="both"/>
        <w:rPr>
          <w:rFonts w:ascii="Book Antiqua" w:eastAsia="Book Antiqua" w:hAnsi="Book Antiqua" w:cs="Book Antiqua"/>
        </w:rPr>
      </w:pPr>
    </w:p>
    <w:p w14:paraId="7E705ABD" w14:textId="77777777" w:rsidR="008E0652" w:rsidRPr="008E0652" w:rsidRDefault="00706EF9" w:rsidP="0062166F">
      <w:pPr>
        <w:numPr>
          <w:ilvl w:val="0"/>
          <w:numId w:val="2"/>
        </w:numPr>
        <w:spacing w:before="240"/>
        <w:jc w:val="both"/>
        <w:rPr>
          <w:rFonts w:ascii="Book Antiqua" w:hAnsi="Book Antiqua"/>
        </w:rPr>
      </w:pPr>
      <w:r>
        <w:rPr>
          <w:rFonts w:ascii="Book Antiqua" w:eastAsia="Book Antiqua" w:hAnsi="Book Antiqua" w:cs="Book Antiqua"/>
        </w:rPr>
        <w:t>Th</w:t>
      </w:r>
      <w:r w:rsidR="000A1414">
        <w:rPr>
          <w:rFonts w:ascii="Book Antiqua" w:eastAsia="Book Antiqua" w:hAnsi="Book Antiqua" w:cs="Book Antiqua"/>
        </w:rPr>
        <w:t>e appellant</w:t>
      </w:r>
      <w:r w:rsidR="00AB288F">
        <w:rPr>
          <w:rFonts w:ascii="Book Antiqua" w:eastAsia="Book Antiqua" w:hAnsi="Book Antiqua" w:cs="Book Antiqua"/>
        </w:rPr>
        <w:t xml:space="preserve"> is a citizen of India, born in 1956. She made an application on 8 April 201</w:t>
      </w:r>
      <w:r w:rsidR="008D7A1C">
        <w:rPr>
          <w:rFonts w:ascii="Book Antiqua" w:eastAsia="Book Antiqua" w:hAnsi="Book Antiqua" w:cs="Book Antiqua"/>
        </w:rPr>
        <w:t xml:space="preserve">6 for leave to remain as a partner. That application was refused in a decision dated </w:t>
      </w:r>
      <w:r w:rsidR="00327E8A">
        <w:rPr>
          <w:rFonts w:ascii="Book Antiqua" w:eastAsia="Book Antiqua" w:hAnsi="Book Antiqua" w:cs="Book Antiqua"/>
        </w:rPr>
        <w:t>23 May 2016. The respondent concluded that the appellant was unable to meet the eligibility requirements of the Article 8 Rules in terms of th</w:t>
      </w:r>
      <w:r w:rsidR="00FB60CE">
        <w:rPr>
          <w:rFonts w:ascii="Book Antiqua" w:eastAsia="Book Antiqua" w:hAnsi="Book Antiqua" w:cs="Book Antiqua"/>
        </w:rPr>
        <w:t>e financial requirements</w:t>
      </w:r>
      <w:r w:rsidR="00C34A8C">
        <w:rPr>
          <w:rFonts w:ascii="Book Antiqua" w:eastAsia="Book Antiqua" w:hAnsi="Book Antiqua" w:cs="Book Antiqua"/>
        </w:rPr>
        <w:t xml:space="preserve">. </w:t>
      </w:r>
      <w:r w:rsidR="00C74C70">
        <w:rPr>
          <w:rFonts w:ascii="Book Antiqua" w:eastAsia="Book Antiqua" w:hAnsi="Book Antiqua" w:cs="Book Antiqua"/>
        </w:rPr>
        <w:t>Paragraph EX.1</w:t>
      </w:r>
      <w:r w:rsidR="00E20BA1">
        <w:rPr>
          <w:rFonts w:ascii="Book Antiqua" w:eastAsia="Book Antiqua" w:hAnsi="Book Antiqua" w:cs="Book Antiqua"/>
        </w:rPr>
        <w:t xml:space="preserve"> of Appendix FM</w:t>
      </w:r>
      <w:r w:rsidR="00C74C70">
        <w:rPr>
          <w:rFonts w:ascii="Book Antiqua" w:eastAsia="Book Antiqua" w:hAnsi="Book Antiqua" w:cs="Book Antiqua"/>
        </w:rPr>
        <w:t xml:space="preserve"> was not satisfied</w:t>
      </w:r>
      <w:r w:rsidR="00E20BA1">
        <w:rPr>
          <w:rFonts w:ascii="Book Antiqua" w:eastAsia="Book Antiqua" w:hAnsi="Book Antiqua" w:cs="Book Antiqua"/>
        </w:rPr>
        <w:t xml:space="preserve"> because the evidence did not demonstrate that there were insurmountable obstacles to family life between the appellant and her spouse continuing in India.</w:t>
      </w:r>
      <w:r w:rsidR="008E0652">
        <w:rPr>
          <w:rFonts w:ascii="Book Antiqua" w:eastAsia="Book Antiqua" w:hAnsi="Book Antiqua" w:cs="Book Antiqua"/>
        </w:rPr>
        <w:t xml:space="preserve"> There were no exceptional circumstances meriting a grant of leave outside the Article 8 Rules. </w:t>
      </w:r>
    </w:p>
    <w:p w14:paraId="37560FA7" w14:textId="77777777" w:rsidR="00EA460B" w:rsidRPr="00EA460B" w:rsidRDefault="008E0652" w:rsidP="0062166F">
      <w:pPr>
        <w:numPr>
          <w:ilvl w:val="0"/>
          <w:numId w:val="2"/>
        </w:numPr>
        <w:spacing w:before="240"/>
        <w:jc w:val="both"/>
        <w:rPr>
          <w:rFonts w:ascii="Book Antiqua" w:hAnsi="Book Antiqua"/>
        </w:rPr>
      </w:pPr>
      <w:r>
        <w:rPr>
          <w:rFonts w:ascii="Book Antiqua" w:eastAsia="Book Antiqua" w:hAnsi="Book Antiqua" w:cs="Book Antiqua"/>
        </w:rPr>
        <w:t xml:space="preserve">The appellant appealed that decision and her appeal came before </w:t>
      </w:r>
      <w:r w:rsidR="00EB2454">
        <w:rPr>
          <w:rFonts w:ascii="Book Antiqua" w:eastAsia="Book Antiqua" w:hAnsi="Book Antiqua" w:cs="Book Antiqua"/>
        </w:rPr>
        <w:t xml:space="preserve">First-tier Tribunal Judge Birk (“the </w:t>
      </w:r>
      <w:proofErr w:type="spellStart"/>
      <w:r w:rsidR="00EB2454">
        <w:rPr>
          <w:rFonts w:ascii="Book Antiqua" w:eastAsia="Book Antiqua" w:hAnsi="Book Antiqua" w:cs="Book Antiqua"/>
        </w:rPr>
        <w:t>FtJ</w:t>
      </w:r>
      <w:proofErr w:type="spellEnd"/>
      <w:r w:rsidR="00EB2454">
        <w:rPr>
          <w:rFonts w:ascii="Book Antiqua" w:eastAsia="Book Antiqua" w:hAnsi="Book Antiqua" w:cs="Book Antiqua"/>
        </w:rPr>
        <w:t>”) on 23 May 2017</w:t>
      </w:r>
      <w:r w:rsidR="00FE6736">
        <w:rPr>
          <w:rFonts w:ascii="Book Antiqua" w:eastAsia="Book Antiqua" w:hAnsi="Book Antiqua" w:cs="Book Antiqua"/>
        </w:rPr>
        <w:t xml:space="preserve"> who dismissed the appeal</w:t>
      </w:r>
      <w:r w:rsidR="00EA460B">
        <w:rPr>
          <w:rFonts w:ascii="Book Antiqua" w:eastAsia="Book Antiqua" w:hAnsi="Book Antiqua" w:cs="Book Antiqua"/>
        </w:rPr>
        <w:t>.</w:t>
      </w:r>
    </w:p>
    <w:p w14:paraId="7BA35168" w14:textId="77777777" w:rsidR="00EA460B" w:rsidRPr="00EA460B" w:rsidRDefault="00EA460B" w:rsidP="00EA460B">
      <w:pPr>
        <w:spacing w:before="240"/>
        <w:ind w:left="567"/>
        <w:jc w:val="both"/>
        <w:rPr>
          <w:rFonts w:ascii="Book Antiqua" w:hAnsi="Book Antiqua"/>
          <w:i/>
        </w:rPr>
      </w:pPr>
      <w:r>
        <w:rPr>
          <w:rFonts w:ascii="Book Antiqua" w:hAnsi="Book Antiqua"/>
          <w:i/>
        </w:rPr>
        <w:lastRenderedPageBreak/>
        <w:t>The grounds and submissions</w:t>
      </w:r>
    </w:p>
    <w:p w14:paraId="4376F785" w14:textId="77777777" w:rsidR="00EA460B" w:rsidRDefault="00EA460B" w:rsidP="0062166F">
      <w:pPr>
        <w:numPr>
          <w:ilvl w:val="0"/>
          <w:numId w:val="2"/>
        </w:numPr>
        <w:spacing w:before="240"/>
        <w:jc w:val="both"/>
        <w:rPr>
          <w:rFonts w:ascii="Book Antiqua" w:hAnsi="Book Antiqua"/>
        </w:rPr>
      </w:pPr>
      <w:r>
        <w:rPr>
          <w:rFonts w:ascii="Book Antiqua" w:hAnsi="Book Antiqua"/>
        </w:rPr>
        <w:t>The appellant’s grounds contend</w:t>
      </w:r>
      <w:proofErr w:type="gramStart"/>
      <w:r w:rsidR="00B830A3">
        <w:rPr>
          <w:rFonts w:ascii="Book Antiqua" w:hAnsi="Book Antiqua"/>
        </w:rPr>
        <w:t>, in essence, that</w:t>
      </w:r>
      <w:proofErr w:type="gramEnd"/>
      <w:r w:rsidR="00B830A3">
        <w:rPr>
          <w:rFonts w:ascii="Book Antiqua" w:hAnsi="Book Antiqua"/>
        </w:rPr>
        <w:t xml:space="preserve"> because the relevant date for assessment of the evidence was the date of the hearing before the </w:t>
      </w:r>
      <w:proofErr w:type="spellStart"/>
      <w:r w:rsidR="00B830A3">
        <w:rPr>
          <w:rFonts w:ascii="Book Antiqua" w:hAnsi="Book Antiqua"/>
        </w:rPr>
        <w:t>FtJ</w:t>
      </w:r>
      <w:proofErr w:type="spellEnd"/>
      <w:r w:rsidR="00B830A3">
        <w:rPr>
          <w:rFonts w:ascii="Book Antiqua" w:hAnsi="Book Antiqua"/>
        </w:rPr>
        <w:t xml:space="preserve">, she had erred in </w:t>
      </w:r>
      <w:r w:rsidR="004F468C">
        <w:rPr>
          <w:rFonts w:ascii="Book Antiqua" w:hAnsi="Book Antiqua"/>
        </w:rPr>
        <w:t>failing to take into account that as of the date of hearing the appellant was able to meet the financial requirements of the Rules in terms of her husband’s</w:t>
      </w:r>
      <w:r w:rsidR="00B46E57">
        <w:rPr>
          <w:rFonts w:ascii="Book Antiqua" w:hAnsi="Book Antiqua"/>
        </w:rPr>
        <w:t xml:space="preserve"> (“the sponsor’s”)</w:t>
      </w:r>
      <w:r w:rsidR="004F468C">
        <w:rPr>
          <w:rFonts w:ascii="Book Antiqua" w:hAnsi="Book Antiqua"/>
        </w:rPr>
        <w:t xml:space="preserve"> earnings. </w:t>
      </w:r>
    </w:p>
    <w:p w14:paraId="46028328" w14:textId="77777777" w:rsidR="00FC1C3A" w:rsidRDefault="00B46E57" w:rsidP="0062166F">
      <w:pPr>
        <w:numPr>
          <w:ilvl w:val="0"/>
          <w:numId w:val="2"/>
        </w:numPr>
        <w:spacing w:before="240"/>
        <w:jc w:val="both"/>
        <w:rPr>
          <w:rFonts w:ascii="Book Antiqua" w:hAnsi="Book Antiqua"/>
        </w:rPr>
      </w:pPr>
      <w:r>
        <w:rPr>
          <w:rFonts w:ascii="Book Antiqua" w:hAnsi="Book Antiqua"/>
        </w:rPr>
        <w:t xml:space="preserve">Indeed, the grounds contend that even as at the date of the respondent’s decision the appellant </w:t>
      </w:r>
      <w:proofErr w:type="gramStart"/>
      <w:r>
        <w:rPr>
          <w:rFonts w:ascii="Book Antiqua" w:hAnsi="Book Antiqua"/>
        </w:rPr>
        <w:t>was able to</w:t>
      </w:r>
      <w:proofErr w:type="gramEnd"/>
      <w:r>
        <w:rPr>
          <w:rFonts w:ascii="Book Antiqua" w:hAnsi="Book Antiqua"/>
        </w:rPr>
        <w:t xml:space="preserve"> meet the financial requirements of the Rules in </w:t>
      </w:r>
      <w:r w:rsidR="009F3853">
        <w:rPr>
          <w:rFonts w:ascii="Book Antiqua" w:hAnsi="Book Antiqua"/>
        </w:rPr>
        <w:t>that respect</w:t>
      </w:r>
      <w:r>
        <w:rPr>
          <w:rFonts w:ascii="Book Antiqua" w:hAnsi="Book Antiqua"/>
        </w:rPr>
        <w:t>.</w:t>
      </w:r>
      <w:r w:rsidR="00E43002">
        <w:rPr>
          <w:rFonts w:ascii="Book Antiqua" w:hAnsi="Book Antiqua"/>
        </w:rPr>
        <w:t xml:space="preserve"> What are said to be his earnings from his </w:t>
      </w:r>
      <w:r w:rsidR="005D4B6D">
        <w:rPr>
          <w:rFonts w:ascii="Book Antiqua" w:hAnsi="Book Antiqua"/>
        </w:rPr>
        <w:t>employment(s) are set out</w:t>
      </w:r>
      <w:r w:rsidR="00F77552">
        <w:rPr>
          <w:rFonts w:ascii="Book Antiqua" w:hAnsi="Book Antiqua"/>
        </w:rPr>
        <w:t xml:space="preserve"> in the grounds.</w:t>
      </w:r>
    </w:p>
    <w:p w14:paraId="696E6733" w14:textId="77777777" w:rsidR="008B1189" w:rsidRDefault="005D4B6D" w:rsidP="008B1189">
      <w:pPr>
        <w:numPr>
          <w:ilvl w:val="0"/>
          <w:numId w:val="2"/>
        </w:numPr>
        <w:spacing w:before="240"/>
        <w:jc w:val="both"/>
        <w:rPr>
          <w:rFonts w:ascii="Book Antiqua" w:hAnsi="Book Antiqua"/>
        </w:rPr>
      </w:pPr>
      <w:r w:rsidRPr="008B1189">
        <w:rPr>
          <w:rFonts w:ascii="Book Antiqua" w:hAnsi="Book Antiqua"/>
        </w:rPr>
        <w:t xml:space="preserve">It is also asserted in the grounds that </w:t>
      </w:r>
      <w:r w:rsidR="00804684" w:rsidRPr="008B1189">
        <w:rPr>
          <w:rFonts w:ascii="Book Antiqua" w:hAnsi="Book Antiqua"/>
        </w:rPr>
        <w:t>the appellant and the sponsor would have no means of obtaining an income o</w:t>
      </w:r>
      <w:r w:rsidR="00EE2D80">
        <w:rPr>
          <w:rFonts w:ascii="Book Antiqua" w:hAnsi="Book Antiqua"/>
        </w:rPr>
        <w:t>r</w:t>
      </w:r>
      <w:r w:rsidR="00804684" w:rsidRPr="008B1189">
        <w:rPr>
          <w:rFonts w:ascii="Book Antiqua" w:hAnsi="Book Antiqua"/>
        </w:rPr>
        <w:t xml:space="preserve"> being provided with financial support if returned to India</w:t>
      </w:r>
      <w:r w:rsidR="009A54F3" w:rsidRPr="008B1189">
        <w:rPr>
          <w:rFonts w:ascii="Book Antiqua" w:hAnsi="Book Antiqua"/>
        </w:rPr>
        <w:t xml:space="preserve">. The sponsor had been living in the UK for 11 years and is now aged over </w:t>
      </w:r>
      <w:r w:rsidR="00F77552">
        <w:rPr>
          <w:rFonts w:ascii="Book Antiqua" w:hAnsi="Book Antiqua"/>
        </w:rPr>
        <w:t>sixty</w:t>
      </w:r>
      <w:r w:rsidR="009A54F3" w:rsidRPr="008B1189">
        <w:rPr>
          <w:rFonts w:ascii="Book Antiqua" w:hAnsi="Book Antiqua"/>
        </w:rPr>
        <w:t xml:space="preserve">. </w:t>
      </w:r>
      <w:r w:rsidR="008F0DAA" w:rsidRPr="008B1189">
        <w:rPr>
          <w:rFonts w:ascii="Book Antiqua" w:hAnsi="Book Antiqua"/>
        </w:rPr>
        <w:t xml:space="preserve">He would not be able to find a job in India sufficient to provide for them both. </w:t>
      </w:r>
    </w:p>
    <w:p w14:paraId="4B7A0F48" w14:textId="77777777" w:rsidR="00817836" w:rsidRPr="00817836" w:rsidRDefault="003F01A8" w:rsidP="008B1189">
      <w:pPr>
        <w:numPr>
          <w:ilvl w:val="0"/>
          <w:numId w:val="2"/>
        </w:numPr>
        <w:spacing w:before="240"/>
        <w:jc w:val="both"/>
        <w:rPr>
          <w:rFonts w:ascii="Book Antiqua" w:hAnsi="Book Antiqua"/>
        </w:rPr>
      </w:pPr>
      <w:r w:rsidRPr="008B1189">
        <w:rPr>
          <w:rFonts w:ascii="Book Antiqua" w:hAnsi="Book Antiqua"/>
        </w:rPr>
        <w:t xml:space="preserve">The grounds contend that the </w:t>
      </w:r>
      <w:proofErr w:type="spellStart"/>
      <w:r w:rsidRPr="008B1189">
        <w:rPr>
          <w:rFonts w:ascii="Book Antiqua" w:hAnsi="Book Antiqua"/>
        </w:rPr>
        <w:t>FtJ</w:t>
      </w:r>
      <w:proofErr w:type="spellEnd"/>
      <w:r w:rsidRPr="008B1189">
        <w:rPr>
          <w:rFonts w:ascii="Book Antiqua" w:hAnsi="Book Antiqua"/>
        </w:rPr>
        <w:t xml:space="preserve"> had</w:t>
      </w:r>
      <w:r w:rsidR="00817836">
        <w:rPr>
          <w:rFonts w:ascii="Book Antiqua" w:hAnsi="Book Antiqua"/>
        </w:rPr>
        <w:t xml:space="preserve"> set too high a threshold for engagement of Article 8 and had</w:t>
      </w:r>
      <w:r w:rsidRPr="008B1189">
        <w:rPr>
          <w:rFonts w:ascii="Book Antiqua" w:hAnsi="Book Antiqua"/>
        </w:rPr>
        <w:t xml:space="preserve"> failed to apply the five-stage </w:t>
      </w:r>
      <w:r w:rsidRPr="008B1189">
        <w:rPr>
          <w:rFonts w:ascii="Book Antiqua" w:hAnsi="Book Antiqua" w:cs="Arial"/>
          <w:i/>
        </w:rPr>
        <w:t>R (</w:t>
      </w:r>
      <w:proofErr w:type="spellStart"/>
      <w:r w:rsidRPr="008B1189">
        <w:rPr>
          <w:rFonts w:ascii="Book Antiqua" w:hAnsi="Book Antiqua" w:cs="Arial"/>
          <w:i/>
        </w:rPr>
        <w:t>Razgar</w:t>
      </w:r>
      <w:proofErr w:type="spellEnd"/>
      <w:r w:rsidRPr="008B1189">
        <w:rPr>
          <w:rFonts w:ascii="Book Antiqua" w:hAnsi="Book Antiqua" w:cs="Arial"/>
          <w:i/>
        </w:rPr>
        <w:t xml:space="preserve">) v Secretary of State for the Home </w:t>
      </w:r>
      <w:proofErr w:type="gramStart"/>
      <w:r w:rsidRPr="008B1189">
        <w:rPr>
          <w:rFonts w:ascii="Book Antiqua" w:hAnsi="Book Antiqua" w:cs="Arial"/>
          <w:i/>
        </w:rPr>
        <w:t xml:space="preserve">Department  </w:t>
      </w:r>
      <w:r w:rsidRPr="008B1189">
        <w:rPr>
          <w:rFonts w:ascii="Book Antiqua" w:hAnsi="Book Antiqua" w:cs="Arial"/>
        </w:rPr>
        <w:t>[</w:t>
      </w:r>
      <w:proofErr w:type="gramEnd"/>
      <w:r w:rsidRPr="008B1189">
        <w:rPr>
          <w:rFonts w:ascii="Book Antiqua" w:hAnsi="Book Antiqua" w:cs="Arial"/>
        </w:rPr>
        <w:t>2004] 2 AC 368</w:t>
      </w:r>
      <w:r w:rsidR="008B1189">
        <w:rPr>
          <w:rFonts w:ascii="Book Antiqua" w:hAnsi="Book Antiqua" w:cs="Arial"/>
        </w:rPr>
        <w:t xml:space="preserve"> approach</w:t>
      </w:r>
      <w:r w:rsidR="00817836">
        <w:rPr>
          <w:rFonts w:ascii="Book Antiqua" w:hAnsi="Book Antiqua" w:cs="Arial"/>
        </w:rPr>
        <w:t>.</w:t>
      </w:r>
    </w:p>
    <w:p w14:paraId="24A90B62" w14:textId="77777777" w:rsidR="00047765" w:rsidRPr="00E419AB" w:rsidRDefault="00817836" w:rsidP="008B1189">
      <w:pPr>
        <w:numPr>
          <w:ilvl w:val="0"/>
          <w:numId w:val="2"/>
        </w:numPr>
        <w:spacing w:before="240"/>
        <w:jc w:val="both"/>
        <w:rPr>
          <w:rFonts w:ascii="Book Antiqua" w:hAnsi="Book Antiqua"/>
        </w:rPr>
      </w:pPr>
      <w:r>
        <w:rPr>
          <w:rFonts w:ascii="Book Antiqua" w:hAnsi="Book Antiqua" w:cs="Arial"/>
        </w:rPr>
        <w:t>In submission</w:t>
      </w:r>
      <w:r w:rsidR="006A6EB7">
        <w:rPr>
          <w:rFonts w:ascii="Book Antiqua" w:hAnsi="Book Antiqua" w:cs="Arial"/>
        </w:rPr>
        <w:t xml:space="preserve">s, Mr Raza refined the </w:t>
      </w:r>
      <w:r w:rsidR="00AC3686">
        <w:rPr>
          <w:rFonts w:ascii="Book Antiqua" w:hAnsi="Book Antiqua" w:cs="Arial"/>
        </w:rPr>
        <w:t>arguments on behalf of the appellant in that it was conceded that</w:t>
      </w:r>
      <w:r w:rsidR="00DC3757">
        <w:rPr>
          <w:rFonts w:ascii="Book Antiqua" w:hAnsi="Book Antiqua" w:cs="Arial"/>
        </w:rPr>
        <w:t>,</w:t>
      </w:r>
      <w:r w:rsidR="00AC3686">
        <w:rPr>
          <w:rFonts w:ascii="Book Antiqua" w:hAnsi="Book Antiqua" w:cs="Arial"/>
        </w:rPr>
        <w:t xml:space="preserve"> contrary to what is said in the written grounds, the appellant was not able to meet the requirements of the Rules as at the date of the decision because there was a failure to provide the specified evidence in accordance with the Rules. </w:t>
      </w:r>
      <w:r w:rsidR="00E419AB">
        <w:rPr>
          <w:rFonts w:ascii="Book Antiqua" w:hAnsi="Book Antiqua" w:cs="Arial"/>
        </w:rPr>
        <w:t>Thus, [13] of the grounds was not correct.</w:t>
      </w:r>
    </w:p>
    <w:p w14:paraId="04267A5C" w14:textId="77777777" w:rsidR="00E419AB" w:rsidRDefault="00E419AB" w:rsidP="008B1189">
      <w:pPr>
        <w:numPr>
          <w:ilvl w:val="0"/>
          <w:numId w:val="2"/>
        </w:numPr>
        <w:spacing w:before="240"/>
        <w:jc w:val="both"/>
        <w:rPr>
          <w:rFonts w:ascii="Book Antiqua" w:hAnsi="Book Antiqua"/>
        </w:rPr>
      </w:pPr>
      <w:r>
        <w:rPr>
          <w:rFonts w:ascii="Book Antiqua" w:hAnsi="Book Antiqua"/>
        </w:rPr>
        <w:t xml:space="preserve">I was referred to the financial evidence in the respondent’s bundle </w:t>
      </w:r>
      <w:r w:rsidR="00327805">
        <w:rPr>
          <w:rFonts w:ascii="Book Antiqua" w:hAnsi="Book Antiqua"/>
        </w:rPr>
        <w:t>which at page 16-19 include</w:t>
      </w:r>
      <w:r w:rsidR="00DC3757">
        <w:rPr>
          <w:rFonts w:ascii="Book Antiqua" w:hAnsi="Book Antiqua"/>
        </w:rPr>
        <w:t>s</w:t>
      </w:r>
      <w:r w:rsidR="00327805">
        <w:rPr>
          <w:rFonts w:ascii="Book Antiqua" w:hAnsi="Book Antiqua"/>
        </w:rPr>
        <w:t xml:space="preserve"> payslips for the sponsor going back </w:t>
      </w:r>
      <w:proofErr w:type="gramStart"/>
      <w:r w:rsidR="00327805">
        <w:rPr>
          <w:rFonts w:ascii="Book Antiqua" w:hAnsi="Book Antiqua"/>
        </w:rPr>
        <w:t>in excess of</w:t>
      </w:r>
      <w:proofErr w:type="gramEnd"/>
      <w:r w:rsidR="00327805">
        <w:rPr>
          <w:rFonts w:ascii="Book Antiqua" w:hAnsi="Book Antiqua"/>
        </w:rPr>
        <w:t xml:space="preserve"> six months</w:t>
      </w:r>
      <w:r w:rsidR="005A084E">
        <w:rPr>
          <w:rFonts w:ascii="Book Antiqua" w:hAnsi="Book Antiqua"/>
        </w:rPr>
        <w:t xml:space="preserve">, and payslips </w:t>
      </w:r>
      <w:r w:rsidR="00282F1F">
        <w:rPr>
          <w:rFonts w:ascii="Book Antiqua" w:hAnsi="Book Antiqua"/>
        </w:rPr>
        <w:t>from page 20 showing gross income of £20,280 to 31 March 2017</w:t>
      </w:r>
      <w:r w:rsidR="0064122D">
        <w:rPr>
          <w:rFonts w:ascii="Book Antiqua" w:hAnsi="Book Antiqua"/>
        </w:rPr>
        <w:t xml:space="preserve">. There was also a P60 at page </w:t>
      </w:r>
      <w:r w:rsidR="0088452B">
        <w:rPr>
          <w:rFonts w:ascii="Book Antiqua" w:hAnsi="Book Antiqua"/>
        </w:rPr>
        <w:t xml:space="preserve">33 </w:t>
      </w:r>
      <w:r w:rsidR="003344D5">
        <w:rPr>
          <w:rFonts w:ascii="Book Antiqua" w:hAnsi="Book Antiqua"/>
        </w:rPr>
        <w:t>for 2017 showing a gross income of £20,280. From page 37 there were six months’ worth of bank statements to April 2017</w:t>
      </w:r>
      <w:r w:rsidR="003A0182">
        <w:rPr>
          <w:rFonts w:ascii="Book Antiqua" w:hAnsi="Book Antiqua"/>
        </w:rPr>
        <w:t xml:space="preserve"> showing deposits consistent with the sponsor’s earnings. </w:t>
      </w:r>
    </w:p>
    <w:p w14:paraId="5330C109" w14:textId="77777777" w:rsidR="000E7DCB" w:rsidRDefault="003A0182" w:rsidP="00511ADB">
      <w:pPr>
        <w:numPr>
          <w:ilvl w:val="0"/>
          <w:numId w:val="2"/>
        </w:numPr>
        <w:spacing w:before="240"/>
        <w:jc w:val="both"/>
        <w:rPr>
          <w:rFonts w:ascii="Book Antiqua" w:hAnsi="Book Antiqua"/>
        </w:rPr>
      </w:pPr>
      <w:r>
        <w:rPr>
          <w:rFonts w:ascii="Book Antiqua" w:hAnsi="Book Antiqua"/>
        </w:rPr>
        <w:t xml:space="preserve">Reliance was placed </w:t>
      </w:r>
      <w:proofErr w:type="gramStart"/>
      <w:r>
        <w:rPr>
          <w:rFonts w:ascii="Book Antiqua" w:hAnsi="Book Antiqua"/>
        </w:rPr>
        <w:t>in particular on</w:t>
      </w:r>
      <w:proofErr w:type="gramEnd"/>
      <w:r>
        <w:rPr>
          <w:rFonts w:ascii="Book Antiqua" w:hAnsi="Book Antiqua"/>
        </w:rPr>
        <w:t xml:space="preserve"> </w:t>
      </w:r>
      <w:proofErr w:type="spellStart"/>
      <w:r w:rsidR="00A74559">
        <w:rPr>
          <w:rFonts w:ascii="Book Antiqua" w:hAnsi="Book Antiqua"/>
          <w:i/>
        </w:rPr>
        <w:t>Agyarko</w:t>
      </w:r>
      <w:proofErr w:type="spellEnd"/>
      <w:r w:rsidR="00A74559">
        <w:rPr>
          <w:rFonts w:ascii="Book Antiqua" w:hAnsi="Book Antiqua"/>
          <w:i/>
        </w:rPr>
        <w:t xml:space="preserve"> v Secretary of State for the Home Department </w:t>
      </w:r>
      <w:r w:rsidR="00511ADB" w:rsidRPr="00511ADB">
        <w:rPr>
          <w:rFonts w:ascii="Book Antiqua" w:hAnsi="Book Antiqua"/>
        </w:rPr>
        <w:t>[2017] UKSC 11</w:t>
      </w:r>
      <w:r w:rsidR="00511ADB">
        <w:rPr>
          <w:rFonts w:ascii="Book Antiqua" w:hAnsi="Book Antiqua"/>
        </w:rPr>
        <w:t xml:space="preserve"> at [51] (</w:t>
      </w:r>
      <w:r w:rsidR="00DC3757">
        <w:rPr>
          <w:rFonts w:ascii="Book Antiqua" w:hAnsi="Book Antiqua"/>
        </w:rPr>
        <w:t>quoted</w:t>
      </w:r>
      <w:r w:rsidR="00511ADB">
        <w:rPr>
          <w:rFonts w:ascii="Book Antiqua" w:hAnsi="Book Antiqua"/>
        </w:rPr>
        <w:t xml:space="preserve"> below). </w:t>
      </w:r>
      <w:r w:rsidR="00F55F47">
        <w:rPr>
          <w:rFonts w:ascii="Book Antiqua" w:hAnsi="Book Antiqua"/>
        </w:rPr>
        <w:t xml:space="preserve">The only disputed issue in the appeal before the </w:t>
      </w:r>
      <w:proofErr w:type="spellStart"/>
      <w:r w:rsidR="00F55F47">
        <w:rPr>
          <w:rFonts w:ascii="Book Antiqua" w:hAnsi="Book Antiqua"/>
        </w:rPr>
        <w:t>FtJ</w:t>
      </w:r>
      <w:proofErr w:type="spellEnd"/>
      <w:r w:rsidR="00F55F47">
        <w:rPr>
          <w:rFonts w:ascii="Book Antiqua" w:hAnsi="Book Antiqua"/>
        </w:rPr>
        <w:t xml:space="preserve"> was in terms of the financial requirements of the Rules</w:t>
      </w:r>
      <w:r w:rsidR="007C7564">
        <w:rPr>
          <w:rFonts w:ascii="Book Antiqua" w:hAnsi="Book Antiqua"/>
        </w:rPr>
        <w:t xml:space="preserve">. The appellant had previous leave as a spouse so did not need to provide </w:t>
      </w:r>
      <w:r w:rsidR="00125E9C">
        <w:rPr>
          <w:rFonts w:ascii="Book Antiqua" w:hAnsi="Book Antiqua"/>
        </w:rPr>
        <w:t xml:space="preserve">further proof of English language ability, contrary to what the </w:t>
      </w:r>
      <w:proofErr w:type="spellStart"/>
      <w:r w:rsidR="00125E9C">
        <w:rPr>
          <w:rFonts w:ascii="Book Antiqua" w:hAnsi="Book Antiqua"/>
        </w:rPr>
        <w:t>FtJ</w:t>
      </w:r>
      <w:proofErr w:type="spellEnd"/>
      <w:r w:rsidR="00125E9C">
        <w:rPr>
          <w:rFonts w:ascii="Book Antiqua" w:hAnsi="Book Antiqua"/>
        </w:rPr>
        <w:t xml:space="preserve"> said. </w:t>
      </w:r>
      <w:r w:rsidR="000072FC">
        <w:rPr>
          <w:rFonts w:ascii="Book Antiqua" w:hAnsi="Book Antiqua"/>
        </w:rPr>
        <w:t xml:space="preserve"> The </w:t>
      </w:r>
      <w:r w:rsidR="00B92731">
        <w:rPr>
          <w:rFonts w:ascii="Book Antiqua" w:hAnsi="Book Antiqua"/>
        </w:rPr>
        <w:t xml:space="preserve">relationship </w:t>
      </w:r>
      <w:r w:rsidR="000072FC">
        <w:rPr>
          <w:rFonts w:ascii="Book Antiqua" w:hAnsi="Book Antiqua"/>
        </w:rPr>
        <w:t xml:space="preserve">requirements </w:t>
      </w:r>
      <w:r w:rsidR="00B92731">
        <w:rPr>
          <w:rFonts w:ascii="Book Antiqua" w:hAnsi="Book Antiqua"/>
        </w:rPr>
        <w:t>and</w:t>
      </w:r>
      <w:r w:rsidR="000072FC">
        <w:rPr>
          <w:rFonts w:ascii="Book Antiqua" w:hAnsi="Book Antiqua"/>
        </w:rPr>
        <w:t xml:space="preserve"> the </w:t>
      </w:r>
      <w:r w:rsidR="00AA36DA">
        <w:rPr>
          <w:rFonts w:ascii="Book Antiqua" w:hAnsi="Book Antiqua"/>
        </w:rPr>
        <w:t>appellant’s immigration</w:t>
      </w:r>
      <w:r w:rsidR="003D347F">
        <w:rPr>
          <w:rFonts w:ascii="Book Antiqua" w:hAnsi="Book Antiqua"/>
        </w:rPr>
        <w:t xml:space="preserve"> </w:t>
      </w:r>
      <w:r w:rsidR="000072FC">
        <w:rPr>
          <w:rFonts w:ascii="Book Antiqua" w:hAnsi="Book Antiqua"/>
        </w:rPr>
        <w:t>status</w:t>
      </w:r>
      <w:r w:rsidR="00E4010E">
        <w:rPr>
          <w:rFonts w:ascii="Book Antiqua" w:hAnsi="Book Antiqua"/>
        </w:rPr>
        <w:t xml:space="preserve"> and</w:t>
      </w:r>
      <w:r w:rsidR="000072FC">
        <w:rPr>
          <w:rFonts w:ascii="Book Antiqua" w:hAnsi="Book Antiqua"/>
        </w:rPr>
        <w:t xml:space="preserve"> accommodation</w:t>
      </w:r>
      <w:r w:rsidR="003D347F">
        <w:rPr>
          <w:rFonts w:ascii="Book Antiqua" w:hAnsi="Book Antiqua"/>
        </w:rPr>
        <w:t xml:space="preserve"> requirements</w:t>
      </w:r>
      <w:r w:rsidR="00E4010E">
        <w:rPr>
          <w:rFonts w:ascii="Book Antiqua" w:hAnsi="Book Antiqua"/>
        </w:rPr>
        <w:t xml:space="preserve"> were also met. Accordingly, as indicated </w:t>
      </w:r>
      <w:r w:rsidR="003D347F">
        <w:rPr>
          <w:rFonts w:ascii="Book Antiqua" w:hAnsi="Book Antiqua"/>
        </w:rPr>
        <w:t xml:space="preserve">in </w:t>
      </w:r>
      <w:proofErr w:type="spellStart"/>
      <w:r w:rsidR="00A04E97">
        <w:rPr>
          <w:rFonts w:ascii="Book Antiqua" w:hAnsi="Book Antiqua"/>
          <w:i/>
        </w:rPr>
        <w:t>Agyarko</w:t>
      </w:r>
      <w:proofErr w:type="spellEnd"/>
      <w:r w:rsidR="00A04E97">
        <w:rPr>
          <w:rFonts w:ascii="Book Antiqua" w:hAnsi="Book Antiqua"/>
        </w:rPr>
        <w:t xml:space="preserve">, the public interest did not require the appellant’s removal. </w:t>
      </w:r>
    </w:p>
    <w:p w14:paraId="106A5728" w14:textId="77777777" w:rsidR="003E7E57" w:rsidRPr="00E76E10" w:rsidRDefault="000E7DCB" w:rsidP="00E76E10">
      <w:pPr>
        <w:numPr>
          <w:ilvl w:val="0"/>
          <w:numId w:val="2"/>
        </w:numPr>
        <w:spacing w:before="240"/>
        <w:jc w:val="both"/>
        <w:rPr>
          <w:rFonts w:ascii="Book Antiqua" w:hAnsi="Book Antiqua"/>
        </w:rPr>
      </w:pPr>
      <w:r w:rsidRPr="003E7E57">
        <w:rPr>
          <w:rFonts w:ascii="Book Antiqua" w:hAnsi="Book Antiqua"/>
        </w:rPr>
        <w:t xml:space="preserve">In his </w:t>
      </w:r>
      <w:proofErr w:type="gramStart"/>
      <w:r w:rsidRPr="003E7E57">
        <w:rPr>
          <w:rFonts w:ascii="Book Antiqua" w:hAnsi="Book Antiqua"/>
        </w:rPr>
        <w:t xml:space="preserve">submissions, </w:t>
      </w:r>
      <w:r w:rsidR="000072FC" w:rsidRPr="003E7E57">
        <w:rPr>
          <w:rFonts w:ascii="Book Antiqua" w:hAnsi="Book Antiqua"/>
        </w:rPr>
        <w:t xml:space="preserve"> </w:t>
      </w:r>
      <w:r w:rsidR="00004B27" w:rsidRPr="003E7E57">
        <w:rPr>
          <w:rFonts w:ascii="Book Antiqua" w:eastAsia="Book Antiqua" w:hAnsi="Book Antiqua" w:cs="Book Antiqua"/>
        </w:rPr>
        <w:t>Mr</w:t>
      </w:r>
      <w:proofErr w:type="gramEnd"/>
      <w:r w:rsidR="00004B27" w:rsidRPr="003E7E57">
        <w:rPr>
          <w:rFonts w:ascii="Book Antiqua" w:eastAsia="Book Antiqua" w:hAnsi="Book Antiqua" w:cs="Book Antiqua"/>
        </w:rPr>
        <w:t xml:space="preserve"> </w:t>
      </w:r>
      <w:proofErr w:type="spellStart"/>
      <w:r w:rsidR="00004B27" w:rsidRPr="003E7E57">
        <w:rPr>
          <w:rFonts w:ascii="Book Antiqua" w:hAnsi="Book Antiqua" w:cs="Arial"/>
        </w:rPr>
        <w:t>Diwnyez</w:t>
      </w:r>
      <w:proofErr w:type="spellEnd"/>
      <w:r w:rsidR="00D50CD0" w:rsidRPr="003E7E57">
        <w:rPr>
          <w:rFonts w:ascii="Book Antiqua" w:hAnsi="Book Antiqua" w:cs="Arial"/>
        </w:rPr>
        <w:t xml:space="preserve"> contended that the </w:t>
      </w:r>
      <w:proofErr w:type="spellStart"/>
      <w:r w:rsidR="00D50CD0" w:rsidRPr="003E7E57">
        <w:rPr>
          <w:rFonts w:ascii="Book Antiqua" w:hAnsi="Book Antiqua" w:cs="Arial"/>
        </w:rPr>
        <w:t>FtJ’s</w:t>
      </w:r>
      <w:proofErr w:type="spellEnd"/>
      <w:r w:rsidR="00D50CD0" w:rsidRPr="003E7E57">
        <w:rPr>
          <w:rFonts w:ascii="Book Antiqua" w:hAnsi="Book Antiqua" w:cs="Arial"/>
        </w:rPr>
        <w:t xml:space="preserve"> decision was a thorough one</w:t>
      </w:r>
      <w:r w:rsidR="00EA6B77" w:rsidRPr="003E7E57">
        <w:rPr>
          <w:rFonts w:ascii="Book Antiqua" w:hAnsi="Book Antiqua" w:cs="Arial"/>
        </w:rPr>
        <w:t xml:space="preserve">. It was clear from [4] of her decision that </w:t>
      </w:r>
      <w:r w:rsidR="008738DD" w:rsidRPr="003E7E57">
        <w:rPr>
          <w:rFonts w:ascii="Book Antiqua" w:hAnsi="Book Antiqua" w:cs="Arial"/>
        </w:rPr>
        <w:t>it was conceded that the appellant was unable to meet the requirements of the Article 8 Rules</w:t>
      </w:r>
      <w:r w:rsidR="00D90BB3" w:rsidRPr="003E7E57">
        <w:rPr>
          <w:rFonts w:ascii="Book Antiqua" w:hAnsi="Book Antiqua" w:cs="Arial"/>
        </w:rPr>
        <w:t xml:space="preserve">, and at [9] it is also clear that it was accepted that there was a shortfall in the </w:t>
      </w:r>
      <w:r w:rsidR="0033262F" w:rsidRPr="003E7E57">
        <w:rPr>
          <w:rFonts w:ascii="Book Antiqua" w:hAnsi="Book Antiqua" w:cs="Arial"/>
        </w:rPr>
        <w:t xml:space="preserve">income necessary to meet the Rules (at the </w:t>
      </w:r>
      <w:r w:rsidR="0033262F" w:rsidRPr="003E7E57">
        <w:rPr>
          <w:rFonts w:ascii="Book Antiqua" w:hAnsi="Book Antiqua" w:cs="Arial"/>
        </w:rPr>
        <w:lastRenderedPageBreak/>
        <w:t xml:space="preserve">date of the decision). </w:t>
      </w:r>
      <w:r w:rsidR="00775186" w:rsidRPr="003E7E57">
        <w:rPr>
          <w:rFonts w:ascii="Book Antiqua" w:hAnsi="Book Antiqua"/>
        </w:rPr>
        <w:t xml:space="preserve">It was further </w:t>
      </w:r>
      <w:r w:rsidR="003D347F">
        <w:rPr>
          <w:rFonts w:ascii="Book Antiqua" w:hAnsi="Book Antiqua"/>
        </w:rPr>
        <w:t>pointed out</w:t>
      </w:r>
      <w:r w:rsidR="00775186" w:rsidRPr="003E7E57">
        <w:rPr>
          <w:rFonts w:ascii="Book Antiqua" w:hAnsi="Book Antiqua"/>
        </w:rPr>
        <w:t xml:space="preserve"> that the </w:t>
      </w:r>
      <w:proofErr w:type="spellStart"/>
      <w:r w:rsidR="00775186" w:rsidRPr="003E7E57">
        <w:rPr>
          <w:rFonts w:ascii="Book Antiqua" w:hAnsi="Book Antiqua"/>
        </w:rPr>
        <w:t>FtJ</w:t>
      </w:r>
      <w:proofErr w:type="spellEnd"/>
      <w:r w:rsidR="00775186" w:rsidRPr="003E7E57">
        <w:rPr>
          <w:rFonts w:ascii="Book Antiqua" w:hAnsi="Book Antiqua"/>
        </w:rPr>
        <w:t xml:space="preserve"> was not referred to the decision in </w:t>
      </w:r>
      <w:proofErr w:type="spellStart"/>
      <w:r w:rsidR="00775186" w:rsidRPr="003E7E57">
        <w:rPr>
          <w:rFonts w:ascii="Book Antiqua" w:hAnsi="Book Antiqua"/>
          <w:i/>
        </w:rPr>
        <w:t>Agyarko</w:t>
      </w:r>
      <w:proofErr w:type="spellEnd"/>
      <w:r w:rsidR="003E7E57">
        <w:rPr>
          <w:rFonts w:ascii="Book Antiqua" w:hAnsi="Book Antiqua"/>
        </w:rPr>
        <w:t>.</w:t>
      </w:r>
    </w:p>
    <w:p w14:paraId="5A9E47B0" w14:textId="77777777" w:rsidR="003F01A8" w:rsidRPr="008B1189" w:rsidRDefault="00047765" w:rsidP="00047765">
      <w:pPr>
        <w:spacing w:before="240"/>
        <w:ind w:left="567"/>
        <w:jc w:val="both"/>
        <w:rPr>
          <w:rFonts w:ascii="Book Antiqua" w:hAnsi="Book Antiqua"/>
        </w:rPr>
      </w:pPr>
      <w:r>
        <w:rPr>
          <w:rFonts w:ascii="Book Antiqua" w:hAnsi="Book Antiqua" w:cs="Arial"/>
          <w:i/>
        </w:rPr>
        <w:t xml:space="preserve">The </w:t>
      </w:r>
      <w:proofErr w:type="spellStart"/>
      <w:r>
        <w:rPr>
          <w:rFonts w:ascii="Book Antiqua" w:hAnsi="Book Antiqua" w:cs="Arial"/>
          <w:i/>
        </w:rPr>
        <w:t>FtJ’s</w:t>
      </w:r>
      <w:proofErr w:type="spellEnd"/>
      <w:r>
        <w:rPr>
          <w:rFonts w:ascii="Book Antiqua" w:hAnsi="Book Antiqua" w:cs="Arial"/>
          <w:i/>
        </w:rPr>
        <w:t xml:space="preserve"> decision</w:t>
      </w:r>
      <w:r w:rsidR="008B1189">
        <w:rPr>
          <w:rFonts w:ascii="Book Antiqua" w:hAnsi="Book Antiqua" w:cs="Arial"/>
        </w:rPr>
        <w:t xml:space="preserve"> </w:t>
      </w:r>
    </w:p>
    <w:p w14:paraId="05310096" w14:textId="77777777" w:rsidR="00D629E7" w:rsidRDefault="00B3329E" w:rsidP="0062166F">
      <w:pPr>
        <w:numPr>
          <w:ilvl w:val="0"/>
          <w:numId w:val="2"/>
        </w:numPr>
        <w:spacing w:before="240"/>
        <w:jc w:val="both"/>
        <w:rPr>
          <w:rFonts w:ascii="Book Antiqua" w:hAnsi="Book Antiqua"/>
        </w:rPr>
      </w:pPr>
      <w:r>
        <w:rPr>
          <w:rFonts w:ascii="Book Antiqua" w:hAnsi="Book Antiqua"/>
        </w:rPr>
        <w:t>After setting out the</w:t>
      </w:r>
      <w:r w:rsidR="00395738">
        <w:rPr>
          <w:rFonts w:ascii="Book Antiqua" w:hAnsi="Book Antiqua"/>
        </w:rPr>
        <w:t xml:space="preserve"> chronology and the</w:t>
      </w:r>
      <w:r>
        <w:rPr>
          <w:rFonts w:ascii="Book Antiqua" w:hAnsi="Book Antiqua"/>
        </w:rPr>
        <w:t xml:space="preserve"> background </w:t>
      </w:r>
      <w:r w:rsidR="00395738">
        <w:rPr>
          <w:rFonts w:ascii="Book Antiqua" w:hAnsi="Book Antiqua"/>
        </w:rPr>
        <w:t xml:space="preserve">to </w:t>
      </w:r>
      <w:r>
        <w:rPr>
          <w:rFonts w:ascii="Book Antiqua" w:hAnsi="Book Antiqua"/>
        </w:rPr>
        <w:t>the appeal</w:t>
      </w:r>
      <w:r w:rsidR="00E34425">
        <w:rPr>
          <w:rFonts w:ascii="Book Antiqua" w:hAnsi="Book Antiqua"/>
        </w:rPr>
        <w:t xml:space="preserve">, and summarising the respondent’s decision, the </w:t>
      </w:r>
      <w:proofErr w:type="spellStart"/>
      <w:r w:rsidR="00E34425">
        <w:rPr>
          <w:rFonts w:ascii="Book Antiqua" w:hAnsi="Book Antiqua"/>
        </w:rPr>
        <w:t>FtJ</w:t>
      </w:r>
      <w:proofErr w:type="spellEnd"/>
      <w:r w:rsidR="00E34425">
        <w:rPr>
          <w:rFonts w:ascii="Book Antiqua" w:hAnsi="Book Antiqua"/>
        </w:rPr>
        <w:t xml:space="preserve"> </w:t>
      </w:r>
      <w:r w:rsidR="005163F1">
        <w:rPr>
          <w:rFonts w:ascii="Book Antiqua" w:hAnsi="Book Antiqua"/>
        </w:rPr>
        <w:t>noted</w:t>
      </w:r>
      <w:r w:rsidR="00E34425">
        <w:rPr>
          <w:rFonts w:ascii="Book Antiqua" w:hAnsi="Book Antiqua"/>
        </w:rPr>
        <w:t xml:space="preserve"> at [4] </w:t>
      </w:r>
      <w:r w:rsidR="005163F1">
        <w:rPr>
          <w:rFonts w:ascii="Book Antiqua" w:hAnsi="Book Antiqua"/>
        </w:rPr>
        <w:t>that it was conceded in submissions on behalf of the appellant that she</w:t>
      </w:r>
      <w:r w:rsidR="00402A8C">
        <w:rPr>
          <w:rFonts w:ascii="Book Antiqua" w:hAnsi="Book Antiqua"/>
        </w:rPr>
        <w:t xml:space="preserve"> “did not meet Article 8 under the Immigration Rules as his income fell below the requisite level of £18,</w:t>
      </w:r>
      <w:r w:rsidR="00D629E7">
        <w:rPr>
          <w:rFonts w:ascii="Book Antiqua" w:hAnsi="Book Antiqua"/>
        </w:rPr>
        <w:t>600 for the relevant period”.</w:t>
      </w:r>
    </w:p>
    <w:p w14:paraId="43F01F35" w14:textId="77777777" w:rsidR="00A23089" w:rsidRDefault="00D629E7" w:rsidP="0062166F">
      <w:pPr>
        <w:numPr>
          <w:ilvl w:val="0"/>
          <w:numId w:val="2"/>
        </w:numPr>
        <w:spacing w:before="240"/>
        <w:jc w:val="both"/>
        <w:rPr>
          <w:rFonts w:ascii="Book Antiqua" w:hAnsi="Book Antiqua"/>
        </w:rPr>
      </w:pPr>
      <w:r>
        <w:rPr>
          <w:rFonts w:ascii="Book Antiqua" w:hAnsi="Book Antiqua"/>
        </w:rPr>
        <w:t xml:space="preserve">She summarised the evidence given by the appellant </w:t>
      </w:r>
      <w:r w:rsidR="006B436F">
        <w:rPr>
          <w:rFonts w:ascii="Book Antiqua" w:hAnsi="Book Antiqua"/>
        </w:rPr>
        <w:t>and her husband and the parties’ submissions. She noted th</w:t>
      </w:r>
      <w:r w:rsidR="00E35142">
        <w:rPr>
          <w:rFonts w:ascii="Book Antiqua" w:hAnsi="Book Antiqua"/>
        </w:rPr>
        <w:t>e respondent’s submission that the appellant does not meet the “financial or specified documentation requirements”</w:t>
      </w:r>
      <w:r w:rsidR="00590FED">
        <w:rPr>
          <w:rFonts w:ascii="Book Antiqua" w:hAnsi="Book Antiqua"/>
        </w:rPr>
        <w:t xml:space="preserve">. His P60 for 2016 indicated a gross salary of £18,058. </w:t>
      </w:r>
      <w:r w:rsidR="00E42A63">
        <w:rPr>
          <w:rFonts w:ascii="Book Antiqua" w:hAnsi="Book Antiqua"/>
        </w:rPr>
        <w:t xml:space="preserve">She noted also the submission made on behalf of the appellant </w:t>
      </w:r>
      <w:r w:rsidR="00893883">
        <w:rPr>
          <w:rFonts w:ascii="Book Antiqua" w:hAnsi="Book Antiqua"/>
        </w:rPr>
        <w:t>that “the shortfall is minimal” and that “His P60 for 2017 is above £20K”.</w:t>
      </w:r>
    </w:p>
    <w:p w14:paraId="6DEA0E3E" w14:textId="77777777" w:rsidR="001D4369" w:rsidRDefault="00A23089" w:rsidP="0062166F">
      <w:pPr>
        <w:numPr>
          <w:ilvl w:val="0"/>
          <w:numId w:val="2"/>
        </w:numPr>
        <w:spacing w:before="240"/>
        <w:jc w:val="both"/>
        <w:rPr>
          <w:rFonts w:ascii="Book Antiqua" w:hAnsi="Book Antiqua"/>
        </w:rPr>
      </w:pPr>
      <w:r>
        <w:rPr>
          <w:rFonts w:ascii="Book Antiqua" w:hAnsi="Book Antiqua"/>
        </w:rPr>
        <w:t xml:space="preserve">The </w:t>
      </w:r>
      <w:proofErr w:type="spellStart"/>
      <w:r>
        <w:rPr>
          <w:rFonts w:ascii="Book Antiqua" w:hAnsi="Book Antiqua"/>
        </w:rPr>
        <w:t>FtJ’s</w:t>
      </w:r>
      <w:proofErr w:type="spellEnd"/>
      <w:r>
        <w:rPr>
          <w:rFonts w:ascii="Book Antiqua" w:hAnsi="Book Antiqua"/>
        </w:rPr>
        <w:t xml:space="preserve"> f</w:t>
      </w:r>
      <w:r w:rsidR="00824E72">
        <w:rPr>
          <w:rFonts w:ascii="Book Antiqua" w:hAnsi="Book Antiqua"/>
        </w:rPr>
        <w:t>ound that the appellant arrived in the UK less than four years ago, having lived in India prior to that</w:t>
      </w:r>
      <w:r w:rsidR="008B3758">
        <w:rPr>
          <w:rFonts w:ascii="Book Antiqua" w:hAnsi="Book Antiqua"/>
        </w:rPr>
        <w:t>. She was extremely familiar with the society, culture and language of India. She would be returning to the same circumstances</w:t>
      </w:r>
      <w:r w:rsidR="00EA3183">
        <w:rPr>
          <w:rFonts w:ascii="Book Antiqua" w:hAnsi="Book Antiqua"/>
        </w:rPr>
        <w:t xml:space="preserve"> she was living in before she came to the UK. She had a house to return to and there </w:t>
      </w:r>
      <w:r w:rsidR="001C1A6A">
        <w:rPr>
          <w:rFonts w:ascii="Book Antiqua" w:hAnsi="Book Antiqua"/>
        </w:rPr>
        <w:t>was no evidence to support the assertion that the house was in a poor condition. It had not been asserted that the house was unavailable or uninhabitable. She was living alone and had been for many years</w:t>
      </w:r>
      <w:r w:rsidR="00082CF2">
        <w:rPr>
          <w:rFonts w:ascii="Book Antiqua" w:hAnsi="Book Antiqua"/>
        </w:rPr>
        <w:t>.</w:t>
      </w:r>
    </w:p>
    <w:p w14:paraId="47314022" w14:textId="77777777" w:rsidR="004E6D76" w:rsidRDefault="001D4369" w:rsidP="0062166F">
      <w:pPr>
        <w:numPr>
          <w:ilvl w:val="0"/>
          <w:numId w:val="2"/>
        </w:numPr>
        <w:spacing w:before="240"/>
        <w:jc w:val="both"/>
        <w:rPr>
          <w:rFonts w:ascii="Book Antiqua" w:hAnsi="Book Antiqua"/>
        </w:rPr>
      </w:pPr>
      <w:r>
        <w:rPr>
          <w:rFonts w:ascii="Book Antiqua" w:hAnsi="Book Antiqua"/>
        </w:rPr>
        <w:t xml:space="preserve">In relation to her health, the </w:t>
      </w:r>
      <w:proofErr w:type="spellStart"/>
      <w:r>
        <w:rPr>
          <w:rFonts w:ascii="Book Antiqua" w:hAnsi="Book Antiqua"/>
        </w:rPr>
        <w:t>FtJ</w:t>
      </w:r>
      <w:proofErr w:type="spellEnd"/>
      <w:r>
        <w:rPr>
          <w:rFonts w:ascii="Book Antiqua" w:hAnsi="Book Antiqua"/>
        </w:rPr>
        <w:t xml:space="preserve"> noted that there was no medical evidence in support of the contention that she would be </w:t>
      </w:r>
      <w:r w:rsidR="0031773E">
        <w:rPr>
          <w:rFonts w:ascii="Book Antiqua" w:hAnsi="Book Antiqua"/>
        </w:rPr>
        <w:t>unable to care for herself, and the only medication she took was painkillers. The financial support from her husband could continue.</w:t>
      </w:r>
      <w:r w:rsidR="004E6D76">
        <w:rPr>
          <w:rFonts w:ascii="Book Antiqua" w:hAnsi="Book Antiqua"/>
        </w:rPr>
        <w:t xml:space="preserve"> </w:t>
      </w:r>
    </w:p>
    <w:p w14:paraId="47762980" w14:textId="77777777" w:rsidR="003F01A8" w:rsidRDefault="004E6D76" w:rsidP="0062166F">
      <w:pPr>
        <w:numPr>
          <w:ilvl w:val="0"/>
          <w:numId w:val="2"/>
        </w:numPr>
        <w:spacing w:before="240"/>
        <w:jc w:val="both"/>
        <w:rPr>
          <w:rFonts w:ascii="Book Antiqua" w:hAnsi="Book Antiqua"/>
        </w:rPr>
      </w:pPr>
      <w:r>
        <w:rPr>
          <w:rFonts w:ascii="Book Antiqua" w:hAnsi="Book Antiqua"/>
        </w:rPr>
        <w:t>She concluded that there was no evidence to support the claim that she would be at risk in term</w:t>
      </w:r>
      <w:r w:rsidR="000659D0">
        <w:rPr>
          <w:rFonts w:ascii="Book Antiqua" w:hAnsi="Book Antiqua"/>
        </w:rPr>
        <w:t>s</w:t>
      </w:r>
      <w:r>
        <w:rPr>
          <w:rFonts w:ascii="Book Antiqua" w:hAnsi="Book Antiqua"/>
        </w:rPr>
        <w:t xml:space="preserve"> of her safety on return</w:t>
      </w:r>
      <w:r w:rsidR="006E48ED">
        <w:rPr>
          <w:rFonts w:ascii="Book Antiqua" w:hAnsi="Book Antiqua"/>
        </w:rPr>
        <w:t xml:space="preserve">. Prior to her entry into the </w:t>
      </w:r>
      <w:r w:rsidR="00531DF9">
        <w:rPr>
          <w:rFonts w:ascii="Book Antiqua" w:hAnsi="Book Antiqua"/>
        </w:rPr>
        <w:t>UK in 2013 her emotional needs were being met in India and circumstances had not changed between then and now</w:t>
      </w:r>
      <w:r w:rsidR="00DA3104">
        <w:rPr>
          <w:rFonts w:ascii="Book Antiqua" w:hAnsi="Book Antiqua"/>
        </w:rPr>
        <w:t xml:space="preserve">. </w:t>
      </w:r>
      <w:r w:rsidR="006D297F">
        <w:rPr>
          <w:rFonts w:ascii="Book Antiqua" w:hAnsi="Book Antiqua"/>
        </w:rPr>
        <w:t>S</w:t>
      </w:r>
      <w:r w:rsidR="00DA3104">
        <w:rPr>
          <w:rFonts w:ascii="Book Antiqua" w:hAnsi="Book Antiqua"/>
        </w:rPr>
        <w:t>he</w:t>
      </w:r>
      <w:r w:rsidR="006D297F">
        <w:rPr>
          <w:rFonts w:ascii="Book Antiqua" w:hAnsi="Book Antiqua"/>
        </w:rPr>
        <w:t xml:space="preserve"> noted that the sponsor had made it clear that he would continue to remain in the UK and would not return with the appellant to India </w:t>
      </w:r>
      <w:r w:rsidR="00B51BB2">
        <w:rPr>
          <w:rFonts w:ascii="Book Antiqua" w:hAnsi="Book Antiqua"/>
        </w:rPr>
        <w:t>and thus he could continue his employment.</w:t>
      </w:r>
      <w:r w:rsidR="00D33879">
        <w:rPr>
          <w:rFonts w:ascii="Book Antiqua" w:hAnsi="Book Antiqua"/>
        </w:rPr>
        <w:t xml:space="preserve"> Further, there was no reason that he would not be able to obtain some form of employment if he did return to India with the appellant.</w:t>
      </w:r>
      <w:r w:rsidR="00362E24">
        <w:rPr>
          <w:rFonts w:ascii="Book Antiqua" w:hAnsi="Book Antiqua"/>
        </w:rPr>
        <w:t xml:space="preserve">  Prior to 2006 he had lived and supported himself there. </w:t>
      </w:r>
      <w:r w:rsidR="004B4494">
        <w:rPr>
          <w:rFonts w:ascii="Book Antiqua" w:hAnsi="Book Antiqua"/>
        </w:rPr>
        <w:t>She rejected the contention that he would not be able to adjust to the climate and lifestyle</w:t>
      </w:r>
      <w:r w:rsidR="00291E12">
        <w:rPr>
          <w:rFonts w:ascii="Book Antiqua" w:hAnsi="Book Antiqua"/>
        </w:rPr>
        <w:t>. He had lived in India 11 years ago and had visited there three times since.</w:t>
      </w:r>
    </w:p>
    <w:p w14:paraId="1B22E27A" w14:textId="77777777" w:rsidR="00291E12" w:rsidRDefault="00D82202" w:rsidP="0062166F">
      <w:pPr>
        <w:numPr>
          <w:ilvl w:val="0"/>
          <w:numId w:val="2"/>
        </w:numPr>
        <w:spacing w:before="240"/>
        <w:jc w:val="both"/>
        <w:rPr>
          <w:rFonts w:ascii="Book Antiqua" w:hAnsi="Book Antiqua"/>
        </w:rPr>
      </w:pPr>
      <w:r>
        <w:rPr>
          <w:rFonts w:ascii="Book Antiqua" w:hAnsi="Book Antiqua"/>
        </w:rPr>
        <w:t>She found that the appellant and her husband had lived separate lives before and were then still able to maintain a family life.</w:t>
      </w:r>
    </w:p>
    <w:p w14:paraId="24572708" w14:textId="77777777" w:rsidR="005C2B5E" w:rsidRDefault="005C2B5E" w:rsidP="0062166F">
      <w:pPr>
        <w:numPr>
          <w:ilvl w:val="0"/>
          <w:numId w:val="2"/>
        </w:numPr>
        <w:spacing w:before="240"/>
        <w:jc w:val="both"/>
        <w:rPr>
          <w:rFonts w:ascii="Book Antiqua" w:hAnsi="Book Antiqua"/>
        </w:rPr>
      </w:pPr>
      <w:r>
        <w:rPr>
          <w:rFonts w:ascii="Book Antiqua" w:hAnsi="Book Antiqua"/>
        </w:rPr>
        <w:t xml:space="preserve">The </w:t>
      </w:r>
      <w:proofErr w:type="spellStart"/>
      <w:r>
        <w:rPr>
          <w:rFonts w:ascii="Book Antiqua" w:hAnsi="Book Antiqua"/>
        </w:rPr>
        <w:t>FtJ</w:t>
      </w:r>
      <w:proofErr w:type="spellEnd"/>
      <w:r>
        <w:rPr>
          <w:rFonts w:ascii="Book Antiqua" w:hAnsi="Book Antiqua"/>
        </w:rPr>
        <w:t xml:space="preserve"> </w:t>
      </w:r>
      <w:r w:rsidR="00805DFA">
        <w:rPr>
          <w:rFonts w:ascii="Book Antiqua" w:hAnsi="Book Antiqua"/>
        </w:rPr>
        <w:t>also found</w:t>
      </w:r>
      <w:r>
        <w:rPr>
          <w:rFonts w:ascii="Book Antiqua" w:hAnsi="Book Antiqua"/>
        </w:rPr>
        <w:t xml:space="preserve"> that there was no evidence as to the appellant’s social ties in the UK in terms of her private life</w:t>
      </w:r>
      <w:r w:rsidR="009A027C">
        <w:rPr>
          <w:rFonts w:ascii="Book Antiqua" w:hAnsi="Book Antiqua"/>
        </w:rPr>
        <w:t xml:space="preserve">. Although it was said that she has friends here, there was no evidence from them. She could in any event maintain </w:t>
      </w:r>
      <w:r w:rsidR="004F1958">
        <w:rPr>
          <w:rFonts w:ascii="Book Antiqua" w:hAnsi="Book Antiqua"/>
        </w:rPr>
        <w:t xml:space="preserve">contact with them from </w:t>
      </w:r>
      <w:r w:rsidR="00BC37B6">
        <w:rPr>
          <w:rFonts w:ascii="Book Antiqua" w:hAnsi="Book Antiqua"/>
        </w:rPr>
        <w:t>India</w:t>
      </w:r>
      <w:r w:rsidR="004F1958">
        <w:rPr>
          <w:rFonts w:ascii="Book Antiqua" w:hAnsi="Book Antiqua"/>
        </w:rPr>
        <w:t>, including by visits.</w:t>
      </w:r>
      <w:r w:rsidR="00BC37B6">
        <w:rPr>
          <w:rFonts w:ascii="Book Antiqua" w:hAnsi="Book Antiqua"/>
        </w:rPr>
        <w:t xml:space="preserve"> There were no significant obstacles to her integration there.</w:t>
      </w:r>
    </w:p>
    <w:p w14:paraId="3E812709" w14:textId="77777777" w:rsidR="00BC37B6" w:rsidRDefault="00EA2D80" w:rsidP="0062166F">
      <w:pPr>
        <w:numPr>
          <w:ilvl w:val="0"/>
          <w:numId w:val="2"/>
        </w:numPr>
        <w:spacing w:before="240"/>
        <w:jc w:val="both"/>
        <w:rPr>
          <w:rFonts w:ascii="Book Antiqua" w:hAnsi="Book Antiqua"/>
        </w:rPr>
      </w:pPr>
      <w:r>
        <w:rPr>
          <w:rFonts w:ascii="Book Antiqua" w:hAnsi="Book Antiqua"/>
        </w:rPr>
        <w:lastRenderedPageBreak/>
        <w:t>In terms of whether there were compelling circumstances meriting consideration of Article 8 outside the Rules</w:t>
      </w:r>
      <w:r w:rsidR="001A4EF3">
        <w:rPr>
          <w:rFonts w:ascii="Book Antiqua" w:hAnsi="Book Antiqua"/>
        </w:rPr>
        <w:t xml:space="preserve">, the </w:t>
      </w:r>
      <w:proofErr w:type="spellStart"/>
      <w:r w:rsidR="001A4EF3">
        <w:rPr>
          <w:rFonts w:ascii="Book Antiqua" w:hAnsi="Book Antiqua"/>
        </w:rPr>
        <w:t>FtJ</w:t>
      </w:r>
      <w:proofErr w:type="spellEnd"/>
      <w:r w:rsidR="001A4EF3">
        <w:rPr>
          <w:rFonts w:ascii="Book Antiqua" w:hAnsi="Book Antiqua"/>
        </w:rPr>
        <w:t xml:space="preserve"> said that it might be argued that such a reason is that she is married to a British Citizen</w:t>
      </w:r>
      <w:r w:rsidR="00C4561E">
        <w:rPr>
          <w:rFonts w:ascii="Book Antiqua" w:hAnsi="Book Antiqua"/>
        </w:rPr>
        <w:t>, but no specific reasons were put before her to consider.</w:t>
      </w:r>
    </w:p>
    <w:p w14:paraId="7BC368E5" w14:textId="77777777" w:rsidR="00C4561E" w:rsidRDefault="00DE363F" w:rsidP="0062166F">
      <w:pPr>
        <w:numPr>
          <w:ilvl w:val="0"/>
          <w:numId w:val="2"/>
        </w:numPr>
        <w:spacing w:before="240"/>
        <w:jc w:val="both"/>
        <w:rPr>
          <w:rFonts w:ascii="Book Antiqua" w:hAnsi="Book Antiqua"/>
        </w:rPr>
      </w:pPr>
      <w:r>
        <w:rPr>
          <w:rFonts w:ascii="Book Antiqua" w:hAnsi="Book Antiqua"/>
        </w:rPr>
        <w:t xml:space="preserve">As to </w:t>
      </w:r>
      <w:r w:rsidR="00C4561E">
        <w:rPr>
          <w:rFonts w:ascii="Book Antiqua" w:hAnsi="Book Antiqua"/>
        </w:rPr>
        <w:t xml:space="preserve">proportionality, she stated that she placed significant weight on the </w:t>
      </w:r>
      <w:r w:rsidR="003E2D13">
        <w:rPr>
          <w:rFonts w:ascii="Book Antiqua" w:hAnsi="Book Antiqua"/>
        </w:rPr>
        <w:t>appellant having failed to meet the Article 8 Rules in</w:t>
      </w:r>
      <w:r w:rsidR="004B5059">
        <w:rPr>
          <w:rFonts w:ascii="Book Antiqua" w:hAnsi="Book Antiqua"/>
        </w:rPr>
        <w:t xml:space="preserve"> relation to</w:t>
      </w:r>
      <w:r w:rsidR="003E2D13">
        <w:rPr>
          <w:rFonts w:ascii="Book Antiqua" w:hAnsi="Book Antiqua"/>
        </w:rPr>
        <w:t xml:space="preserve"> family or private life</w:t>
      </w:r>
      <w:r w:rsidR="00F4686B">
        <w:rPr>
          <w:rFonts w:ascii="Book Antiqua" w:hAnsi="Book Antiqua"/>
        </w:rPr>
        <w:t xml:space="preserve">. In terms of s.117B of the Nationality, Immigration and Asylum Act 2002 (“the 2002 Act”), she found that the appellant had </w:t>
      </w:r>
      <w:r w:rsidR="00E71C97">
        <w:rPr>
          <w:rFonts w:ascii="Book Antiqua" w:hAnsi="Book Antiqua"/>
        </w:rPr>
        <w:t>completed basic English certificates in 2013 but there was no evidence that she spoke English now</w:t>
      </w:r>
      <w:r w:rsidR="00C860F2">
        <w:rPr>
          <w:rFonts w:ascii="Book Antiqua" w:hAnsi="Book Antiqua"/>
        </w:rPr>
        <w:t>. She was not dependent on the state for assistance.</w:t>
      </w:r>
      <w:r w:rsidR="00FF5F0F">
        <w:rPr>
          <w:rFonts w:ascii="Book Antiqua" w:hAnsi="Book Antiqua"/>
        </w:rPr>
        <w:t xml:space="preserve"> The appellant’s husband could return to India with her. </w:t>
      </w:r>
      <w:r w:rsidR="00C860F2">
        <w:rPr>
          <w:rFonts w:ascii="Book Antiqua" w:hAnsi="Book Antiqua"/>
        </w:rPr>
        <w:t xml:space="preserve"> She found that the decision was proportionate</w:t>
      </w:r>
      <w:r w:rsidR="00087081">
        <w:rPr>
          <w:rFonts w:ascii="Book Antiqua" w:hAnsi="Book Antiqua"/>
        </w:rPr>
        <w:t xml:space="preserve"> and thus there would be no breach of Article 8.</w:t>
      </w:r>
    </w:p>
    <w:p w14:paraId="129C1739" w14:textId="77777777" w:rsidR="00087081" w:rsidRPr="00087081" w:rsidRDefault="00087081" w:rsidP="00087081">
      <w:pPr>
        <w:spacing w:before="240"/>
        <w:ind w:left="567"/>
        <w:jc w:val="both"/>
        <w:rPr>
          <w:rFonts w:ascii="Book Antiqua" w:hAnsi="Book Antiqua"/>
          <w:i/>
        </w:rPr>
      </w:pPr>
      <w:r>
        <w:rPr>
          <w:rFonts w:ascii="Book Antiqua" w:hAnsi="Book Antiqua"/>
          <w:i/>
        </w:rPr>
        <w:t>Assessment and Conclusions</w:t>
      </w:r>
    </w:p>
    <w:p w14:paraId="0933AD44" w14:textId="77777777" w:rsidR="000D4531" w:rsidRDefault="000D4531" w:rsidP="0062166F">
      <w:pPr>
        <w:numPr>
          <w:ilvl w:val="0"/>
          <w:numId w:val="2"/>
        </w:numPr>
        <w:spacing w:before="240"/>
        <w:jc w:val="both"/>
        <w:rPr>
          <w:rFonts w:ascii="Book Antiqua" w:hAnsi="Book Antiqua"/>
        </w:rPr>
      </w:pPr>
      <w:r>
        <w:rPr>
          <w:rFonts w:ascii="Book Antiqua" w:hAnsi="Book Antiqua"/>
        </w:rPr>
        <w:t>Mr Raza accepted in submissions that the grounds were in error in suggesting that the appellant met the requirements of the Rules at the date of the decision. She did not</w:t>
      </w:r>
      <w:r w:rsidR="004B5059">
        <w:rPr>
          <w:rFonts w:ascii="Book Antiqua" w:hAnsi="Book Antiqua"/>
        </w:rPr>
        <w:t>,</w:t>
      </w:r>
      <w:r>
        <w:rPr>
          <w:rFonts w:ascii="Book Antiqua" w:hAnsi="Book Antiqua"/>
        </w:rPr>
        <w:t xml:space="preserve"> because of the requirement to provide specified evidence. </w:t>
      </w:r>
      <w:r w:rsidR="00ED7214">
        <w:rPr>
          <w:rFonts w:ascii="Book Antiqua" w:hAnsi="Book Antiqua"/>
        </w:rPr>
        <w:t xml:space="preserve">That in my view is a significant matter because the specified evidence requirements are </w:t>
      </w:r>
      <w:r w:rsidR="00F81886">
        <w:rPr>
          <w:rFonts w:ascii="Book Antiqua" w:hAnsi="Book Antiqua"/>
        </w:rPr>
        <w:t xml:space="preserve">obviously designed to provide a clear framework of evidence within which a claim to have a certain level of earnings (or savings) can be verified in a </w:t>
      </w:r>
      <w:r w:rsidR="000E7F63">
        <w:rPr>
          <w:rFonts w:ascii="Book Antiqua" w:hAnsi="Book Antiqua"/>
        </w:rPr>
        <w:t>robust way.</w:t>
      </w:r>
    </w:p>
    <w:p w14:paraId="1E8ACF17" w14:textId="77777777" w:rsidR="000E7F63" w:rsidRDefault="00DA2797" w:rsidP="0062166F">
      <w:pPr>
        <w:numPr>
          <w:ilvl w:val="0"/>
          <w:numId w:val="2"/>
        </w:numPr>
        <w:spacing w:before="240"/>
        <w:jc w:val="both"/>
        <w:rPr>
          <w:rFonts w:ascii="Book Antiqua" w:hAnsi="Book Antiqua"/>
        </w:rPr>
      </w:pPr>
      <w:r>
        <w:rPr>
          <w:rFonts w:ascii="Book Antiqua" w:hAnsi="Book Antiqua"/>
        </w:rPr>
        <w:t xml:space="preserve">I also suggested to Mr Raza that it could not </w:t>
      </w:r>
      <w:r w:rsidR="007A27A1">
        <w:rPr>
          <w:rFonts w:ascii="Book Antiqua" w:hAnsi="Book Antiqua"/>
        </w:rPr>
        <w:t xml:space="preserve">actually </w:t>
      </w:r>
      <w:r>
        <w:rPr>
          <w:rFonts w:ascii="Book Antiqua" w:hAnsi="Book Antiqua"/>
        </w:rPr>
        <w:t>be said that as at the date of</w:t>
      </w:r>
      <w:r w:rsidR="00422292">
        <w:rPr>
          <w:rFonts w:ascii="Book Antiqua" w:hAnsi="Book Antiqua"/>
        </w:rPr>
        <w:t xml:space="preserve"> the</w:t>
      </w:r>
      <w:r>
        <w:rPr>
          <w:rFonts w:ascii="Book Antiqua" w:hAnsi="Book Antiqua"/>
        </w:rPr>
        <w:t xml:space="preserve"> hearing</w:t>
      </w:r>
      <w:r w:rsidR="00422292">
        <w:rPr>
          <w:rFonts w:ascii="Book Antiqua" w:hAnsi="Book Antiqua"/>
        </w:rPr>
        <w:t xml:space="preserve"> before the </w:t>
      </w:r>
      <w:proofErr w:type="spellStart"/>
      <w:r w:rsidR="00422292">
        <w:rPr>
          <w:rFonts w:ascii="Book Antiqua" w:hAnsi="Book Antiqua"/>
        </w:rPr>
        <w:t>FtJ</w:t>
      </w:r>
      <w:proofErr w:type="spellEnd"/>
      <w:r>
        <w:rPr>
          <w:rFonts w:ascii="Book Antiqua" w:hAnsi="Book Antiqua"/>
        </w:rPr>
        <w:t xml:space="preserve"> the appellant met the financial requirements of the Rules</w:t>
      </w:r>
      <w:r w:rsidR="007A27A1">
        <w:rPr>
          <w:rFonts w:ascii="Book Antiqua" w:hAnsi="Book Antiqua"/>
        </w:rPr>
        <w:t>. That is because the specified evidence needed to have been provided at the time of the application (see Appendix FM-SE</w:t>
      </w:r>
      <w:r w:rsidR="00185EA9">
        <w:rPr>
          <w:rFonts w:ascii="Book Antiqua" w:hAnsi="Book Antiqua"/>
        </w:rPr>
        <w:t xml:space="preserve"> para D</w:t>
      </w:r>
      <w:r w:rsidR="00C958E4">
        <w:rPr>
          <w:rFonts w:ascii="Book Antiqua" w:hAnsi="Book Antiqua"/>
        </w:rPr>
        <w:t xml:space="preserve">(a)). That is part of the Rules and because of the specified timeline it is not a Rule that could be met at the date of the hearing; the time had passed for compliance with that aspect of the Rules. </w:t>
      </w:r>
      <w:r w:rsidR="00E247F9">
        <w:rPr>
          <w:rFonts w:ascii="Book Antiqua" w:hAnsi="Book Antiqua"/>
        </w:rPr>
        <w:t>That was also conceded.</w:t>
      </w:r>
    </w:p>
    <w:p w14:paraId="4E376079" w14:textId="77777777" w:rsidR="000D713B" w:rsidRDefault="00B11AAB" w:rsidP="0062166F">
      <w:pPr>
        <w:numPr>
          <w:ilvl w:val="0"/>
          <w:numId w:val="2"/>
        </w:numPr>
        <w:spacing w:before="240"/>
        <w:jc w:val="both"/>
        <w:rPr>
          <w:rFonts w:ascii="Book Antiqua" w:hAnsi="Book Antiqua"/>
        </w:rPr>
      </w:pPr>
      <w:r>
        <w:rPr>
          <w:rFonts w:ascii="Book Antiqua" w:hAnsi="Book Antiqua"/>
        </w:rPr>
        <w:t xml:space="preserve">The </w:t>
      </w:r>
      <w:proofErr w:type="spellStart"/>
      <w:r>
        <w:rPr>
          <w:rFonts w:ascii="Book Antiqua" w:hAnsi="Book Antiqua"/>
        </w:rPr>
        <w:t>FtJ</w:t>
      </w:r>
      <w:proofErr w:type="spellEnd"/>
      <w:r>
        <w:rPr>
          <w:rFonts w:ascii="Book Antiqua" w:hAnsi="Book Antiqua"/>
        </w:rPr>
        <w:t xml:space="preserve"> said that no </w:t>
      </w:r>
      <w:r w:rsidR="006514B0">
        <w:rPr>
          <w:rFonts w:ascii="Book Antiqua" w:hAnsi="Book Antiqua"/>
        </w:rPr>
        <w:t xml:space="preserve">specific </w:t>
      </w:r>
      <w:r>
        <w:rPr>
          <w:rFonts w:ascii="Book Antiqua" w:hAnsi="Book Antiqua"/>
        </w:rPr>
        <w:t>compelling circumstances were put before her, although she</w:t>
      </w:r>
      <w:r w:rsidR="006514B0">
        <w:rPr>
          <w:rFonts w:ascii="Book Antiqua" w:hAnsi="Book Antiqua"/>
        </w:rPr>
        <w:t xml:space="preserve"> </w:t>
      </w:r>
      <w:r w:rsidR="00A97998">
        <w:rPr>
          <w:rFonts w:ascii="Book Antiqua" w:hAnsi="Book Antiqua"/>
        </w:rPr>
        <w:t xml:space="preserve">thought that perhaps the appellant’s relationship with a British Citizen </w:t>
      </w:r>
      <w:r w:rsidR="00AD3413">
        <w:rPr>
          <w:rFonts w:ascii="Book Antiqua" w:hAnsi="Book Antiqua"/>
        </w:rPr>
        <w:t xml:space="preserve">might be argued as such. In any event, as Mr </w:t>
      </w:r>
      <w:r w:rsidR="00810B14">
        <w:rPr>
          <w:rFonts w:ascii="Book Antiqua" w:hAnsi="Book Antiqua"/>
        </w:rPr>
        <w:t xml:space="preserve">Aziz </w:t>
      </w:r>
      <w:r w:rsidR="004E0E74">
        <w:rPr>
          <w:rFonts w:ascii="Book Antiqua" w:hAnsi="Book Antiqua"/>
        </w:rPr>
        <w:t xml:space="preserve">rightly pointed out, the </w:t>
      </w:r>
      <w:proofErr w:type="spellStart"/>
      <w:r w:rsidR="004E0E74">
        <w:rPr>
          <w:rFonts w:ascii="Book Antiqua" w:hAnsi="Book Antiqua"/>
        </w:rPr>
        <w:t>FtJ</w:t>
      </w:r>
      <w:proofErr w:type="spellEnd"/>
      <w:r w:rsidR="004E0E74">
        <w:rPr>
          <w:rFonts w:ascii="Book Antiqua" w:hAnsi="Book Antiqua"/>
        </w:rPr>
        <w:t xml:space="preserve"> did go on to consider Article 8 outside the Rules</w:t>
      </w:r>
      <w:r w:rsidR="000D713B">
        <w:rPr>
          <w:rFonts w:ascii="Book Antiqua" w:hAnsi="Book Antiqua"/>
        </w:rPr>
        <w:t>.</w:t>
      </w:r>
    </w:p>
    <w:p w14:paraId="3D7CE7DC" w14:textId="77777777" w:rsidR="00B0711D" w:rsidRDefault="00153806" w:rsidP="0062166F">
      <w:pPr>
        <w:numPr>
          <w:ilvl w:val="0"/>
          <w:numId w:val="2"/>
        </w:numPr>
        <w:spacing w:before="240"/>
        <w:jc w:val="both"/>
        <w:rPr>
          <w:rFonts w:ascii="Book Antiqua" w:hAnsi="Book Antiqua"/>
        </w:rPr>
      </w:pPr>
      <w:r>
        <w:rPr>
          <w:rFonts w:ascii="Book Antiqua" w:hAnsi="Book Antiqua"/>
        </w:rPr>
        <w:t>In the assessment of Article 8 in its wider context, it was surely relevant t</w:t>
      </w:r>
      <w:r w:rsidR="003E40B3">
        <w:rPr>
          <w:rFonts w:ascii="Book Antiqua" w:hAnsi="Book Antiqua"/>
        </w:rPr>
        <w:t xml:space="preserve">o consider the extent to which the appellant at the date of hearing </w:t>
      </w:r>
      <w:r w:rsidR="00DD5CFC">
        <w:rPr>
          <w:rFonts w:ascii="Book Antiqua" w:hAnsi="Book Antiqua"/>
        </w:rPr>
        <w:t xml:space="preserve">demonstrated that she </w:t>
      </w:r>
      <w:proofErr w:type="gramStart"/>
      <w:r w:rsidR="00DD5CFC">
        <w:rPr>
          <w:rFonts w:ascii="Book Antiqua" w:hAnsi="Book Antiqua"/>
        </w:rPr>
        <w:t>was able to</w:t>
      </w:r>
      <w:proofErr w:type="gramEnd"/>
      <w:r w:rsidR="00DD5CFC">
        <w:rPr>
          <w:rFonts w:ascii="Book Antiqua" w:hAnsi="Book Antiqua"/>
        </w:rPr>
        <w:t xml:space="preserve"> meet the financial requirements of the Rules</w:t>
      </w:r>
      <w:r w:rsidR="000C10C9">
        <w:rPr>
          <w:rFonts w:ascii="Book Antiqua" w:hAnsi="Book Antiqua"/>
        </w:rPr>
        <w:t xml:space="preserve"> in terms of level of income with reference to the specified evidence mandated by the Rules</w:t>
      </w:r>
      <w:r w:rsidR="003C6538">
        <w:rPr>
          <w:rFonts w:ascii="Book Antiqua" w:hAnsi="Book Antiqua"/>
        </w:rPr>
        <w:t xml:space="preserve">. The need to have established the required level of income at the time of the application </w:t>
      </w:r>
      <w:r w:rsidR="000755DB">
        <w:rPr>
          <w:rFonts w:ascii="Book Antiqua" w:hAnsi="Book Antiqua"/>
        </w:rPr>
        <w:t xml:space="preserve">was also relevant, but that does not mean that the </w:t>
      </w:r>
      <w:r w:rsidR="00B0711D">
        <w:rPr>
          <w:rFonts w:ascii="Book Antiqua" w:hAnsi="Book Antiqua"/>
        </w:rPr>
        <w:t>income that the appellant could demonstrate at the time of the hearing was irrelevant; on the contrary.</w:t>
      </w:r>
    </w:p>
    <w:p w14:paraId="7BD7BDF5" w14:textId="77777777" w:rsidR="00E61545" w:rsidRPr="00E61545" w:rsidRDefault="00B0711D" w:rsidP="00E61545">
      <w:pPr>
        <w:numPr>
          <w:ilvl w:val="0"/>
          <w:numId w:val="2"/>
        </w:numPr>
        <w:spacing w:before="240"/>
        <w:jc w:val="both"/>
        <w:rPr>
          <w:rFonts w:ascii="Book Antiqua" w:hAnsi="Book Antiqua"/>
        </w:rPr>
      </w:pPr>
      <w:r>
        <w:rPr>
          <w:rFonts w:ascii="Book Antiqua" w:hAnsi="Book Antiqua"/>
        </w:rPr>
        <w:t xml:space="preserve">That </w:t>
      </w:r>
      <w:r w:rsidR="00D94252">
        <w:rPr>
          <w:rFonts w:ascii="Book Antiqua" w:hAnsi="Book Antiqua"/>
        </w:rPr>
        <w:t xml:space="preserve">conclusion does not contradict what was said in </w:t>
      </w:r>
      <w:r w:rsidR="00E61545" w:rsidRPr="00E61545">
        <w:rPr>
          <w:rFonts w:ascii="Book Antiqua" w:hAnsi="Book Antiqua"/>
          <w:i/>
        </w:rPr>
        <w:t xml:space="preserve">AM (S 117B) Malawi </w:t>
      </w:r>
      <w:r w:rsidR="00E61545" w:rsidRPr="00E61545">
        <w:rPr>
          <w:rFonts w:ascii="Book Antiqua" w:hAnsi="Book Antiqua"/>
        </w:rPr>
        <w:t>[2015] UKUT 0260 (IAC)</w:t>
      </w:r>
      <w:r w:rsidR="00E61545">
        <w:rPr>
          <w:rFonts w:ascii="Book Antiqua" w:hAnsi="Book Antiqua"/>
        </w:rPr>
        <w:t xml:space="preserve"> on the</w:t>
      </w:r>
      <w:r w:rsidR="00C9069E">
        <w:rPr>
          <w:rFonts w:ascii="Book Antiqua" w:hAnsi="Book Antiqua"/>
        </w:rPr>
        <w:t xml:space="preserve"> relevance of </w:t>
      </w:r>
      <w:r w:rsidR="00E61545">
        <w:rPr>
          <w:rFonts w:ascii="Book Antiqua" w:hAnsi="Book Antiqua"/>
        </w:rPr>
        <w:t xml:space="preserve">financial resources </w:t>
      </w:r>
      <w:r w:rsidR="00C9069E">
        <w:rPr>
          <w:rFonts w:ascii="Book Antiqua" w:hAnsi="Book Antiqua"/>
        </w:rPr>
        <w:t xml:space="preserve">in a proportionality assessment </w:t>
      </w:r>
      <w:r w:rsidR="00E61545">
        <w:rPr>
          <w:rFonts w:ascii="Book Antiqua" w:hAnsi="Book Antiqua"/>
        </w:rPr>
        <w:t xml:space="preserve">because the distinction can be drawn between demonstrating compliance with the rigorous </w:t>
      </w:r>
      <w:r w:rsidR="00306B58">
        <w:rPr>
          <w:rFonts w:ascii="Book Antiqua" w:hAnsi="Book Antiqua"/>
        </w:rPr>
        <w:t>financial requirements of the Rules and mere assertion, or</w:t>
      </w:r>
      <w:r w:rsidR="00E20005">
        <w:rPr>
          <w:rFonts w:ascii="Book Antiqua" w:hAnsi="Book Antiqua"/>
        </w:rPr>
        <w:t xml:space="preserve"> even</w:t>
      </w:r>
      <w:r w:rsidR="00306B58">
        <w:rPr>
          <w:rFonts w:ascii="Book Antiqua" w:hAnsi="Book Antiqua"/>
        </w:rPr>
        <w:t xml:space="preserve"> assertion supported by</w:t>
      </w:r>
      <w:r w:rsidR="004806D7">
        <w:rPr>
          <w:rFonts w:ascii="Book Antiqua" w:hAnsi="Book Antiqua"/>
        </w:rPr>
        <w:t xml:space="preserve"> some</w:t>
      </w:r>
      <w:r w:rsidR="00306B58">
        <w:rPr>
          <w:rFonts w:ascii="Book Antiqua" w:hAnsi="Book Antiqua"/>
        </w:rPr>
        <w:t xml:space="preserve"> evidence</w:t>
      </w:r>
      <w:r w:rsidR="00C23FF5">
        <w:rPr>
          <w:rFonts w:ascii="Book Antiqua" w:hAnsi="Book Antiqua"/>
        </w:rPr>
        <w:t xml:space="preserve">, that a person is </w:t>
      </w:r>
      <w:r w:rsidR="004D1F44">
        <w:rPr>
          <w:rFonts w:ascii="Book Antiqua" w:hAnsi="Book Antiqua"/>
        </w:rPr>
        <w:t>financially independent.</w:t>
      </w:r>
    </w:p>
    <w:p w14:paraId="1E9F5472" w14:textId="77777777" w:rsidR="006E6963" w:rsidRDefault="007E3A04" w:rsidP="0062166F">
      <w:pPr>
        <w:numPr>
          <w:ilvl w:val="0"/>
          <w:numId w:val="2"/>
        </w:numPr>
        <w:spacing w:before="240"/>
        <w:jc w:val="both"/>
        <w:rPr>
          <w:rFonts w:ascii="Book Antiqua" w:hAnsi="Book Antiqua"/>
        </w:rPr>
      </w:pPr>
      <w:r w:rsidRPr="006E6963">
        <w:rPr>
          <w:rFonts w:ascii="Book Antiqua" w:hAnsi="Book Antiqua"/>
        </w:rPr>
        <w:lastRenderedPageBreak/>
        <w:t xml:space="preserve">In failing to </w:t>
      </w:r>
      <w:proofErr w:type="gramStart"/>
      <w:r w:rsidRPr="006E6963">
        <w:rPr>
          <w:rFonts w:ascii="Book Antiqua" w:hAnsi="Book Antiqua"/>
        </w:rPr>
        <w:t>take into account</w:t>
      </w:r>
      <w:proofErr w:type="gramEnd"/>
      <w:r w:rsidR="006F52D3" w:rsidRPr="006E6963">
        <w:rPr>
          <w:rFonts w:ascii="Book Antiqua" w:hAnsi="Book Antiqua"/>
        </w:rPr>
        <w:t xml:space="preserve"> in the proportionality assessment</w:t>
      </w:r>
      <w:r w:rsidRPr="006E6963">
        <w:rPr>
          <w:rFonts w:ascii="Book Antiqua" w:hAnsi="Book Antiqua"/>
        </w:rPr>
        <w:t xml:space="preserve"> </w:t>
      </w:r>
      <w:r w:rsidR="006F52D3" w:rsidRPr="006E6963">
        <w:rPr>
          <w:rFonts w:ascii="Book Antiqua" w:hAnsi="Book Antiqua"/>
        </w:rPr>
        <w:t xml:space="preserve">the evidence before her as to the </w:t>
      </w:r>
      <w:r w:rsidR="006F52D3" w:rsidRPr="006E6963">
        <w:rPr>
          <w:rFonts w:ascii="Book Antiqua" w:hAnsi="Book Antiqua"/>
          <w:i/>
        </w:rPr>
        <w:t>extent to which</w:t>
      </w:r>
      <w:r w:rsidR="006F52D3" w:rsidRPr="006E6963">
        <w:rPr>
          <w:rFonts w:ascii="Book Antiqua" w:hAnsi="Book Antiqua"/>
        </w:rPr>
        <w:t xml:space="preserve"> at the date of hearing the appellant</w:t>
      </w:r>
      <w:r w:rsidR="00410499" w:rsidRPr="006E6963">
        <w:rPr>
          <w:rFonts w:ascii="Book Antiqua" w:hAnsi="Book Antiqua"/>
        </w:rPr>
        <w:t xml:space="preserve"> met the financial requirements of the Rules, I am satisfied that the </w:t>
      </w:r>
      <w:proofErr w:type="spellStart"/>
      <w:r w:rsidR="00410499" w:rsidRPr="006E6963">
        <w:rPr>
          <w:rFonts w:ascii="Book Antiqua" w:hAnsi="Book Antiqua"/>
        </w:rPr>
        <w:t>FtJ</w:t>
      </w:r>
      <w:proofErr w:type="spellEnd"/>
      <w:r w:rsidR="00410499" w:rsidRPr="006E6963">
        <w:rPr>
          <w:rFonts w:ascii="Book Antiqua" w:hAnsi="Book Antiqua"/>
        </w:rPr>
        <w:t xml:space="preserve"> erred in law.</w:t>
      </w:r>
      <w:r w:rsidR="002639DD">
        <w:rPr>
          <w:rFonts w:ascii="Book Antiqua" w:hAnsi="Book Antiqua"/>
        </w:rPr>
        <w:t xml:space="preserve"> </w:t>
      </w:r>
      <w:r w:rsidR="00410499" w:rsidRPr="006E6963">
        <w:rPr>
          <w:rFonts w:ascii="Book Antiqua" w:hAnsi="Book Antiqua"/>
        </w:rPr>
        <w:t>That error of law is such as to require her decision to be set aside</w:t>
      </w:r>
      <w:r w:rsidR="006E6963">
        <w:rPr>
          <w:rFonts w:ascii="Book Antiqua" w:hAnsi="Book Antiqua"/>
        </w:rPr>
        <w:t>.</w:t>
      </w:r>
      <w:r w:rsidR="00A155A8">
        <w:rPr>
          <w:rFonts w:ascii="Book Antiqua" w:hAnsi="Book Antiqua"/>
        </w:rPr>
        <w:t xml:space="preserve"> I proceed to re-make the decision </w:t>
      </w:r>
      <w:proofErr w:type="gramStart"/>
      <w:r w:rsidR="00A155A8">
        <w:rPr>
          <w:rFonts w:ascii="Book Antiqua" w:hAnsi="Book Antiqua"/>
        </w:rPr>
        <w:t>on the basis of</w:t>
      </w:r>
      <w:proofErr w:type="gramEnd"/>
      <w:r w:rsidR="00A155A8">
        <w:rPr>
          <w:rFonts w:ascii="Book Antiqua" w:hAnsi="Book Antiqua"/>
        </w:rPr>
        <w:t xml:space="preserve"> the evidence that was before the First-tier Tribunal, that being accepted on behalf of the appellant as being an appropriate course should I find myself in the position of re-making the decision. T</w:t>
      </w:r>
      <w:r w:rsidR="0032220D">
        <w:rPr>
          <w:rFonts w:ascii="Book Antiqua" w:hAnsi="Book Antiqua"/>
        </w:rPr>
        <w:t>he contrary view was not advanced on behalf of the respondent.</w:t>
      </w:r>
    </w:p>
    <w:p w14:paraId="61775761" w14:textId="77777777" w:rsidR="00582D77" w:rsidRDefault="002639DD" w:rsidP="0062166F">
      <w:pPr>
        <w:numPr>
          <w:ilvl w:val="0"/>
          <w:numId w:val="2"/>
        </w:numPr>
        <w:spacing w:before="240"/>
        <w:jc w:val="both"/>
        <w:rPr>
          <w:rFonts w:ascii="Book Antiqua" w:hAnsi="Book Antiqua"/>
        </w:rPr>
      </w:pPr>
      <w:r>
        <w:rPr>
          <w:rFonts w:ascii="Book Antiqua" w:hAnsi="Book Antiqua"/>
        </w:rPr>
        <w:t xml:space="preserve">It is not disputed on behalf of the respondent, or at least was not </w:t>
      </w:r>
      <w:r w:rsidR="009550B3">
        <w:rPr>
          <w:rFonts w:ascii="Book Antiqua" w:hAnsi="Book Antiqua"/>
        </w:rPr>
        <w:t>before me, that if the application for further leave to remain was made now the appellant would be able to meet the requirements of the Rules</w:t>
      </w:r>
      <w:r w:rsidR="00E739A4">
        <w:rPr>
          <w:rFonts w:ascii="Book Antiqua" w:hAnsi="Book Antiqua"/>
        </w:rPr>
        <w:t>. The only issue in the respondent’s decision was in relation to the financial requirements and that</w:t>
      </w:r>
      <w:r w:rsidR="00AD6A84">
        <w:rPr>
          <w:rFonts w:ascii="Book Antiqua" w:hAnsi="Book Antiqua"/>
        </w:rPr>
        <w:t xml:space="preserve"> was itself</w:t>
      </w:r>
      <w:r w:rsidR="00E739A4">
        <w:rPr>
          <w:rFonts w:ascii="Book Antiqua" w:hAnsi="Book Antiqua"/>
        </w:rPr>
        <w:t xml:space="preserve"> </w:t>
      </w:r>
      <w:r w:rsidR="00AD6A84">
        <w:rPr>
          <w:rFonts w:ascii="Book Antiqua" w:hAnsi="Book Antiqua"/>
        </w:rPr>
        <w:t>substantially a question of the failure to provide specified evidence. The contention that the specified evidence has now been provided</w:t>
      </w:r>
      <w:r w:rsidR="00582D77">
        <w:rPr>
          <w:rFonts w:ascii="Book Antiqua" w:hAnsi="Book Antiqua"/>
        </w:rPr>
        <w:t>, or would be considered as such if the application were decided now, again was not the subject of any dispute before me.</w:t>
      </w:r>
    </w:p>
    <w:p w14:paraId="3A600665" w14:textId="77777777" w:rsidR="00350C9C" w:rsidRDefault="00CA21F8" w:rsidP="0062166F">
      <w:pPr>
        <w:numPr>
          <w:ilvl w:val="0"/>
          <w:numId w:val="2"/>
        </w:numPr>
        <w:spacing w:before="240"/>
        <w:jc w:val="both"/>
        <w:rPr>
          <w:rFonts w:ascii="Book Antiqua" w:hAnsi="Book Antiqua"/>
        </w:rPr>
      </w:pPr>
      <w:r>
        <w:rPr>
          <w:rFonts w:ascii="Book Antiqua" w:hAnsi="Book Antiqua"/>
        </w:rPr>
        <w:t>The re-making of the decision does not require further consideration of anything other than proportionality</w:t>
      </w:r>
      <w:r w:rsidR="009267B0">
        <w:rPr>
          <w:rFonts w:ascii="Book Antiqua" w:hAnsi="Book Antiqua"/>
        </w:rPr>
        <w:t xml:space="preserve"> under Article 8</w:t>
      </w:r>
      <w:r>
        <w:rPr>
          <w:rFonts w:ascii="Book Antiqua" w:hAnsi="Book Antiqua"/>
        </w:rPr>
        <w:t xml:space="preserve">, since that is where the error on the part of the </w:t>
      </w:r>
      <w:proofErr w:type="spellStart"/>
      <w:r>
        <w:rPr>
          <w:rFonts w:ascii="Book Antiqua" w:hAnsi="Book Antiqua"/>
        </w:rPr>
        <w:t>FtJ</w:t>
      </w:r>
      <w:proofErr w:type="spellEnd"/>
      <w:r>
        <w:rPr>
          <w:rFonts w:ascii="Book Antiqua" w:hAnsi="Book Antiqua"/>
        </w:rPr>
        <w:t xml:space="preserve"> lay</w:t>
      </w:r>
      <w:r w:rsidR="00350C9C">
        <w:rPr>
          <w:rFonts w:ascii="Book Antiqua" w:hAnsi="Book Antiqua"/>
        </w:rPr>
        <w:t xml:space="preserve"> and no other aspect of her decision needing to be revisited.</w:t>
      </w:r>
    </w:p>
    <w:p w14:paraId="10E22896" w14:textId="77777777" w:rsidR="001F1D91" w:rsidRDefault="00350C9C" w:rsidP="0062166F">
      <w:pPr>
        <w:numPr>
          <w:ilvl w:val="0"/>
          <w:numId w:val="2"/>
        </w:numPr>
        <w:spacing w:before="240"/>
        <w:jc w:val="both"/>
        <w:rPr>
          <w:rFonts w:ascii="Book Antiqua" w:hAnsi="Book Antiqua"/>
        </w:rPr>
      </w:pPr>
      <w:r>
        <w:rPr>
          <w:rFonts w:ascii="Book Antiqua" w:hAnsi="Book Antiqua"/>
        </w:rPr>
        <w:t xml:space="preserve">It seems to me that Mr Raza’s reliance on </w:t>
      </w:r>
      <w:r w:rsidR="00CD19F0">
        <w:rPr>
          <w:rFonts w:ascii="Book Antiqua" w:hAnsi="Book Antiqua"/>
        </w:rPr>
        <w:t xml:space="preserve">[51] of </w:t>
      </w:r>
      <w:proofErr w:type="spellStart"/>
      <w:r w:rsidR="00CD19F0">
        <w:rPr>
          <w:rFonts w:ascii="Book Antiqua" w:hAnsi="Book Antiqua"/>
          <w:i/>
        </w:rPr>
        <w:t>Agyarko</w:t>
      </w:r>
      <w:proofErr w:type="spellEnd"/>
      <w:r w:rsidR="00CD19F0">
        <w:rPr>
          <w:rFonts w:ascii="Book Antiqua" w:hAnsi="Book Antiqua"/>
        </w:rPr>
        <w:t xml:space="preserve"> is </w:t>
      </w:r>
      <w:r w:rsidR="00E5549B">
        <w:rPr>
          <w:rFonts w:ascii="Book Antiqua" w:hAnsi="Book Antiqua"/>
        </w:rPr>
        <w:t>apposite</w:t>
      </w:r>
      <w:r w:rsidR="001F1D91">
        <w:rPr>
          <w:rFonts w:ascii="Book Antiqua" w:hAnsi="Book Antiqua"/>
        </w:rPr>
        <w:t>. There the Supreme Court said as follows:</w:t>
      </w:r>
    </w:p>
    <w:p w14:paraId="4F3BB871" w14:textId="77777777" w:rsidR="0062166F" w:rsidRPr="00E51AF7" w:rsidRDefault="00E51AF7" w:rsidP="00E51AF7">
      <w:pPr>
        <w:spacing w:before="240"/>
        <w:ind w:left="1418"/>
        <w:jc w:val="both"/>
        <w:rPr>
          <w:rFonts w:ascii="Book Antiqua" w:hAnsi="Book Antiqua"/>
          <w:sz w:val="22"/>
          <w:szCs w:val="22"/>
        </w:rPr>
      </w:pPr>
      <w:r w:rsidRPr="00E51AF7">
        <w:rPr>
          <w:rFonts w:ascii="Book Antiqua" w:hAnsi="Book Antiqua"/>
          <w:sz w:val="22"/>
          <w:szCs w:val="22"/>
        </w:rPr>
        <w:t xml:space="preserve">“Whether the applicant is in the UK unlawfully, or is entitled to remain in the UK only temporarily, however, the significance of this consideration depends on what the outcome of immigration control might otherwise be. For example, if an applicant would otherwise be automatically deported as a foreign criminal, then the weight of the public interest in his or her removal will generally be very considerable. If, on the other hand, an applicant - even if residing in the UK unlawfully - was otherwise certain to be granted leave to enter, at least if an application were made from outside the UK, then there might be no public interest in his or her removal. The point is illustrated by the decision in </w:t>
      </w:r>
      <w:proofErr w:type="spellStart"/>
      <w:r w:rsidRPr="00E51AF7">
        <w:rPr>
          <w:rFonts w:ascii="Book Antiqua" w:hAnsi="Book Antiqua"/>
          <w:i/>
          <w:sz w:val="22"/>
          <w:szCs w:val="22"/>
        </w:rPr>
        <w:t>Chikwamba</w:t>
      </w:r>
      <w:proofErr w:type="spellEnd"/>
      <w:r w:rsidRPr="00E51AF7">
        <w:rPr>
          <w:rFonts w:ascii="Book Antiqua" w:hAnsi="Book Antiqua"/>
          <w:i/>
          <w:sz w:val="22"/>
          <w:szCs w:val="22"/>
        </w:rPr>
        <w:t xml:space="preserve"> v Secretary of State for the Home Department</w:t>
      </w:r>
      <w:r w:rsidRPr="00E51AF7">
        <w:rPr>
          <w:rFonts w:ascii="Book Antiqua" w:hAnsi="Book Antiqua"/>
          <w:sz w:val="22"/>
          <w:szCs w:val="22"/>
        </w:rPr>
        <w:t xml:space="preserve">.” </w:t>
      </w:r>
      <w:r w:rsidR="00AD6A84" w:rsidRPr="00E51AF7">
        <w:rPr>
          <w:rFonts w:ascii="Book Antiqua" w:hAnsi="Book Antiqua"/>
          <w:sz w:val="22"/>
          <w:szCs w:val="22"/>
        </w:rPr>
        <w:t xml:space="preserve"> </w:t>
      </w:r>
      <w:r w:rsidR="006F52D3" w:rsidRPr="00E51AF7">
        <w:rPr>
          <w:rFonts w:ascii="Book Antiqua" w:hAnsi="Book Antiqua"/>
          <w:sz w:val="22"/>
          <w:szCs w:val="22"/>
        </w:rPr>
        <w:t xml:space="preserve"> </w:t>
      </w:r>
    </w:p>
    <w:p w14:paraId="411F9880" w14:textId="77777777" w:rsidR="00457AF7" w:rsidRDefault="004C0EE5" w:rsidP="00A13403">
      <w:pPr>
        <w:numPr>
          <w:ilvl w:val="0"/>
          <w:numId w:val="2"/>
        </w:numPr>
        <w:spacing w:before="240"/>
        <w:jc w:val="both"/>
        <w:rPr>
          <w:rFonts w:ascii="Book Antiqua" w:hAnsi="Book Antiqua"/>
        </w:rPr>
      </w:pPr>
      <w:r>
        <w:rPr>
          <w:rFonts w:ascii="Book Antiqua" w:hAnsi="Book Antiqua"/>
        </w:rPr>
        <w:t>Mr Raza accepted that the Court was not there specifically referring to the financial requirements of the Rules</w:t>
      </w:r>
      <w:r w:rsidR="000F0C76">
        <w:rPr>
          <w:rFonts w:ascii="Book Antiqua" w:hAnsi="Book Antiqua"/>
        </w:rPr>
        <w:t xml:space="preserve">, but contended that the principle </w:t>
      </w:r>
      <w:r w:rsidR="00D022DC">
        <w:rPr>
          <w:rFonts w:ascii="Book Antiqua" w:hAnsi="Book Antiqua"/>
        </w:rPr>
        <w:t xml:space="preserve">is nevertheless applicable. </w:t>
      </w:r>
      <w:r w:rsidR="00FA7E1B">
        <w:rPr>
          <w:rFonts w:ascii="Book Antiqua" w:hAnsi="Book Antiqua"/>
        </w:rPr>
        <w:t xml:space="preserve">It was not suggested on behalf of the appellant before me that there was any error of law in the </w:t>
      </w:r>
      <w:proofErr w:type="spellStart"/>
      <w:r w:rsidR="00FA7E1B">
        <w:rPr>
          <w:rFonts w:ascii="Book Antiqua" w:hAnsi="Book Antiqua"/>
        </w:rPr>
        <w:t>FtJ’s</w:t>
      </w:r>
      <w:proofErr w:type="spellEnd"/>
      <w:r w:rsidR="00FA7E1B">
        <w:rPr>
          <w:rFonts w:ascii="Book Antiqua" w:hAnsi="Book Antiqua"/>
        </w:rPr>
        <w:t xml:space="preserve"> </w:t>
      </w:r>
      <w:r w:rsidR="006055DA">
        <w:rPr>
          <w:rFonts w:ascii="Book Antiqua" w:hAnsi="Book Antiqua"/>
        </w:rPr>
        <w:t xml:space="preserve">distinct conclusion that </w:t>
      </w:r>
      <w:r w:rsidR="00CB6398">
        <w:rPr>
          <w:rFonts w:ascii="Book Antiqua" w:hAnsi="Book Antiqua"/>
        </w:rPr>
        <w:t>there were no insurmountable obstacles</w:t>
      </w:r>
      <w:r w:rsidR="00E71321">
        <w:rPr>
          <w:rFonts w:ascii="Book Antiqua" w:hAnsi="Book Antiqua"/>
        </w:rPr>
        <w:t xml:space="preserve"> to their continuing their family life in </w:t>
      </w:r>
      <w:r w:rsidR="00372219">
        <w:rPr>
          <w:rFonts w:ascii="Book Antiqua" w:hAnsi="Book Antiqua"/>
        </w:rPr>
        <w:t xml:space="preserve">India. The </w:t>
      </w:r>
      <w:proofErr w:type="spellStart"/>
      <w:r w:rsidR="00372219">
        <w:rPr>
          <w:rFonts w:ascii="Book Antiqua" w:hAnsi="Book Antiqua"/>
        </w:rPr>
        <w:t>FtJ</w:t>
      </w:r>
      <w:proofErr w:type="spellEnd"/>
      <w:r w:rsidR="00372219">
        <w:rPr>
          <w:rFonts w:ascii="Book Antiqua" w:hAnsi="Book Antiqua"/>
        </w:rPr>
        <w:t xml:space="preserve"> did not say that exactly in that way, but that is the effect of her decision. Her conclusions in that respect are </w:t>
      </w:r>
      <w:r w:rsidR="00551803">
        <w:rPr>
          <w:rFonts w:ascii="Book Antiqua" w:hAnsi="Book Antiqua"/>
        </w:rPr>
        <w:t>part of the proportionality assessment therefore.</w:t>
      </w:r>
    </w:p>
    <w:p w14:paraId="742A2AFB" w14:textId="77777777" w:rsidR="00D92309" w:rsidRDefault="00551803" w:rsidP="00A13403">
      <w:pPr>
        <w:numPr>
          <w:ilvl w:val="0"/>
          <w:numId w:val="2"/>
        </w:numPr>
        <w:spacing w:before="240"/>
        <w:jc w:val="both"/>
        <w:rPr>
          <w:rFonts w:ascii="Book Antiqua" w:hAnsi="Book Antiqua"/>
        </w:rPr>
      </w:pPr>
      <w:r>
        <w:rPr>
          <w:rFonts w:ascii="Book Antiqua" w:hAnsi="Book Antiqua"/>
        </w:rPr>
        <w:t>However, the issue really does boil down to what is in the public interest. The maintenance of an effective immigration control</w:t>
      </w:r>
      <w:r w:rsidR="0085741C">
        <w:rPr>
          <w:rFonts w:ascii="Book Antiqua" w:hAnsi="Book Antiqua"/>
        </w:rPr>
        <w:t xml:space="preserve"> is </w:t>
      </w:r>
      <w:r w:rsidR="00CC1904">
        <w:rPr>
          <w:rFonts w:ascii="Book Antiqua" w:hAnsi="Book Antiqua"/>
        </w:rPr>
        <w:t xml:space="preserve">a matter that is significant in the public interest. </w:t>
      </w:r>
      <w:r w:rsidR="00E43B21">
        <w:rPr>
          <w:rFonts w:ascii="Book Antiqua" w:hAnsi="Book Antiqua"/>
        </w:rPr>
        <w:t xml:space="preserve">The fact that the appellant failed to meet the </w:t>
      </w:r>
      <w:r w:rsidR="00D92309">
        <w:rPr>
          <w:rFonts w:ascii="Book Antiqua" w:hAnsi="Book Antiqua"/>
        </w:rPr>
        <w:t xml:space="preserve">requirements of the Article 8 Rules is also significant in that context. </w:t>
      </w:r>
    </w:p>
    <w:p w14:paraId="10BFE023" w14:textId="77777777" w:rsidR="00551803" w:rsidRDefault="00D92309" w:rsidP="00A13403">
      <w:pPr>
        <w:numPr>
          <w:ilvl w:val="0"/>
          <w:numId w:val="2"/>
        </w:numPr>
        <w:spacing w:before="240"/>
        <w:jc w:val="both"/>
        <w:rPr>
          <w:rFonts w:ascii="Book Antiqua" w:hAnsi="Book Antiqua"/>
        </w:rPr>
      </w:pPr>
      <w:r>
        <w:rPr>
          <w:rFonts w:ascii="Book Antiqua" w:hAnsi="Book Antiqua"/>
        </w:rPr>
        <w:lastRenderedPageBreak/>
        <w:t>However, the extent of that failure is also pertinent.</w:t>
      </w:r>
      <w:r w:rsidR="00E43B21">
        <w:rPr>
          <w:rFonts w:ascii="Book Antiqua" w:hAnsi="Book Antiqua"/>
        </w:rPr>
        <w:t xml:space="preserve"> </w:t>
      </w:r>
      <w:r>
        <w:rPr>
          <w:rFonts w:ascii="Book Antiqua" w:hAnsi="Book Antiqua"/>
        </w:rPr>
        <w:t>It is the case that were the matter assessed today</w:t>
      </w:r>
      <w:r w:rsidR="002655CA">
        <w:rPr>
          <w:rFonts w:ascii="Book Antiqua" w:hAnsi="Book Antiqua"/>
        </w:rPr>
        <w:t xml:space="preserve"> (including with reference to specified evidence)</w:t>
      </w:r>
      <w:r>
        <w:rPr>
          <w:rFonts w:ascii="Book Antiqua" w:hAnsi="Book Antiqua"/>
        </w:rPr>
        <w:t xml:space="preserve">, and indeed were it assessed at the </w:t>
      </w:r>
      <w:r w:rsidR="0066339D">
        <w:rPr>
          <w:rFonts w:ascii="Book Antiqua" w:hAnsi="Book Antiqua"/>
        </w:rPr>
        <w:t xml:space="preserve">date of the hearing before the </w:t>
      </w:r>
      <w:proofErr w:type="spellStart"/>
      <w:r w:rsidR="0066339D">
        <w:rPr>
          <w:rFonts w:ascii="Book Antiqua" w:hAnsi="Book Antiqua"/>
        </w:rPr>
        <w:t>FtJ</w:t>
      </w:r>
      <w:proofErr w:type="spellEnd"/>
      <w:r w:rsidR="0066339D">
        <w:rPr>
          <w:rFonts w:ascii="Book Antiqua" w:hAnsi="Book Antiqua"/>
        </w:rPr>
        <w:t xml:space="preserve">, it would </w:t>
      </w:r>
      <w:r w:rsidR="008F757A">
        <w:rPr>
          <w:rFonts w:ascii="Book Antiqua" w:hAnsi="Book Antiqua"/>
        </w:rPr>
        <w:t>be</w:t>
      </w:r>
      <w:r w:rsidR="0066339D">
        <w:rPr>
          <w:rFonts w:ascii="Book Antiqua" w:hAnsi="Book Antiqua"/>
        </w:rPr>
        <w:t xml:space="preserve"> found that the appellant did indeed meet those requirements</w:t>
      </w:r>
      <w:r w:rsidR="0029302A">
        <w:rPr>
          <w:rFonts w:ascii="Book Antiqua" w:hAnsi="Book Antiqua"/>
        </w:rPr>
        <w:t xml:space="preserve"> and, </w:t>
      </w:r>
      <w:r w:rsidR="0066339D">
        <w:rPr>
          <w:rFonts w:ascii="Book Antiqua" w:hAnsi="Book Antiqua"/>
        </w:rPr>
        <w:t xml:space="preserve">I accept in the light of Mr Aziz’s </w:t>
      </w:r>
      <w:r w:rsidR="0029302A">
        <w:rPr>
          <w:rFonts w:ascii="Book Antiqua" w:hAnsi="Book Antiqua"/>
        </w:rPr>
        <w:t xml:space="preserve">unchallenged </w:t>
      </w:r>
      <w:r w:rsidR="0066339D">
        <w:rPr>
          <w:rFonts w:ascii="Book Antiqua" w:hAnsi="Book Antiqua"/>
        </w:rPr>
        <w:t>submissions, all the other requirements of the Article 8 Rules for leave to remain as a spouse.</w:t>
      </w:r>
    </w:p>
    <w:p w14:paraId="2C06696B" w14:textId="77777777" w:rsidR="00E57E66" w:rsidRDefault="00E57E66" w:rsidP="00A13403">
      <w:pPr>
        <w:numPr>
          <w:ilvl w:val="0"/>
          <w:numId w:val="2"/>
        </w:numPr>
        <w:spacing w:before="240"/>
        <w:jc w:val="both"/>
        <w:rPr>
          <w:rFonts w:ascii="Book Antiqua" w:hAnsi="Book Antiqua"/>
        </w:rPr>
      </w:pPr>
      <w:r>
        <w:rPr>
          <w:rFonts w:ascii="Book Antiqua" w:hAnsi="Book Antiqua"/>
        </w:rPr>
        <w:t>In those circumstances, I am not satisfied that the respondent has established that the decision to refuse further leave to remain is a proportionate response to the legitimate aim pursued</w:t>
      </w:r>
      <w:r w:rsidR="0088342D">
        <w:rPr>
          <w:rFonts w:ascii="Book Antiqua" w:hAnsi="Book Antiqua"/>
        </w:rPr>
        <w:t xml:space="preserve">, and </w:t>
      </w:r>
      <w:proofErr w:type="gramStart"/>
      <w:r w:rsidR="0088342D">
        <w:rPr>
          <w:rFonts w:ascii="Book Antiqua" w:hAnsi="Book Antiqua"/>
        </w:rPr>
        <w:t>taking into account</w:t>
      </w:r>
      <w:proofErr w:type="gramEnd"/>
      <w:r w:rsidR="0088342D">
        <w:rPr>
          <w:rFonts w:ascii="Book Antiqua" w:hAnsi="Book Antiqua"/>
        </w:rPr>
        <w:t xml:space="preserve"> what was said in the passage of </w:t>
      </w:r>
      <w:proofErr w:type="spellStart"/>
      <w:r w:rsidR="0088342D">
        <w:rPr>
          <w:rFonts w:ascii="Book Antiqua" w:hAnsi="Book Antiqua"/>
          <w:i/>
        </w:rPr>
        <w:t>Agyarko</w:t>
      </w:r>
      <w:proofErr w:type="spellEnd"/>
      <w:r w:rsidR="0088342D">
        <w:rPr>
          <w:rFonts w:ascii="Book Antiqua" w:hAnsi="Book Antiqua"/>
        </w:rPr>
        <w:t xml:space="preserve"> to which I have referred.</w:t>
      </w:r>
    </w:p>
    <w:p w14:paraId="0D070B63" w14:textId="77777777" w:rsidR="00CB70EB" w:rsidRPr="00384A1E" w:rsidRDefault="00384A1E" w:rsidP="00384A1E">
      <w:pPr>
        <w:numPr>
          <w:ilvl w:val="0"/>
          <w:numId w:val="2"/>
        </w:numPr>
        <w:spacing w:before="240"/>
        <w:jc w:val="both"/>
        <w:rPr>
          <w:rFonts w:ascii="Book Antiqua" w:hAnsi="Book Antiqua"/>
        </w:rPr>
      </w:pPr>
      <w:r>
        <w:rPr>
          <w:rFonts w:ascii="Book Antiqua" w:hAnsi="Book Antiqua"/>
        </w:rPr>
        <w:t>Accordingly, I re-make the decision by allowing the appeal.</w:t>
      </w:r>
    </w:p>
    <w:p w14:paraId="624C7C73" w14:textId="77777777" w:rsidR="000700DA" w:rsidRPr="009B1526" w:rsidRDefault="00412E73" w:rsidP="00412E73">
      <w:pPr>
        <w:spacing w:before="240"/>
        <w:ind w:left="567"/>
        <w:jc w:val="both"/>
        <w:rPr>
          <w:rFonts w:ascii="Book Antiqua" w:hAnsi="Book Antiqua"/>
        </w:rPr>
      </w:pPr>
      <w:r>
        <w:rPr>
          <w:rFonts w:ascii="Book Antiqua" w:hAnsi="Book Antiqua"/>
          <w:i/>
        </w:rPr>
        <w:t>Decision</w:t>
      </w:r>
      <w:r w:rsidR="009B1526">
        <w:rPr>
          <w:rFonts w:ascii="Book Antiqua" w:hAnsi="Book Antiqua"/>
        </w:rPr>
        <w:t xml:space="preserve"> </w:t>
      </w:r>
      <w:r w:rsidR="004636E8" w:rsidRPr="009B1526">
        <w:rPr>
          <w:rFonts w:ascii="Book Antiqua" w:eastAsia="Book Antiqua" w:hAnsi="Book Antiqua" w:cs="Book Antiqua"/>
        </w:rPr>
        <w:t xml:space="preserve"> </w:t>
      </w:r>
      <w:r w:rsidR="00706EF9" w:rsidRPr="009B1526">
        <w:rPr>
          <w:rFonts w:ascii="Book Antiqua" w:eastAsia="Book Antiqua" w:hAnsi="Book Antiqua" w:cs="Book Antiqua"/>
        </w:rPr>
        <w:t xml:space="preserve"> </w:t>
      </w:r>
    </w:p>
    <w:p w14:paraId="2B4F3D6B" w14:textId="77777777" w:rsidR="000700DA" w:rsidRDefault="00412E73" w:rsidP="00412E73">
      <w:pPr>
        <w:spacing w:before="240"/>
        <w:ind w:left="567"/>
        <w:jc w:val="both"/>
        <w:rPr>
          <w:rFonts w:ascii="Book Antiqua" w:eastAsia="Book Antiqua" w:hAnsi="Book Antiqua" w:cs="Book Antiqua"/>
        </w:rPr>
      </w:pPr>
      <w:r>
        <w:rPr>
          <w:rFonts w:ascii="Book Antiqua" w:eastAsia="Book Antiqua" w:hAnsi="Book Antiqua" w:cs="Book Antiqua"/>
        </w:rPr>
        <w:t>The decision of the First-tier Tribunal involved</w:t>
      </w:r>
      <w:r w:rsidR="00384A1E">
        <w:rPr>
          <w:rFonts w:ascii="Book Antiqua" w:eastAsia="Book Antiqua" w:hAnsi="Book Antiqua" w:cs="Book Antiqua"/>
        </w:rPr>
        <w:t xml:space="preserve"> </w:t>
      </w:r>
      <w:r>
        <w:rPr>
          <w:rFonts w:ascii="Book Antiqua" w:eastAsia="Book Antiqua" w:hAnsi="Book Antiqua" w:cs="Book Antiqua"/>
        </w:rPr>
        <w:t xml:space="preserve">the making of an error on a point of law. </w:t>
      </w:r>
      <w:r w:rsidR="00384A1E">
        <w:rPr>
          <w:rFonts w:ascii="Book Antiqua" w:eastAsia="Book Antiqua" w:hAnsi="Book Antiqua" w:cs="Book Antiqua"/>
        </w:rPr>
        <w:t xml:space="preserve">Its decision is set aside and I re-make the decision by allowing the appeal on </w:t>
      </w:r>
      <w:r w:rsidR="00AB13DF">
        <w:rPr>
          <w:rFonts w:ascii="Book Antiqua" w:eastAsia="Book Antiqua" w:hAnsi="Book Antiqua" w:cs="Book Antiqua"/>
        </w:rPr>
        <w:t>Article 8 grounds.</w:t>
      </w:r>
    </w:p>
    <w:p w14:paraId="19F3EC18" w14:textId="77777777" w:rsidR="000700DA" w:rsidRDefault="000700DA">
      <w:pPr>
        <w:jc w:val="both"/>
        <w:rPr>
          <w:rFonts w:ascii="Book Antiqua" w:eastAsia="Book Antiqua" w:hAnsi="Book Antiqua" w:cs="Book Antiqua"/>
        </w:rPr>
      </w:pPr>
    </w:p>
    <w:p w14:paraId="3DB50D5D" w14:textId="77777777" w:rsidR="000700DA" w:rsidRDefault="000700DA">
      <w:pPr>
        <w:jc w:val="both"/>
        <w:rPr>
          <w:rFonts w:ascii="Book Antiqua" w:eastAsia="Book Antiqua" w:hAnsi="Book Antiqua" w:cs="Book Antiqua"/>
        </w:rPr>
      </w:pPr>
    </w:p>
    <w:p w14:paraId="65CE8EE9" w14:textId="77777777" w:rsidR="000700DA" w:rsidRDefault="000700DA">
      <w:pPr>
        <w:tabs>
          <w:tab w:val="left" w:pos="2520"/>
        </w:tabs>
        <w:ind w:left="540" w:hanging="540"/>
        <w:jc w:val="both"/>
        <w:rPr>
          <w:rFonts w:ascii="Book Antiqua" w:eastAsia="Book Antiqua" w:hAnsi="Book Antiqua" w:cs="Book Antiqua"/>
        </w:rPr>
      </w:pPr>
    </w:p>
    <w:p w14:paraId="404D7096" w14:textId="77777777" w:rsidR="000700DA" w:rsidRDefault="000700DA">
      <w:pPr>
        <w:tabs>
          <w:tab w:val="left" w:pos="2520"/>
        </w:tabs>
        <w:ind w:left="540" w:hanging="540"/>
        <w:jc w:val="both"/>
        <w:rPr>
          <w:rFonts w:ascii="Book Antiqua" w:eastAsia="Book Antiqua" w:hAnsi="Book Antiqua" w:cs="Book Antiqua"/>
        </w:rPr>
      </w:pPr>
    </w:p>
    <w:p w14:paraId="75E51291" w14:textId="77777777" w:rsidR="000700DA" w:rsidRDefault="00706EF9">
      <w:pPr>
        <w:tabs>
          <w:tab w:val="left" w:pos="2520"/>
        </w:tabs>
        <w:ind w:left="540" w:hanging="540"/>
        <w:jc w:val="both"/>
        <w:rPr>
          <w:rFonts w:ascii="Book Antiqua" w:eastAsia="Book Antiqua" w:hAnsi="Book Antiqua" w:cs="Book Antiqua"/>
          <w:color w:val="000000"/>
        </w:rPr>
      </w:pPr>
      <w:r>
        <w:rPr>
          <w:rFonts w:ascii="Book Antiqua" w:eastAsia="Book Antiqua" w:hAnsi="Book Antiqua" w:cs="Book Antiqua"/>
          <w:color w:val="000000"/>
        </w:rPr>
        <w:t>Upper Tribunal Judge Kopieczek</w:t>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sidR="007F551F">
        <w:rPr>
          <w:rFonts w:ascii="Book Antiqua" w:eastAsia="Book Antiqua" w:hAnsi="Book Antiqua" w:cs="Book Antiqua"/>
          <w:color w:val="000000"/>
        </w:rPr>
        <w:t>29</w:t>
      </w:r>
      <w:r w:rsidR="00AB13DF">
        <w:rPr>
          <w:rFonts w:ascii="Book Antiqua" w:eastAsia="Book Antiqua" w:hAnsi="Book Antiqua" w:cs="Book Antiqua"/>
          <w:color w:val="000000"/>
        </w:rPr>
        <w:t>/05</w:t>
      </w:r>
      <w:r>
        <w:rPr>
          <w:rFonts w:ascii="Book Antiqua" w:eastAsia="Book Antiqua" w:hAnsi="Book Antiqua" w:cs="Book Antiqua"/>
          <w:color w:val="000000"/>
        </w:rPr>
        <w:t>/18</w:t>
      </w:r>
    </w:p>
    <w:p w14:paraId="700629FA" w14:textId="77777777" w:rsidR="000700DA" w:rsidRDefault="000700DA">
      <w:pPr>
        <w:tabs>
          <w:tab w:val="left" w:pos="2520"/>
        </w:tabs>
        <w:ind w:left="540" w:hanging="540"/>
        <w:jc w:val="both"/>
        <w:rPr>
          <w:rFonts w:ascii="Book Antiqua" w:eastAsia="Book Antiqua" w:hAnsi="Book Antiqua" w:cs="Book Antiqua"/>
          <w:color w:val="000000"/>
        </w:rPr>
      </w:pPr>
    </w:p>
    <w:p w14:paraId="37854BD7" w14:textId="77777777" w:rsidR="00C82F70" w:rsidRDefault="00C82F70">
      <w:pPr>
        <w:tabs>
          <w:tab w:val="left" w:pos="2520"/>
        </w:tabs>
        <w:ind w:left="540" w:hanging="540"/>
        <w:jc w:val="both"/>
        <w:rPr>
          <w:rFonts w:ascii="Book Antiqua" w:eastAsia="Book Antiqua" w:hAnsi="Book Antiqua" w:cs="Book Antiqua"/>
          <w:color w:val="000000"/>
        </w:rPr>
      </w:pPr>
    </w:p>
    <w:p w14:paraId="0FBB3FDD" w14:textId="77777777" w:rsidR="00C82F70" w:rsidRDefault="00C82F70">
      <w:pPr>
        <w:tabs>
          <w:tab w:val="left" w:pos="2520"/>
        </w:tabs>
        <w:ind w:left="540" w:hanging="540"/>
        <w:jc w:val="both"/>
        <w:rPr>
          <w:rFonts w:ascii="Book Antiqua" w:eastAsia="Book Antiqua" w:hAnsi="Book Antiqua" w:cs="Book Antiqua"/>
          <w:color w:val="000000"/>
        </w:rPr>
      </w:pPr>
    </w:p>
    <w:p w14:paraId="1D8DC313" w14:textId="77777777" w:rsidR="00C82F70" w:rsidRDefault="00C82F70">
      <w:pPr>
        <w:tabs>
          <w:tab w:val="left" w:pos="2520"/>
        </w:tabs>
        <w:ind w:left="540" w:hanging="540"/>
        <w:jc w:val="both"/>
        <w:rPr>
          <w:rFonts w:ascii="Book Antiqua" w:eastAsia="Book Antiqua" w:hAnsi="Book Antiqua" w:cs="Book Antiqua"/>
          <w:color w:val="000000"/>
        </w:rPr>
      </w:pPr>
    </w:p>
    <w:p w14:paraId="628175CF" w14:textId="77777777" w:rsidR="00C82F70" w:rsidRDefault="00C82F70">
      <w:pPr>
        <w:tabs>
          <w:tab w:val="left" w:pos="2520"/>
        </w:tabs>
        <w:ind w:left="540" w:hanging="540"/>
        <w:jc w:val="both"/>
        <w:rPr>
          <w:rFonts w:ascii="Book Antiqua" w:eastAsia="Book Antiqua" w:hAnsi="Book Antiqua" w:cs="Book Antiqua"/>
          <w:color w:val="000000"/>
        </w:rPr>
      </w:pPr>
    </w:p>
    <w:p w14:paraId="1B917219" w14:textId="77777777" w:rsidR="00C82F70" w:rsidRDefault="00C82F70">
      <w:pPr>
        <w:tabs>
          <w:tab w:val="left" w:pos="2520"/>
        </w:tabs>
        <w:ind w:left="540" w:hanging="540"/>
        <w:jc w:val="both"/>
        <w:rPr>
          <w:rFonts w:ascii="Book Antiqua" w:eastAsia="Book Antiqua" w:hAnsi="Book Antiqua" w:cs="Book Antiqua"/>
          <w:color w:val="000000"/>
        </w:rPr>
      </w:pPr>
    </w:p>
    <w:p w14:paraId="35D2F223" w14:textId="77777777" w:rsidR="00C82F70" w:rsidRDefault="00C82F70">
      <w:pPr>
        <w:tabs>
          <w:tab w:val="left" w:pos="2520"/>
        </w:tabs>
        <w:ind w:left="540" w:hanging="540"/>
        <w:jc w:val="both"/>
        <w:rPr>
          <w:rFonts w:ascii="Book Antiqua" w:eastAsia="Book Antiqua" w:hAnsi="Book Antiqua" w:cs="Book Antiqua"/>
          <w:color w:val="000000"/>
        </w:rPr>
      </w:pPr>
    </w:p>
    <w:p w14:paraId="78A0065F" w14:textId="77777777" w:rsidR="00C82F70" w:rsidRDefault="00C82F70">
      <w:pPr>
        <w:tabs>
          <w:tab w:val="left" w:pos="2520"/>
        </w:tabs>
        <w:ind w:left="540" w:hanging="540"/>
        <w:jc w:val="both"/>
        <w:rPr>
          <w:rFonts w:ascii="Book Antiqua" w:eastAsia="Book Antiqua" w:hAnsi="Book Antiqua" w:cs="Book Antiqua"/>
          <w:color w:val="000000"/>
        </w:rPr>
      </w:pPr>
    </w:p>
    <w:p w14:paraId="2E216CAA" w14:textId="77777777" w:rsidR="00C82F70" w:rsidRDefault="00C82F70">
      <w:pPr>
        <w:tabs>
          <w:tab w:val="left" w:pos="2520"/>
        </w:tabs>
        <w:ind w:left="540" w:hanging="540"/>
        <w:jc w:val="both"/>
        <w:rPr>
          <w:rFonts w:ascii="Book Antiqua" w:eastAsia="Book Antiqua" w:hAnsi="Book Antiqua" w:cs="Book Antiqua"/>
          <w:color w:val="000000"/>
        </w:rPr>
      </w:pPr>
    </w:p>
    <w:p w14:paraId="53527CDD" w14:textId="77777777" w:rsidR="00C82F70" w:rsidRDefault="00C82F70">
      <w:pPr>
        <w:tabs>
          <w:tab w:val="left" w:pos="2520"/>
        </w:tabs>
        <w:ind w:left="540" w:hanging="540"/>
        <w:jc w:val="both"/>
        <w:rPr>
          <w:rFonts w:ascii="Book Antiqua" w:eastAsia="Book Antiqua" w:hAnsi="Book Antiqua" w:cs="Book Antiqua"/>
          <w:color w:val="000000"/>
        </w:rPr>
      </w:pPr>
    </w:p>
    <w:p w14:paraId="1E8D1296" w14:textId="77777777" w:rsidR="00C82F70" w:rsidRDefault="00C82F70">
      <w:pPr>
        <w:tabs>
          <w:tab w:val="left" w:pos="2520"/>
        </w:tabs>
        <w:ind w:left="540" w:hanging="540"/>
        <w:jc w:val="both"/>
        <w:rPr>
          <w:rFonts w:ascii="Book Antiqua" w:eastAsia="Book Antiqua" w:hAnsi="Book Antiqua" w:cs="Book Antiqua"/>
          <w:color w:val="000000"/>
        </w:rPr>
      </w:pPr>
    </w:p>
    <w:p w14:paraId="250ED857" w14:textId="77777777" w:rsidR="00C82F70" w:rsidRDefault="00C82F70">
      <w:pPr>
        <w:tabs>
          <w:tab w:val="left" w:pos="2520"/>
        </w:tabs>
        <w:ind w:left="540" w:hanging="540"/>
        <w:jc w:val="both"/>
        <w:rPr>
          <w:rFonts w:ascii="Book Antiqua" w:eastAsia="Book Antiqua" w:hAnsi="Book Antiqua" w:cs="Book Antiqua"/>
          <w:color w:val="000000"/>
        </w:rPr>
      </w:pPr>
    </w:p>
    <w:p w14:paraId="458E3EE6" w14:textId="77777777" w:rsidR="00C82F70" w:rsidRDefault="00C82F70">
      <w:pPr>
        <w:tabs>
          <w:tab w:val="left" w:pos="2520"/>
        </w:tabs>
        <w:ind w:left="540" w:hanging="540"/>
        <w:jc w:val="both"/>
        <w:rPr>
          <w:rFonts w:ascii="Book Antiqua" w:eastAsia="Book Antiqua" w:hAnsi="Book Antiqua" w:cs="Book Antiqua"/>
          <w:color w:val="000000"/>
        </w:rPr>
      </w:pPr>
    </w:p>
    <w:p w14:paraId="7D0FC75B" w14:textId="77777777" w:rsidR="00C82F70" w:rsidRDefault="00C82F70">
      <w:pPr>
        <w:tabs>
          <w:tab w:val="left" w:pos="2520"/>
        </w:tabs>
        <w:ind w:left="540" w:hanging="540"/>
        <w:jc w:val="both"/>
        <w:rPr>
          <w:rFonts w:ascii="Book Antiqua" w:eastAsia="Book Antiqua" w:hAnsi="Book Antiqua" w:cs="Book Antiqua"/>
          <w:color w:val="000000"/>
        </w:rPr>
      </w:pPr>
    </w:p>
    <w:p w14:paraId="615FEB0A" w14:textId="77777777" w:rsidR="00C82F70" w:rsidRDefault="00C82F70">
      <w:pPr>
        <w:tabs>
          <w:tab w:val="left" w:pos="2520"/>
        </w:tabs>
        <w:ind w:left="540" w:hanging="540"/>
        <w:jc w:val="both"/>
        <w:rPr>
          <w:rFonts w:ascii="Book Antiqua" w:eastAsia="Book Antiqua" w:hAnsi="Book Antiqua" w:cs="Book Antiqua"/>
          <w:color w:val="000000"/>
        </w:rPr>
      </w:pPr>
    </w:p>
    <w:p w14:paraId="37C8B793" w14:textId="77777777" w:rsidR="00C82F70" w:rsidRDefault="00C82F70">
      <w:pPr>
        <w:tabs>
          <w:tab w:val="left" w:pos="2520"/>
        </w:tabs>
        <w:ind w:left="540" w:hanging="540"/>
        <w:jc w:val="both"/>
        <w:rPr>
          <w:rFonts w:ascii="Book Antiqua" w:eastAsia="Book Antiqua" w:hAnsi="Book Antiqua" w:cs="Book Antiqua"/>
          <w:color w:val="000000"/>
        </w:rPr>
      </w:pPr>
    </w:p>
    <w:p w14:paraId="2A374D2F" w14:textId="77777777" w:rsidR="00C82F70" w:rsidRDefault="00C82F70">
      <w:pPr>
        <w:tabs>
          <w:tab w:val="left" w:pos="2520"/>
        </w:tabs>
        <w:ind w:left="540" w:hanging="540"/>
        <w:jc w:val="both"/>
        <w:rPr>
          <w:rFonts w:ascii="Book Antiqua" w:eastAsia="Book Antiqua" w:hAnsi="Book Antiqua" w:cs="Book Antiqua"/>
          <w:color w:val="000000"/>
        </w:rPr>
      </w:pPr>
    </w:p>
    <w:p w14:paraId="2698C231" w14:textId="77777777" w:rsidR="000700DA" w:rsidRPr="00F833AC" w:rsidRDefault="000700DA" w:rsidP="00F833AC">
      <w:pPr>
        <w:tabs>
          <w:tab w:val="left" w:pos="2520"/>
        </w:tabs>
        <w:jc w:val="both"/>
        <w:rPr>
          <w:rFonts w:ascii="Book Antiqua" w:hAnsi="Book Antiqua" w:cs="Arial"/>
          <w:color w:val="000000"/>
        </w:rPr>
      </w:pPr>
    </w:p>
    <w:sectPr w:rsidR="000700DA" w:rsidRPr="00F833AC" w:rsidSect="001F5C96">
      <w:headerReference w:type="default" r:id="rId8"/>
      <w:footerReference w:type="default" r:id="rId9"/>
      <w:headerReference w:type="first" r:id="rId10"/>
      <w:footerReference w:type="first" r:id="rId11"/>
      <w:pgSz w:w="11906" w:h="16838"/>
      <w:pgMar w:top="709" w:right="1134" w:bottom="1440"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3484C" w14:textId="77777777" w:rsidR="000058C7" w:rsidRDefault="000058C7">
      <w:r>
        <w:separator/>
      </w:r>
    </w:p>
  </w:endnote>
  <w:endnote w:type="continuationSeparator" w:id="0">
    <w:p w14:paraId="067F0A48" w14:textId="77777777" w:rsidR="000058C7" w:rsidRDefault="0000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ne Printer">
    <w:panose1 w:val="00000000000000000000"/>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979443"/>
      <w:docPartObj>
        <w:docPartGallery w:val="Page Numbers (Bottom of Page)"/>
        <w:docPartUnique/>
      </w:docPartObj>
    </w:sdtPr>
    <w:sdtEndPr>
      <w:rPr>
        <w:rFonts w:ascii="Book Antiqua" w:hAnsi="Book Antiqua"/>
        <w:noProof/>
      </w:rPr>
    </w:sdtEndPr>
    <w:sdtContent>
      <w:p w14:paraId="213DA367" w14:textId="31ACF458" w:rsidR="0069174F" w:rsidRPr="0069174F" w:rsidRDefault="0069174F">
        <w:pPr>
          <w:pStyle w:val="Footer"/>
          <w:jc w:val="center"/>
          <w:rPr>
            <w:rFonts w:ascii="Book Antiqua" w:hAnsi="Book Antiqua"/>
          </w:rPr>
        </w:pPr>
        <w:r w:rsidRPr="0069174F">
          <w:rPr>
            <w:rFonts w:ascii="Book Antiqua" w:hAnsi="Book Antiqua"/>
          </w:rPr>
          <w:fldChar w:fldCharType="begin"/>
        </w:r>
        <w:r w:rsidRPr="0069174F">
          <w:rPr>
            <w:rFonts w:ascii="Book Antiqua" w:hAnsi="Book Antiqua"/>
          </w:rPr>
          <w:instrText xml:space="preserve"> PAGE   \* MERGEFORMAT </w:instrText>
        </w:r>
        <w:r w:rsidRPr="0069174F">
          <w:rPr>
            <w:rFonts w:ascii="Book Antiqua" w:hAnsi="Book Antiqua"/>
          </w:rPr>
          <w:fldChar w:fldCharType="separate"/>
        </w:r>
        <w:r w:rsidR="008134F5">
          <w:rPr>
            <w:rFonts w:ascii="Book Antiqua" w:hAnsi="Book Antiqua"/>
            <w:noProof/>
          </w:rPr>
          <w:t>6</w:t>
        </w:r>
        <w:r w:rsidRPr="0069174F">
          <w:rPr>
            <w:rFonts w:ascii="Book Antiqua" w:hAnsi="Book Antiqua"/>
            <w:noProof/>
          </w:rPr>
          <w:fldChar w:fldCharType="end"/>
        </w:r>
      </w:p>
    </w:sdtContent>
  </w:sdt>
  <w:p w14:paraId="68ECBCDA" w14:textId="5D10F72C" w:rsidR="00D8173E" w:rsidRDefault="00D8173E">
    <w:pPr>
      <w:pBdr>
        <w:top w:val="nil"/>
        <w:left w:val="nil"/>
        <w:bottom w:val="nil"/>
        <w:right w:val="nil"/>
        <w:between w:val="nil"/>
      </w:pBdr>
      <w:tabs>
        <w:tab w:val="center" w:pos="4153"/>
        <w:tab w:val="right" w:pos="8306"/>
      </w:tabs>
      <w:jc w:val="center"/>
      <w:rPr>
        <w:rFonts w:ascii="Book Antiqua" w:eastAsia="Book Antiqua" w:hAnsi="Book Antiqua" w:cs="Book Antiqua"/>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20F10" w14:textId="77777777" w:rsidR="00D8173E" w:rsidRDefault="00D8173E">
    <w:pPr>
      <w:jc w:val="center"/>
      <w:rPr>
        <w:rFonts w:ascii="Book Antiqua" w:eastAsia="Book Antiqua" w:hAnsi="Book Antiqua" w:cs="Book Antiqua"/>
        <w:b/>
      </w:rPr>
    </w:pPr>
    <w:r>
      <w:rPr>
        <w:rFonts w:ascii="Book Antiqua" w:eastAsia="Book Antiqua" w:hAnsi="Book Antiqua" w:cs="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C8031" w14:textId="77777777" w:rsidR="000058C7" w:rsidRDefault="000058C7">
      <w:r>
        <w:separator/>
      </w:r>
    </w:p>
  </w:footnote>
  <w:footnote w:type="continuationSeparator" w:id="0">
    <w:p w14:paraId="2E780B3A" w14:textId="77777777" w:rsidR="000058C7" w:rsidRDefault="00005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C20B" w14:textId="77777777" w:rsidR="00223EE8" w:rsidRPr="00223EE8" w:rsidRDefault="00D8173E" w:rsidP="00223EE8">
    <w:pPr>
      <w:pBdr>
        <w:top w:val="nil"/>
        <w:left w:val="nil"/>
        <w:bottom w:val="nil"/>
        <w:right w:val="nil"/>
        <w:between w:val="nil"/>
      </w:pBdr>
      <w:tabs>
        <w:tab w:val="center" w:pos="4153"/>
        <w:tab w:val="right" w:pos="8306"/>
      </w:tabs>
      <w:jc w:val="right"/>
      <w:rPr>
        <w:rFonts w:ascii="Book Antiqua" w:eastAsia="Book Antiqua" w:hAnsi="Book Antiqua" w:cs="Book Antiqua"/>
        <w:color w:val="000000"/>
        <w:sz w:val="16"/>
        <w:szCs w:val="16"/>
      </w:rPr>
    </w:pPr>
    <w:r>
      <w:rPr>
        <w:rFonts w:ascii="Book Antiqua" w:eastAsia="Book Antiqua" w:hAnsi="Book Antiqua" w:cs="Book Antiqua"/>
        <w:color w:val="000000"/>
        <w:sz w:val="16"/>
        <w:szCs w:val="16"/>
      </w:rPr>
      <w:t xml:space="preserve">Appeal Number: </w:t>
    </w:r>
    <w:r w:rsidR="00223EE8" w:rsidRPr="00223EE8">
      <w:rPr>
        <w:rFonts w:ascii="Book Antiqua" w:eastAsia="Book Antiqua" w:hAnsi="Book Antiqua" w:cs="Book Antiqua"/>
        <w:color w:val="000000"/>
        <w:sz w:val="16"/>
        <w:szCs w:val="16"/>
      </w:rPr>
      <w:t>HU/14574/2016</w:t>
    </w:r>
  </w:p>
  <w:p w14:paraId="7ABFE1C8" w14:textId="77777777" w:rsidR="001F5F66" w:rsidRPr="001F5F66" w:rsidRDefault="001F5F66" w:rsidP="001F5F66">
    <w:pPr>
      <w:pBdr>
        <w:top w:val="nil"/>
        <w:left w:val="nil"/>
        <w:bottom w:val="nil"/>
        <w:right w:val="nil"/>
        <w:between w:val="nil"/>
      </w:pBdr>
      <w:tabs>
        <w:tab w:val="center" w:pos="4153"/>
        <w:tab w:val="right" w:pos="8306"/>
      </w:tabs>
      <w:jc w:val="right"/>
      <w:rPr>
        <w:rFonts w:ascii="Book Antiqua" w:eastAsia="Book Antiqua" w:hAnsi="Book Antiqua" w:cs="Book Antiqua"/>
        <w:color w:val="000000"/>
        <w:sz w:val="16"/>
        <w:szCs w:val="16"/>
      </w:rPr>
    </w:pPr>
  </w:p>
  <w:p w14:paraId="2E45A1EE" w14:textId="77777777" w:rsidR="001F5F66" w:rsidRPr="001F5F66" w:rsidRDefault="001F5F66" w:rsidP="001F5F66">
    <w:pPr>
      <w:pBdr>
        <w:top w:val="nil"/>
        <w:left w:val="nil"/>
        <w:bottom w:val="nil"/>
        <w:right w:val="nil"/>
        <w:between w:val="nil"/>
      </w:pBdr>
      <w:tabs>
        <w:tab w:val="center" w:pos="4153"/>
        <w:tab w:val="right" w:pos="8306"/>
      </w:tabs>
      <w:jc w:val="right"/>
      <w:rPr>
        <w:rFonts w:ascii="Book Antiqua" w:eastAsia="Book Antiqua" w:hAnsi="Book Antiqua" w:cs="Book Antiqua"/>
        <w:color w:val="000000"/>
        <w:sz w:val="16"/>
        <w:szCs w:val="16"/>
      </w:rPr>
    </w:pPr>
    <w:r w:rsidRPr="001F5F66">
      <w:rPr>
        <w:rFonts w:ascii="Book Antiqua" w:eastAsia="Book Antiqua" w:hAnsi="Book Antiqua" w:cs="Book Antiqua"/>
        <w:color w:val="000000"/>
        <w:sz w:val="16"/>
        <w:szCs w:val="16"/>
      </w:rPr>
      <w:tab/>
    </w:r>
  </w:p>
  <w:p w14:paraId="4061ED12" w14:textId="77777777" w:rsidR="00D8173E" w:rsidRDefault="00D8173E">
    <w:pPr>
      <w:pBdr>
        <w:top w:val="nil"/>
        <w:left w:val="nil"/>
        <w:bottom w:val="nil"/>
        <w:right w:val="nil"/>
        <w:between w:val="nil"/>
      </w:pBdr>
      <w:tabs>
        <w:tab w:val="center" w:pos="4153"/>
        <w:tab w:val="right" w:pos="8306"/>
      </w:tabs>
      <w:jc w:val="right"/>
      <w:rPr>
        <w:rFonts w:ascii="Book Antiqua" w:eastAsia="Book Antiqua" w:hAnsi="Book Antiqua" w:cs="Book Antiqua"/>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A33EF" w14:textId="77777777" w:rsidR="00D8173E" w:rsidRDefault="00D8173E">
    <w:pPr>
      <w:pBdr>
        <w:top w:val="nil"/>
        <w:left w:val="nil"/>
        <w:bottom w:val="nil"/>
        <w:right w:val="nil"/>
        <w:between w:val="nil"/>
      </w:pBdr>
      <w:tabs>
        <w:tab w:val="center" w:pos="4153"/>
        <w:tab w:val="right" w:pos="8306"/>
      </w:tabs>
      <w:rPr>
        <w:rFonts w:ascii="Book Antiqua" w:eastAsia="Book Antiqua" w:hAnsi="Book Antiqua" w:cs="Book Antiqua"/>
        <w:color w:val="000000"/>
      </w:rPr>
    </w:pPr>
    <w:r>
      <w:rPr>
        <w:rFonts w:ascii="Book Antiqua" w:eastAsia="Book Antiqua" w:hAnsi="Book Antiqua" w:cs="Book Antiqua"/>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21218"/>
    <w:multiLevelType w:val="hybridMultilevel"/>
    <w:tmpl w:val="D268878A"/>
    <w:lvl w:ilvl="0" w:tplc="4A3E9DA4">
      <w:start w:val="1"/>
      <w:numFmt w:val="decimal"/>
      <w:lvlText w:val="%1."/>
      <w:lvlJc w:val="left"/>
      <w:pPr>
        <w:tabs>
          <w:tab w:val="num" w:pos="567"/>
        </w:tabs>
        <w:ind w:left="567" w:hanging="567"/>
      </w:pPr>
      <w:rPr>
        <w:rFonts w:cs="Line Printer" w:hint="default"/>
        <w:strike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37E348B4"/>
    <w:multiLevelType w:val="multilevel"/>
    <w:tmpl w:val="7EDAD29A"/>
    <w:lvl w:ilvl="0">
      <w:start w:val="1"/>
      <w:numFmt w:val="decimal"/>
      <w:lvlText w:val="%1."/>
      <w:lvlJc w:val="left"/>
      <w:pPr>
        <w:ind w:left="567" w:hanging="567"/>
      </w:pPr>
      <w:rPr>
        <w:rFonts w:ascii="Book Antiqua" w:hAnsi="Book Antiqua" w:hint="default"/>
        <w:sz w:val="24"/>
        <w:szCs w:val="24"/>
      </w:rPr>
    </w:lvl>
    <w:lvl w:ilvl="1">
      <w:start w:val="1"/>
      <w:numFmt w:val="lowerLetter"/>
      <w:lvlText w:val="(%2)"/>
      <w:lvlJc w:val="left"/>
      <w:pPr>
        <w:ind w:left="1134" w:hanging="567"/>
      </w:pPr>
      <w:rPr>
        <w:b w:val="0"/>
        <w:i w:val="0"/>
        <w:sz w:val="24"/>
        <w:szCs w:val="24"/>
      </w:rPr>
    </w:lvl>
    <w:lvl w:ilvl="2">
      <w:start w:val="1"/>
      <w:numFmt w:val="lowerRoman"/>
      <w:lvlText w:val="(%3)"/>
      <w:lvlJc w:val="left"/>
      <w:pPr>
        <w:ind w:left="1701" w:hanging="567"/>
      </w:pPr>
      <w:rPr>
        <w:b w:val="0"/>
        <w:i w:val="0"/>
        <w:sz w:val="24"/>
        <w:szCs w:val="24"/>
      </w:rPr>
    </w:lvl>
    <w:lvl w:ilvl="3">
      <w:start w:val="1"/>
      <w:numFmt w:val="lowerLetter"/>
      <w:lvlText w:val="%1.%2.%3 %4)"/>
      <w:lvlJc w:val="left"/>
      <w:pPr>
        <w:ind w:left="2835" w:hanging="709"/>
      </w:pPr>
      <w:rPr>
        <w:b w:val="0"/>
        <w:i w:val="0"/>
        <w:sz w:val="24"/>
        <w:szCs w:val="24"/>
      </w:rPr>
    </w:lvl>
    <w:lvl w:ilvl="4">
      <w:start w:val="1"/>
      <w:numFmt w:val="lowerLetter"/>
      <w:lvlText w:val="(%5)"/>
      <w:lvlJc w:val="left"/>
      <w:pPr>
        <w:ind w:left="2835" w:hanging="567"/>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8DA4576"/>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5BA0517C"/>
    <w:multiLevelType w:val="multilevel"/>
    <w:tmpl w:val="7352B0FE"/>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4"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DA"/>
    <w:rsid w:val="00004B27"/>
    <w:rsid w:val="000058C7"/>
    <w:rsid w:val="000072FC"/>
    <w:rsid w:val="00047765"/>
    <w:rsid w:val="00051716"/>
    <w:rsid w:val="000562D0"/>
    <w:rsid w:val="00063779"/>
    <w:rsid w:val="000659D0"/>
    <w:rsid w:val="00066CE5"/>
    <w:rsid w:val="000700DA"/>
    <w:rsid w:val="000755DB"/>
    <w:rsid w:val="00082CF2"/>
    <w:rsid w:val="00087081"/>
    <w:rsid w:val="0009661E"/>
    <w:rsid w:val="000A1414"/>
    <w:rsid w:val="000C10C9"/>
    <w:rsid w:val="000D4531"/>
    <w:rsid w:val="000D713B"/>
    <w:rsid w:val="000E01C5"/>
    <w:rsid w:val="000E7A5B"/>
    <w:rsid w:val="000E7DCB"/>
    <w:rsid w:val="000E7F63"/>
    <w:rsid w:val="000F0C76"/>
    <w:rsid w:val="00111FB1"/>
    <w:rsid w:val="00125E9C"/>
    <w:rsid w:val="00151BB3"/>
    <w:rsid w:val="00153492"/>
    <w:rsid w:val="00153806"/>
    <w:rsid w:val="00167332"/>
    <w:rsid w:val="001771A1"/>
    <w:rsid w:val="00180B05"/>
    <w:rsid w:val="00185EA9"/>
    <w:rsid w:val="001A4EF3"/>
    <w:rsid w:val="001C1A6A"/>
    <w:rsid w:val="001D4369"/>
    <w:rsid w:val="001D4CA5"/>
    <w:rsid w:val="001D53AA"/>
    <w:rsid w:val="001F1D91"/>
    <w:rsid w:val="001F31A4"/>
    <w:rsid w:val="001F384F"/>
    <w:rsid w:val="001F4A21"/>
    <w:rsid w:val="001F5C96"/>
    <w:rsid w:val="001F5F66"/>
    <w:rsid w:val="002067CC"/>
    <w:rsid w:val="002127A9"/>
    <w:rsid w:val="002145E8"/>
    <w:rsid w:val="00223EE8"/>
    <w:rsid w:val="002623D4"/>
    <w:rsid w:val="002639DD"/>
    <w:rsid w:val="002655CA"/>
    <w:rsid w:val="00266F4B"/>
    <w:rsid w:val="00282F1F"/>
    <w:rsid w:val="00291E12"/>
    <w:rsid w:val="002922CF"/>
    <w:rsid w:val="0029302A"/>
    <w:rsid w:val="002968A8"/>
    <w:rsid w:val="002A7822"/>
    <w:rsid w:val="002B3C03"/>
    <w:rsid w:val="002E0CF0"/>
    <w:rsid w:val="002E7DC8"/>
    <w:rsid w:val="00306B58"/>
    <w:rsid w:val="0031773E"/>
    <w:rsid w:val="0032220D"/>
    <w:rsid w:val="00327805"/>
    <w:rsid w:val="00327E8A"/>
    <w:rsid w:val="0033262F"/>
    <w:rsid w:val="003344D5"/>
    <w:rsid w:val="00336132"/>
    <w:rsid w:val="003435E7"/>
    <w:rsid w:val="00350C9C"/>
    <w:rsid w:val="00362E24"/>
    <w:rsid w:val="00372219"/>
    <w:rsid w:val="00374F2E"/>
    <w:rsid w:val="0038029A"/>
    <w:rsid w:val="00384A1E"/>
    <w:rsid w:val="00384B7C"/>
    <w:rsid w:val="003944C7"/>
    <w:rsid w:val="00395738"/>
    <w:rsid w:val="003A0182"/>
    <w:rsid w:val="003C6538"/>
    <w:rsid w:val="003D0484"/>
    <w:rsid w:val="003D347F"/>
    <w:rsid w:val="003E2D13"/>
    <w:rsid w:val="003E40B3"/>
    <w:rsid w:val="003E7E57"/>
    <w:rsid w:val="003F01A8"/>
    <w:rsid w:val="00402A8C"/>
    <w:rsid w:val="00410499"/>
    <w:rsid w:val="00412E73"/>
    <w:rsid w:val="00422292"/>
    <w:rsid w:val="00444D9C"/>
    <w:rsid w:val="004463CA"/>
    <w:rsid w:val="00457AF7"/>
    <w:rsid w:val="004636E8"/>
    <w:rsid w:val="004806D7"/>
    <w:rsid w:val="004976BE"/>
    <w:rsid w:val="004A5C7E"/>
    <w:rsid w:val="004B4494"/>
    <w:rsid w:val="004B5059"/>
    <w:rsid w:val="004B671E"/>
    <w:rsid w:val="004B71DD"/>
    <w:rsid w:val="004C0EE5"/>
    <w:rsid w:val="004C2D58"/>
    <w:rsid w:val="004C77DB"/>
    <w:rsid w:val="004D1F44"/>
    <w:rsid w:val="004E0E74"/>
    <w:rsid w:val="004E6D76"/>
    <w:rsid w:val="004F1958"/>
    <w:rsid w:val="004F468C"/>
    <w:rsid w:val="00511ADB"/>
    <w:rsid w:val="005163F1"/>
    <w:rsid w:val="005242B0"/>
    <w:rsid w:val="00531DF9"/>
    <w:rsid w:val="00536FC4"/>
    <w:rsid w:val="00551803"/>
    <w:rsid w:val="00552A2A"/>
    <w:rsid w:val="00557D18"/>
    <w:rsid w:val="00560C00"/>
    <w:rsid w:val="00565706"/>
    <w:rsid w:val="00581C08"/>
    <w:rsid w:val="00582D77"/>
    <w:rsid w:val="00586E7F"/>
    <w:rsid w:val="005907FD"/>
    <w:rsid w:val="00590FED"/>
    <w:rsid w:val="00592375"/>
    <w:rsid w:val="005A084E"/>
    <w:rsid w:val="005A2850"/>
    <w:rsid w:val="005C2B5E"/>
    <w:rsid w:val="005D057C"/>
    <w:rsid w:val="005D409B"/>
    <w:rsid w:val="005D4B6D"/>
    <w:rsid w:val="005E01F3"/>
    <w:rsid w:val="006055DA"/>
    <w:rsid w:val="0062166F"/>
    <w:rsid w:val="00626E29"/>
    <w:rsid w:val="0064122D"/>
    <w:rsid w:val="006514B0"/>
    <w:rsid w:val="0066339D"/>
    <w:rsid w:val="00681409"/>
    <w:rsid w:val="0069174F"/>
    <w:rsid w:val="006A6EB7"/>
    <w:rsid w:val="006B436F"/>
    <w:rsid w:val="006D297F"/>
    <w:rsid w:val="006D2D82"/>
    <w:rsid w:val="006E48ED"/>
    <w:rsid w:val="006E6423"/>
    <w:rsid w:val="006E6963"/>
    <w:rsid w:val="006F52D3"/>
    <w:rsid w:val="00701600"/>
    <w:rsid w:val="00706EF9"/>
    <w:rsid w:val="00750ECD"/>
    <w:rsid w:val="007658E1"/>
    <w:rsid w:val="00771FAA"/>
    <w:rsid w:val="00775186"/>
    <w:rsid w:val="00776308"/>
    <w:rsid w:val="00790769"/>
    <w:rsid w:val="00792A68"/>
    <w:rsid w:val="007938B7"/>
    <w:rsid w:val="007A10AE"/>
    <w:rsid w:val="007A27A1"/>
    <w:rsid w:val="007C7564"/>
    <w:rsid w:val="007E0791"/>
    <w:rsid w:val="007E3A04"/>
    <w:rsid w:val="007F226D"/>
    <w:rsid w:val="007F551F"/>
    <w:rsid w:val="00804684"/>
    <w:rsid w:val="00805DFA"/>
    <w:rsid w:val="00810B14"/>
    <w:rsid w:val="008134F5"/>
    <w:rsid w:val="00817836"/>
    <w:rsid w:val="00824E72"/>
    <w:rsid w:val="008333C3"/>
    <w:rsid w:val="0084671E"/>
    <w:rsid w:val="00857134"/>
    <w:rsid w:val="0085741C"/>
    <w:rsid w:val="00860EA8"/>
    <w:rsid w:val="00866398"/>
    <w:rsid w:val="008717E5"/>
    <w:rsid w:val="008738DD"/>
    <w:rsid w:val="0088342D"/>
    <w:rsid w:val="0088452B"/>
    <w:rsid w:val="008849D1"/>
    <w:rsid w:val="00884ED2"/>
    <w:rsid w:val="00893883"/>
    <w:rsid w:val="008A463F"/>
    <w:rsid w:val="008B1189"/>
    <w:rsid w:val="008B3758"/>
    <w:rsid w:val="008D7A1C"/>
    <w:rsid w:val="008E0652"/>
    <w:rsid w:val="008F0DAA"/>
    <w:rsid w:val="008F59ED"/>
    <w:rsid w:val="008F757A"/>
    <w:rsid w:val="00902C35"/>
    <w:rsid w:val="009267B0"/>
    <w:rsid w:val="00933670"/>
    <w:rsid w:val="00943540"/>
    <w:rsid w:val="00951CE5"/>
    <w:rsid w:val="009550B3"/>
    <w:rsid w:val="00977A79"/>
    <w:rsid w:val="00993704"/>
    <w:rsid w:val="009A027C"/>
    <w:rsid w:val="009A54F3"/>
    <w:rsid w:val="009B05CA"/>
    <w:rsid w:val="009B1526"/>
    <w:rsid w:val="009B5710"/>
    <w:rsid w:val="009C32A5"/>
    <w:rsid w:val="009D2D7D"/>
    <w:rsid w:val="009E146F"/>
    <w:rsid w:val="009F1644"/>
    <w:rsid w:val="009F3853"/>
    <w:rsid w:val="00A04E97"/>
    <w:rsid w:val="00A13403"/>
    <w:rsid w:val="00A155A8"/>
    <w:rsid w:val="00A15BA8"/>
    <w:rsid w:val="00A17525"/>
    <w:rsid w:val="00A23089"/>
    <w:rsid w:val="00A35477"/>
    <w:rsid w:val="00A35D9F"/>
    <w:rsid w:val="00A46F26"/>
    <w:rsid w:val="00A50671"/>
    <w:rsid w:val="00A74559"/>
    <w:rsid w:val="00A8197F"/>
    <w:rsid w:val="00A82238"/>
    <w:rsid w:val="00A97998"/>
    <w:rsid w:val="00AA36DA"/>
    <w:rsid w:val="00AA4852"/>
    <w:rsid w:val="00AB13DF"/>
    <w:rsid w:val="00AB223B"/>
    <w:rsid w:val="00AB288F"/>
    <w:rsid w:val="00AB3C04"/>
    <w:rsid w:val="00AB7834"/>
    <w:rsid w:val="00AB7B2F"/>
    <w:rsid w:val="00AC3686"/>
    <w:rsid w:val="00AD3413"/>
    <w:rsid w:val="00AD6A84"/>
    <w:rsid w:val="00AD7DBE"/>
    <w:rsid w:val="00B0636B"/>
    <w:rsid w:val="00B0711D"/>
    <w:rsid w:val="00B11AAB"/>
    <w:rsid w:val="00B3329E"/>
    <w:rsid w:val="00B35168"/>
    <w:rsid w:val="00B37660"/>
    <w:rsid w:val="00B46E57"/>
    <w:rsid w:val="00B51BB2"/>
    <w:rsid w:val="00B55316"/>
    <w:rsid w:val="00B76860"/>
    <w:rsid w:val="00B830A3"/>
    <w:rsid w:val="00B92731"/>
    <w:rsid w:val="00B943AD"/>
    <w:rsid w:val="00BA6403"/>
    <w:rsid w:val="00BC37B6"/>
    <w:rsid w:val="00BD3098"/>
    <w:rsid w:val="00BF53CE"/>
    <w:rsid w:val="00C23FF5"/>
    <w:rsid w:val="00C33705"/>
    <w:rsid w:val="00C34A8C"/>
    <w:rsid w:val="00C4561E"/>
    <w:rsid w:val="00C74C70"/>
    <w:rsid w:val="00C769AB"/>
    <w:rsid w:val="00C82F70"/>
    <w:rsid w:val="00C860F2"/>
    <w:rsid w:val="00C8719E"/>
    <w:rsid w:val="00C9069E"/>
    <w:rsid w:val="00C958E4"/>
    <w:rsid w:val="00CA21F8"/>
    <w:rsid w:val="00CB6398"/>
    <w:rsid w:val="00CB70EB"/>
    <w:rsid w:val="00CC1904"/>
    <w:rsid w:val="00CC6678"/>
    <w:rsid w:val="00CD19F0"/>
    <w:rsid w:val="00CE334E"/>
    <w:rsid w:val="00CF325B"/>
    <w:rsid w:val="00D022DC"/>
    <w:rsid w:val="00D33879"/>
    <w:rsid w:val="00D37FEB"/>
    <w:rsid w:val="00D50CD0"/>
    <w:rsid w:val="00D629E7"/>
    <w:rsid w:val="00D8173E"/>
    <w:rsid w:val="00D82202"/>
    <w:rsid w:val="00D829A8"/>
    <w:rsid w:val="00D90BB3"/>
    <w:rsid w:val="00D92309"/>
    <w:rsid w:val="00D94252"/>
    <w:rsid w:val="00DA2797"/>
    <w:rsid w:val="00DA3104"/>
    <w:rsid w:val="00DB0ACF"/>
    <w:rsid w:val="00DC3131"/>
    <w:rsid w:val="00DC3414"/>
    <w:rsid w:val="00DC3757"/>
    <w:rsid w:val="00DD5CFC"/>
    <w:rsid w:val="00DE1061"/>
    <w:rsid w:val="00DE363F"/>
    <w:rsid w:val="00DF1BF3"/>
    <w:rsid w:val="00E14557"/>
    <w:rsid w:val="00E15B5D"/>
    <w:rsid w:val="00E20005"/>
    <w:rsid w:val="00E20BA1"/>
    <w:rsid w:val="00E23EE7"/>
    <w:rsid w:val="00E247F9"/>
    <w:rsid w:val="00E2729C"/>
    <w:rsid w:val="00E34425"/>
    <w:rsid w:val="00E35142"/>
    <w:rsid w:val="00E4010E"/>
    <w:rsid w:val="00E419AB"/>
    <w:rsid w:val="00E42A63"/>
    <w:rsid w:val="00E43002"/>
    <w:rsid w:val="00E43B21"/>
    <w:rsid w:val="00E46176"/>
    <w:rsid w:val="00E474DA"/>
    <w:rsid w:val="00E50AC1"/>
    <w:rsid w:val="00E51AF7"/>
    <w:rsid w:val="00E5549B"/>
    <w:rsid w:val="00E561EB"/>
    <w:rsid w:val="00E57E66"/>
    <w:rsid w:val="00E61545"/>
    <w:rsid w:val="00E7033A"/>
    <w:rsid w:val="00E71321"/>
    <w:rsid w:val="00E71C97"/>
    <w:rsid w:val="00E739A4"/>
    <w:rsid w:val="00E76E10"/>
    <w:rsid w:val="00E81CDC"/>
    <w:rsid w:val="00E869B6"/>
    <w:rsid w:val="00EA2D80"/>
    <w:rsid w:val="00EA3183"/>
    <w:rsid w:val="00EA460B"/>
    <w:rsid w:val="00EA6B77"/>
    <w:rsid w:val="00EB2454"/>
    <w:rsid w:val="00EC0533"/>
    <w:rsid w:val="00EC1C11"/>
    <w:rsid w:val="00EC396B"/>
    <w:rsid w:val="00ED7214"/>
    <w:rsid w:val="00EE2D80"/>
    <w:rsid w:val="00EF00EA"/>
    <w:rsid w:val="00F16BED"/>
    <w:rsid w:val="00F41EB7"/>
    <w:rsid w:val="00F4686B"/>
    <w:rsid w:val="00F55F47"/>
    <w:rsid w:val="00F71DB9"/>
    <w:rsid w:val="00F77552"/>
    <w:rsid w:val="00F81886"/>
    <w:rsid w:val="00F833AC"/>
    <w:rsid w:val="00F94C94"/>
    <w:rsid w:val="00F97C79"/>
    <w:rsid w:val="00FA7E1B"/>
    <w:rsid w:val="00FB2014"/>
    <w:rsid w:val="00FB60CE"/>
    <w:rsid w:val="00FB6440"/>
    <w:rsid w:val="00FC1C3A"/>
    <w:rsid w:val="00FE6736"/>
    <w:rsid w:val="00FF5F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7F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Calibri" w:eastAsia="Calibri" w:hAnsi="Calibri" w:cs="Calibri"/>
      <w:b/>
      <w:i/>
      <w:sz w:val="28"/>
      <w:szCs w:val="28"/>
    </w:rPr>
  </w:style>
  <w:style w:type="paragraph" w:styleId="Heading3">
    <w:name w:val="heading 3"/>
    <w:basedOn w:val="Normal"/>
    <w:next w:val="Normal"/>
    <w:pPr>
      <w:spacing w:before="100" w:after="100"/>
      <w:outlineLvl w:val="2"/>
    </w:pPr>
    <w:rPr>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57D18"/>
    <w:pPr>
      <w:ind w:left="720"/>
      <w:contextualSpacing/>
    </w:pPr>
  </w:style>
  <w:style w:type="paragraph" w:styleId="Header">
    <w:name w:val="header"/>
    <w:basedOn w:val="Normal"/>
    <w:link w:val="HeaderChar"/>
    <w:uiPriority w:val="99"/>
    <w:unhideWhenUsed/>
    <w:rsid w:val="00C8719E"/>
    <w:pPr>
      <w:tabs>
        <w:tab w:val="center" w:pos="4513"/>
        <w:tab w:val="right" w:pos="9026"/>
      </w:tabs>
    </w:pPr>
  </w:style>
  <w:style w:type="character" w:customStyle="1" w:styleId="HeaderChar">
    <w:name w:val="Header Char"/>
    <w:basedOn w:val="DefaultParagraphFont"/>
    <w:link w:val="Header"/>
    <w:uiPriority w:val="99"/>
    <w:rsid w:val="00C8719E"/>
  </w:style>
  <w:style w:type="paragraph" w:styleId="Footer">
    <w:name w:val="footer"/>
    <w:basedOn w:val="Normal"/>
    <w:link w:val="FooterChar"/>
    <w:uiPriority w:val="99"/>
    <w:unhideWhenUsed/>
    <w:rsid w:val="00C8719E"/>
    <w:pPr>
      <w:tabs>
        <w:tab w:val="center" w:pos="4513"/>
        <w:tab w:val="right" w:pos="9026"/>
      </w:tabs>
    </w:pPr>
  </w:style>
  <w:style w:type="character" w:customStyle="1" w:styleId="FooterChar">
    <w:name w:val="Footer Char"/>
    <w:basedOn w:val="DefaultParagraphFont"/>
    <w:link w:val="Footer"/>
    <w:uiPriority w:val="99"/>
    <w:rsid w:val="00C8719E"/>
  </w:style>
  <w:style w:type="paragraph" w:styleId="BalloonText">
    <w:name w:val="Balloon Text"/>
    <w:basedOn w:val="Normal"/>
    <w:link w:val="BalloonTextChar"/>
    <w:uiPriority w:val="99"/>
    <w:semiHidden/>
    <w:unhideWhenUsed/>
    <w:rsid w:val="00EC39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96B"/>
    <w:rPr>
      <w:rFonts w:ascii="Segoe UI" w:hAnsi="Segoe UI" w:cs="Segoe UI"/>
      <w:sz w:val="18"/>
      <w:szCs w:val="18"/>
    </w:rPr>
  </w:style>
  <w:style w:type="paragraph" w:styleId="NormalWeb">
    <w:name w:val="Normal (Web)"/>
    <w:basedOn w:val="Normal"/>
    <w:uiPriority w:val="99"/>
    <w:semiHidden/>
    <w:unhideWhenUsed/>
    <w:rsid w:val="004C2D58"/>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2180</Words>
  <Characters>12431</Characters>
  <Application>Microsoft Office Word</Application>
  <DocSecurity>0</DocSecurity>
  <Lines>103</Lines>
  <Paragraphs>29</Paragraphs>
  <ScaleCrop>false</ScaleCrop>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2018-06-20T14:36:00Z</dcterms:created>
  <dcterms:modified xsi:type="dcterms:W3CDTF">2018-06-20T14:36:00Z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