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D5754B" w:rsidP="00C07727">
      <w:pPr>
        <w:jc w:val="center"/>
        <w:rPr>
          <w:rFonts w:ascii="Book Antiqua" w:hAnsi="Book Antiqua" w:cs="Arial"/>
          <w:color w:val="000000"/>
          <w:sz w:val="16"/>
          <w:szCs w:val="16"/>
        </w:rPr>
      </w:pPr>
      <w:r w:rsidRPr="00C07727">
        <w:rPr>
          <w:noProof/>
          <w:sz w:val="16"/>
          <w:szCs w:val="16"/>
        </w:rPr>
        <w:drawing>
          <wp:inline distT="0" distB="0" distL="0" distR="0">
            <wp:extent cx="1456055" cy="11176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6055" cy="1117600"/>
                    </a:xfrm>
                    <a:prstGeom prst="rect">
                      <a:avLst/>
                    </a:prstGeom>
                    <a:noFill/>
                    <a:ln>
                      <a:noFill/>
                    </a:ln>
                  </pic:spPr>
                </pic:pic>
              </a:graphicData>
            </a:graphic>
          </wp:inline>
        </w:drawing>
      </w:r>
    </w:p>
    <w:p w:rsidR="00C07727" w:rsidRPr="00C07727" w:rsidRDefault="00C07727" w:rsidP="00C07727">
      <w:pPr>
        <w:jc w:val="center"/>
        <w:rPr>
          <w:rFonts w:ascii="Book Antiqua" w:hAnsi="Book Antiqua" w:cs="Arial"/>
          <w:color w:val="000000"/>
          <w:sz w:val="16"/>
          <w:szCs w:val="16"/>
        </w:rPr>
      </w:pPr>
    </w:p>
    <w:p w:rsidR="00545B34" w:rsidRPr="00106B9E" w:rsidRDefault="00545B34" w:rsidP="00C07727">
      <w:pPr>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Default="00545B34" w:rsidP="00C07727">
      <w:pPr>
        <w:tabs>
          <w:tab w:val="right" w:pos="9072"/>
        </w:tabs>
        <w:rPr>
          <w:rFonts w:ascii="Book Antiqua" w:hAnsi="Book Antiqua" w:cs="Arial"/>
          <w:b/>
          <w:color w:val="000000"/>
        </w:rPr>
      </w:pPr>
      <w:r w:rsidRPr="00106B9E">
        <w:rPr>
          <w:rFonts w:ascii="Book Antiqua" w:hAnsi="Book Antiqua" w:cs="Arial"/>
          <w:b/>
          <w:color w:val="000000"/>
        </w:rPr>
        <w:t>(Immigration and Asylum Chamber)</w:t>
      </w:r>
      <w:r w:rsidR="00C07727">
        <w:rPr>
          <w:rFonts w:ascii="Book Antiqua" w:hAnsi="Book Antiqua" w:cs="Arial"/>
          <w:b/>
          <w:color w:val="000000"/>
        </w:rPr>
        <w:tab/>
      </w:r>
      <w:r w:rsidRPr="00106B9E">
        <w:rPr>
          <w:rFonts w:ascii="Book Antiqua" w:hAnsi="Book Antiqua" w:cs="Arial"/>
          <w:b/>
          <w:color w:val="000000"/>
        </w:rPr>
        <w:t xml:space="preserve">Appeal Number: </w:t>
      </w:r>
      <w:bookmarkStart w:id="0" w:name="_GoBack"/>
      <w:r w:rsidR="00FF4EB0">
        <w:rPr>
          <w:rFonts w:ascii="Book Antiqua" w:hAnsi="Book Antiqua" w:cs="Arial"/>
          <w:b/>
          <w:color w:val="000000"/>
        </w:rPr>
        <w:t>HU/1</w:t>
      </w:r>
      <w:r w:rsidR="00D56729">
        <w:rPr>
          <w:rFonts w:ascii="Book Antiqua" w:hAnsi="Book Antiqua" w:cs="Arial"/>
          <w:b/>
          <w:color w:val="000000"/>
        </w:rPr>
        <w:t>4701</w:t>
      </w:r>
      <w:r w:rsidR="00FF4EB0">
        <w:rPr>
          <w:rFonts w:ascii="Book Antiqua" w:hAnsi="Book Antiqua" w:cs="Arial"/>
          <w:b/>
          <w:color w:val="000000"/>
        </w:rPr>
        <w:t>/201</w:t>
      </w:r>
      <w:r w:rsidR="00D56729">
        <w:rPr>
          <w:rFonts w:ascii="Book Antiqua" w:hAnsi="Book Antiqua" w:cs="Arial"/>
          <w:b/>
          <w:color w:val="000000"/>
        </w:rPr>
        <w:t>7</w:t>
      </w:r>
      <w:bookmarkEnd w:id="0"/>
    </w:p>
    <w:p w:rsidR="00545B34" w:rsidRDefault="00545B34" w:rsidP="00C07727">
      <w:pPr>
        <w:jc w:val="center"/>
        <w:rPr>
          <w:rFonts w:ascii="Book Antiqua" w:hAnsi="Book Antiqua" w:cs="Arial"/>
          <w:color w:val="000000"/>
        </w:rPr>
      </w:pPr>
    </w:p>
    <w:p w:rsidR="00C07727" w:rsidRPr="00106B9E" w:rsidRDefault="00C07727" w:rsidP="00C07727">
      <w:pPr>
        <w:jc w:val="center"/>
        <w:rPr>
          <w:rFonts w:ascii="Book Antiqua" w:hAnsi="Book Antiqua" w:cs="Arial"/>
          <w:color w:val="000000"/>
        </w:rPr>
      </w:pPr>
    </w:p>
    <w:p w:rsidR="00545B34" w:rsidRPr="00106B9E" w:rsidRDefault="00545B34" w:rsidP="00C07727">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C07727">
      <w:pPr>
        <w:jc w:val="center"/>
        <w:rPr>
          <w:rFonts w:ascii="Book Antiqua" w:hAnsi="Book Antiqua" w:cs="Arial"/>
          <w:b/>
          <w:u w:val="single"/>
        </w:rPr>
      </w:pPr>
    </w:p>
    <w:p w:rsidR="00545B34" w:rsidRPr="00106B9E" w:rsidRDefault="00545B34" w:rsidP="00C07727">
      <w:pPr>
        <w:jc w:val="center"/>
        <w:rPr>
          <w:rFonts w:ascii="Book Antiqua" w:hAnsi="Book Antiqua" w:cs="Arial"/>
          <w:b/>
          <w:u w:val="single"/>
        </w:rPr>
      </w:pPr>
    </w:p>
    <w:tbl>
      <w:tblPr>
        <w:tblW w:w="5000" w:type="pct"/>
        <w:tblLook w:val="01E0" w:firstRow="1" w:lastRow="1" w:firstColumn="1" w:lastColumn="1" w:noHBand="0" w:noVBand="0"/>
      </w:tblPr>
      <w:tblGrid>
        <w:gridCol w:w="4513"/>
        <w:gridCol w:w="4513"/>
      </w:tblGrid>
      <w:tr w:rsidR="00545B34" w:rsidRPr="00106B9E" w:rsidTr="00C07727">
        <w:tc>
          <w:tcPr>
            <w:tcW w:w="2500" w:type="pct"/>
          </w:tcPr>
          <w:p w:rsidR="00545B34" w:rsidRPr="00D226C2" w:rsidRDefault="00545B34" w:rsidP="00C07727">
            <w:pPr>
              <w:jc w:val="both"/>
              <w:rPr>
                <w:rFonts w:ascii="Book Antiqua" w:hAnsi="Book Antiqua" w:cs="Arial"/>
                <w:b/>
              </w:rPr>
            </w:pPr>
            <w:r w:rsidRPr="00D226C2">
              <w:rPr>
                <w:rFonts w:ascii="Book Antiqua" w:hAnsi="Book Antiqua" w:cs="Arial"/>
                <w:b/>
              </w:rPr>
              <w:t xml:space="preserve">Heard at </w:t>
            </w:r>
            <w:r w:rsidR="00E35126" w:rsidRPr="00D226C2">
              <w:rPr>
                <w:rFonts w:ascii="Book Antiqua" w:hAnsi="Book Antiqua" w:cs="Arial"/>
                <w:b/>
              </w:rPr>
              <w:t>North S</w:t>
            </w:r>
            <w:r w:rsidR="00BF6C5B" w:rsidRPr="00D226C2">
              <w:rPr>
                <w:rFonts w:ascii="Book Antiqua" w:hAnsi="Book Antiqua" w:cs="Arial"/>
                <w:b/>
              </w:rPr>
              <w:t>h</w:t>
            </w:r>
            <w:r w:rsidR="00E35126" w:rsidRPr="00D226C2">
              <w:rPr>
                <w:rFonts w:ascii="Book Antiqua" w:hAnsi="Book Antiqua" w:cs="Arial"/>
                <w:b/>
              </w:rPr>
              <w:t>ields</w:t>
            </w:r>
            <w:r w:rsidRPr="00D226C2">
              <w:rPr>
                <w:rFonts w:ascii="Book Antiqua" w:hAnsi="Book Antiqua" w:cs="Arial"/>
                <w:b/>
              </w:rPr>
              <w:t xml:space="preserve">  </w:t>
            </w:r>
          </w:p>
        </w:tc>
        <w:tc>
          <w:tcPr>
            <w:tcW w:w="2500" w:type="pct"/>
          </w:tcPr>
          <w:p w:rsidR="00545B34" w:rsidRPr="00106B9E" w:rsidRDefault="00AD1956" w:rsidP="00C07727">
            <w:pPr>
              <w:jc w:val="right"/>
              <w:rPr>
                <w:rFonts w:ascii="Book Antiqua" w:hAnsi="Book Antiqua" w:cs="Arial"/>
                <w:b/>
                <w:color w:val="000000"/>
              </w:rPr>
            </w:pPr>
            <w:r w:rsidRPr="00106B9E">
              <w:rPr>
                <w:rFonts w:ascii="Book Antiqua" w:hAnsi="Book Antiqua" w:cs="Arial"/>
                <w:b/>
                <w:color w:val="000000"/>
              </w:rPr>
              <w:t>Decision</w:t>
            </w:r>
            <w:r w:rsidR="00D5754B">
              <w:rPr>
                <w:rFonts w:ascii="Book Antiqua" w:hAnsi="Book Antiqua" w:cs="Arial"/>
                <w:b/>
                <w:color w:val="000000"/>
              </w:rPr>
              <w:t xml:space="preserve"> &amp; Reasons</w:t>
            </w:r>
            <w:r w:rsidR="00545B34" w:rsidRPr="00106B9E">
              <w:rPr>
                <w:rFonts w:ascii="Book Antiqua" w:hAnsi="Book Antiqua" w:cs="Arial"/>
                <w:b/>
                <w:color w:val="000000"/>
              </w:rPr>
              <w:t xml:space="preserve"> Promulgated</w:t>
            </w:r>
          </w:p>
        </w:tc>
      </w:tr>
      <w:tr w:rsidR="00545B34" w:rsidRPr="00106B9E" w:rsidTr="00C07727">
        <w:tc>
          <w:tcPr>
            <w:tcW w:w="2500" w:type="pct"/>
          </w:tcPr>
          <w:p w:rsidR="00545B34" w:rsidRPr="00D226C2" w:rsidRDefault="00545B34" w:rsidP="00C07727">
            <w:pPr>
              <w:jc w:val="both"/>
              <w:rPr>
                <w:rFonts w:ascii="Book Antiqua" w:hAnsi="Book Antiqua" w:cs="Arial"/>
                <w:b/>
              </w:rPr>
            </w:pPr>
            <w:r w:rsidRPr="00D226C2">
              <w:rPr>
                <w:rFonts w:ascii="Book Antiqua" w:hAnsi="Book Antiqua" w:cs="Arial"/>
                <w:b/>
              </w:rPr>
              <w:t xml:space="preserve">On </w:t>
            </w:r>
            <w:r w:rsidR="00E35126" w:rsidRPr="00D226C2">
              <w:rPr>
                <w:rFonts w:ascii="Book Antiqua" w:hAnsi="Book Antiqua" w:cs="Arial"/>
                <w:b/>
              </w:rPr>
              <w:t>10 August 2018</w:t>
            </w:r>
          </w:p>
        </w:tc>
        <w:tc>
          <w:tcPr>
            <w:tcW w:w="2500" w:type="pct"/>
          </w:tcPr>
          <w:p w:rsidR="00545B34" w:rsidRPr="00106B9E" w:rsidRDefault="00D5754B" w:rsidP="00C07727">
            <w:pPr>
              <w:jc w:val="right"/>
              <w:rPr>
                <w:rFonts w:ascii="Book Antiqua" w:hAnsi="Book Antiqua" w:cs="Arial"/>
                <w:b/>
              </w:rPr>
            </w:pPr>
            <w:r>
              <w:rPr>
                <w:rFonts w:ascii="Book Antiqua" w:hAnsi="Book Antiqua" w:cs="Arial"/>
                <w:b/>
              </w:rPr>
              <w:t>On 23 August 2018</w:t>
            </w:r>
          </w:p>
        </w:tc>
      </w:tr>
      <w:tr w:rsidR="00545B34" w:rsidRPr="00106B9E" w:rsidTr="00C07727">
        <w:tc>
          <w:tcPr>
            <w:tcW w:w="2500" w:type="pct"/>
          </w:tcPr>
          <w:p w:rsidR="00545B34" w:rsidRPr="00106B9E" w:rsidRDefault="00545B34" w:rsidP="00C07727">
            <w:pPr>
              <w:jc w:val="both"/>
              <w:rPr>
                <w:rFonts w:ascii="Book Antiqua" w:hAnsi="Book Antiqua" w:cs="Arial"/>
                <w:b/>
              </w:rPr>
            </w:pPr>
          </w:p>
        </w:tc>
        <w:tc>
          <w:tcPr>
            <w:tcW w:w="2500" w:type="pct"/>
          </w:tcPr>
          <w:p w:rsidR="00545B34" w:rsidRPr="00106B9E" w:rsidRDefault="00545B34" w:rsidP="00C07727">
            <w:pPr>
              <w:jc w:val="right"/>
              <w:rPr>
                <w:rFonts w:ascii="Book Antiqua" w:hAnsi="Book Antiqua" w:cs="Arial"/>
                <w:b/>
              </w:rPr>
            </w:pPr>
          </w:p>
        </w:tc>
      </w:tr>
    </w:tbl>
    <w:p w:rsidR="00545B34" w:rsidRPr="00CB1B50" w:rsidRDefault="00545B34" w:rsidP="00C07727">
      <w:pPr>
        <w:jc w:val="center"/>
        <w:rPr>
          <w:rFonts w:ascii="Book Antiqua" w:hAnsi="Book Antiqua" w:cs="Arial"/>
        </w:rPr>
      </w:pPr>
    </w:p>
    <w:p w:rsidR="00545B34" w:rsidRPr="00CB1B50" w:rsidRDefault="00545B34" w:rsidP="00C07727">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C07727">
      <w:pPr>
        <w:jc w:val="center"/>
        <w:outlineLvl w:val="0"/>
        <w:rPr>
          <w:rFonts w:ascii="Book Antiqua" w:hAnsi="Book Antiqua" w:cs="Arial"/>
          <w:b/>
          <w:color w:val="000000"/>
        </w:rPr>
      </w:pPr>
    </w:p>
    <w:p w:rsidR="00545B34" w:rsidRPr="00CB1B50" w:rsidRDefault="00545B34" w:rsidP="00C07727">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Default="00545B34" w:rsidP="00C07727">
      <w:pPr>
        <w:jc w:val="center"/>
        <w:rPr>
          <w:rFonts w:ascii="Book Antiqua" w:hAnsi="Book Antiqua" w:cs="Arial"/>
          <w:b/>
          <w:color w:val="000000"/>
        </w:rPr>
      </w:pPr>
    </w:p>
    <w:p w:rsidR="00C07727" w:rsidRPr="00CB1B50" w:rsidRDefault="00C07727" w:rsidP="00C07727">
      <w:pPr>
        <w:jc w:val="center"/>
        <w:rPr>
          <w:rFonts w:ascii="Book Antiqua" w:hAnsi="Book Antiqua" w:cs="Arial"/>
          <w:b/>
          <w:color w:val="000000"/>
        </w:rPr>
      </w:pPr>
    </w:p>
    <w:p w:rsidR="00545B34" w:rsidRPr="00CB1B50" w:rsidRDefault="00545B34" w:rsidP="00C07727">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C07727">
      <w:pPr>
        <w:jc w:val="center"/>
        <w:rPr>
          <w:rFonts w:ascii="Book Antiqua" w:hAnsi="Book Antiqua" w:cs="Arial"/>
          <w:b/>
        </w:rPr>
      </w:pPr>
    </w:p>
    <w:p w:rsidR="00545B34" w:rsidRPr="00D226C2" w:rsidRDefault="00D56729" w:rsidP="00C07727">
      <w:pPr>
        <w:jc w:val="center"/>
        <w:rPr>
          <w:rFonts w:ascii="Book Antiqua" w:hAnsi="Book Antiqua" w:cs="Arial"/>
          <w:b/>
          <w:color w:val="000000"/>
        </w:rPr>
      </w:pPr>
      <w:r w:rsidRPr="00D226C2">
        <w:rPr>
          <w:rFonts w:ascii="Book Antiqua" w:hAnsi="Book Antiqua" w:cs="Arial"/>
          <w:b/>
        </w:rPr>
        <w:t>MAM JARJU BRUNTON</w:t>
      </w:r>
    </w:p>
    <w:p w:rsidR="00545B34" w:rsidRPr="00C07727" w:rsidRDefault="00545B34" w:rsidP="00C07727">
      <w:pPr>
        <w:jc w:val="center"/>
        <w:rPr>
          <w:rFonts w:ascii="Book Antiqua" w:hAnsi="Book Antiqua" w:cs="Arial"/>
          <w:b/>
          <w:color w:val="000000"/>
          <w:sz w:val="22"/>
        </w:rPr>
      </w:pPr>
      <w:r w:rsidRPr="00C07727">
        <w:rPr>
          <w:rFonts w:ascii="Book Antiqua" w:hAnsi="Book Antiqua" w:cs="Arial"/>
          <w:b/>
          <w:color w:val="000000"/>
          <w:sz w:val="22"/>
        </w:rPr>
        <w:t>(ANONYMITY</w:t>
      </w:r>
      <w:r w:rsidR="00D226C2" w:rsidRPr="00C07727">
        <w:rPr>
          <w:rFonts w:ascii="Book Antiqua" w:hAnsi="Book Antiqua" w:cs="Arial"/>
          <w:b/>
          <w:color w:val="000000"/>
          <w:sz w:val="22"/>
        </w:rPr>
        <w:t xml:space="preserve"> DIRECTION NOT MADE</w:t>
      </w:r>
      <w:r w:rsidRPr="00C07727">
        <w:rPr>
          <w:rFonts w:ascii="Book Antiqua" w:hAnsi="Book Antiqua" w:cs="Arial"/>
          <w:b/>
          <w:color w:val="000000"/>
          <w:sz w:val="22"/>
        </w:rPr>
        <w:t>)</w:t>
      </w:r>
    </w:p>
    <w:p w:rsidR="00545B34" w:rsidRDefault="00545B34" w:rsidP="00C07727">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C07727">
      <w:pPr>
        <w:jc w:val="center"/>
        <w:rPr>
          <w:rFonts w:ascii="Book Antiqua" w:hAnsi="Book Antiqua" w:cs="Arial"/>
          <w:b/>
        </w:rPr>
      </w:pPr>
      <w:r w:rsidRPr="00CB1B50">
        <w:rPr>
          <w:rFonts w:ascii="Book Antiqua" w:hAnsi="Book Antiqua" w:cs="Arial"/>
          <w:b/>
        </w:rPr>
        <w:t>and</w:t>
      </w:r>
    </w:p>
    <w:p w:rsidR="00545B34" w:rsidRPr="00CB1B50" w:rsidRDefault="00545B34" w:rsidP="00C07727">
      <w:pPr>
        <w:jc w:val="center"/>
        <w:rPr>
          <w:rFonts w:ascii="Book Antiqua" w:hAnsi="Book Antiqua" w:cs="Arial"/>
          <w:b/>
        </w:rPr>
      </w:pPr>
    </w:p>
    <w:p w:rsidR="00545B34" w:rsidRPr="00CB1B50" w:rsidRDefault="00545B34" w:rsidP="00C07727">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C07727">
      <w:pPr>
        <w:jc w:val="right"/>
        <w:outlineLvl w:val="0"/>
        <w:rPr>
          <w:rFonts w:ascii="Book Antiqua" w:hAnsi="Book Antiqua" w:cs="Arial"/>
          <w:u w:val="single"/>
        </w:rPr>
      </w:pPr>
      <w:r w:rsidRPr="00CB1B50">
        <w:rPr>
          <w:rFonts w:ascii="Book Antiqua" w:hAnsi="Book Antiqua" w:cs="Arial"/>
          <w:u w:val="single"/>
        </w:rPr>
        <w:t>Respondent</w:t>
      </w:r>
    </w:p>
    <w:p w:rsidR="00C07727" w:rsidRDefault="00C07727" w:rsidP="00C07727">
      <w:pPr>
        <w:outlineLvl w:val="0"/>
        <w:rPr>
          <w:rFonts w:ascii="Book Antiqua" w:hAnsi="Book Antiqua" w:cs="Arial"/>
          <w:b/>
          <w:u w:val="single"/>
        </w:rPr>
      </w:pPr>
    </w:p>
    <w:p w:rsidR="00C07727" w:rsidRDefault="00C07727" w:rsidP="00C07727">
      <w:pPr>
        <w:outlineLvl w:val="0"/>
        <w:rPr>
          <w:rFonts w:ascii="Book Antiqua" w:hAnsi="Book Antiqua" w:cs="Arial"/>
          <w:b/>
          <w:u w:val="single"/>
        </w:rPr>
      </w:pPr>
    </w:p>
    <w:p w:rsidR="00545B34" w:rsidRPr="00CB1B50" w:rsidRDefault="00545B34" w:rsidP="00C07727">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4C6CD0" w:rsidRDefault="00545B34" w:rsidP="00C07727">
      <w:pPr>
        <w:tabs>
          <w:tab w:val="left" w:pos="2552"/>
        </w:tabs>
        <w:outlineLvl w:val="0"/>
        <w:rPr>
          <w:rFonts w:ascii="Book Antiqua" w:hAnsi="Book Antiqua" w:cs="Arial"/>
        </w:rPr>
      </w:pPr>
      <w:r w:rsidRPr="004C6CD0">
        <w:rPr>
          <w:rFonts w:ascii="Book Antiqua" w:hAnsi="Book Antiqua" w:cs="Arial"/>
        </w:rPr>
        <w:t xml:space="preserve">For the Appellant: </w:t>
      </w:r>
      <w:r w:rsidR="00C07727">
        <w:rPr>
          <w:rFonts w:ascii="Book Antiqua" w:hAnsi="Book Antiqua" w:cs="Arial"/>
        </w:rPr>
        <w:tab/>
      </w:r>
      <w:r w:rsidR="00B40346" w:rsidRPr="004C6CD0">
        <w:rPr>
          <w:rFonts w:ascii="Book Antiqua" w:hAnsi="Book Antiqua" w:cs="Arial"/>
        </w:rPr>
        <w:t>Ms S Lie</w:t>
      </w:r>
      <w:r w:rsidR="00D226C2" w:rsidRPr="004C6CD0">
        <w:rPr>
          <w:rFonts w:ascii="Book Antiqua" w:hAnsi="Book Antiqua" w:cs="Arial"/>
        </w:rPr>
        <w:t>w</w:t>
      </w:r>
      <w:r w:rsidR="00B40346" w:rsidRPr="004C6CD0">
        <w:rPr>
          <w:rFonts w:ascii="Book Antiqua" w:hAnsi="Book Antiqua" w:cs="Arial"/>
        </w:rPr>
        <w:t xml:space="preserve"> of Immigration Advice Centre Ltd</w:t>
      </w:r>
    </w:p>
    <w:p w:rsidR="00545B34" w:rsidRPr="004C6CD0" w:rsidRDefault="00545B34" w:rsidP="00C07727">
      <w:pPr>
        <w:tabs>
          <w:tab w:val="left" w:pos="2552"/>
        </w:tabs>
        <w:rPr>
          <w:rFonts w:ascii="Book Antiqua" w:hAnsi="Book Antiqua" w:cs="Arial"/>
        </w:rPr>
      </w:pPr>
      <w:r w:rsidRPr="004C6CD0">
        <w:rPr>
          <w:rFonts w:ascii="Book Antiqua" w:hAnsi="Book Antiqua" w:cs="Arial"/>
        </w:rPr>
        <w:t xml:space="preserve">For the Respondent: </w:t>
      </w:r>
      <w:r w:rsidR="00C07727">
        <w:rPr>
          <w:rFonts w:ascii="Book Antiqua" w:hAnsi="Book Antiqua" w:cs="Arial"/>
        </w:rPr>
        <w:tab/>
      </w:r>
      <w:r w:rsidR="00B40346" w:rsidRPr="004C6CD0">
        <w:rPr>
          <w:rFonts w:ascii="Book Antiqua" w:hAnsi="Book Antiqua" w:cs="Arial"/>
        </w:rPr>
        <w:t xml:space="preserve">Mr M </w:t>
      </w:r>
      <w:proofErr w:type="spellStart"/>
      <w:r w:rsidR="00B40346" w:rsidRPr="004C6CD0">
        <w:rPr>
          <w:rFonts w:ascii="Book Antiqua" w:hAnsi="Book Antiqua" w:cs="Arial"/>
        </w:rPr>
        <w:t>Diwnycz</w:t>
      </w:r>
      <w:proofErr w:type="spellEnd"/>
      <w:r w:rsidR="00B40346" w:rsidRPr="004C6CD0">
        <w:rPr>
          <w:rFonts w:ascii="Book Antiqua" w:hAnsi="Book Antiqua" w:cs="Arial"/>
        </w:rPr>
        <w:t xml:space="preserve">, </w:t>
      </w:r>
      <w:r w:rsidR="00E35126" w:rsidRPr="004C6CD0">
        <w:rPr>
          <w:rFonts w:ascii="Book Antiqua" w:hAnsi="Book Antiqua" w:cs="Arial"/>
        </w:rPr>
        <w:t>Senior Home Office Presenting Officer</w:t>
      </w:r>
    </w:p>
    <w:p w:rsidR="00C07727" w:rsidRDefault="00C07727" w:rsidP="00C07727">
      <w:pPr>
        <w:jc w:val="both"/>
        <w:rPr>
          <w:rFonts w:ascii="Book Antiqua" w:hAnsi="Book Antiqua" w:cs="Arial"/>
          <w:b/>
          <w:u w:val="single"/>
        </w:rPr>
      </w:pPr>
    </w:p>
    <w:p w:rsidR="00C07727" w:rsidRDefault="00C07727" w:rsidP="00C07727">
      <w:pPr>
        <w:jc w:val="both"/>
        <w:rPr>
          <w:rFonts w:ascii="Book Antiqua" w:hAnsi="Book Antiqua" w:cs="Arial"/>
          <w:b/>
          <w:u w:val="single"/>
        </w:rPr>
      </w:pPr>
    </w:p>
    <w:p w:rsidR="00545B34" w:rsidRPr="004C6CD0" w:rsidRDefault="00545B34" w:rsidP="00C07727">
      <w:pPr>
        <w:jc w:val="center"/>
        <w:rPr>
          <w:rFonts w:ascii="Book Antiqua" w:hAnsi="Book Antiqua" w:cs="Arial"/>
          <w:b/>
          <w:u w:val="single"/>
        </w:rPr>
      </w:pPr>
      <w:r w:rsidRPr="004C6CD0">
        <w:rPr>
          <w:rFonts w:ascii="Book Antiqua" w:hAnsi="Book Antiqua" w:cs="Arial"/>
          <w:b/>
          <w:u w:val="single"/>
        </w:rPr>
        <w:t>DE</w:t>
      </w:r>
      <w:r w:rsidR="00755830" w:rsidRPr="004C6CD0">
        <w:rPr>
          <w:rFonts w:ascii="Book Antiqua" w:hAnsi="Book Antiqua" w:cs="Arial"/>
          <w:b/>
          <w:u w:val="single"/>
        </w:rPr>
        <w:t>CISION</w:t>
      </w:r>
      <w:r w:rsidRPr="004C6CD0">
        <w:rPr>
          <w:rFonts w:ascii="Book Antiqua" w:hAnsi="Book Antiqua" w:cs="Arial"/>
          <w:b/>
          <w:u w:val="single"/>
        </w:rPr>
        <w:t xml:space="preserve"> AND REASONS</w:t>
      </w:r>
    </w:p>
    <w:p w:rsidR="00545B34" w:rsidRPr="004C6CD0" w:rsidRDefault="00FF4EB0" w:rsidP="00C07727">
      <w:pPr>
        <w:tabs>
          <w:tab w:val="left" w:pos="567"/>
        </w:tabs>
        <w:spacing w:before="240"/>
        <w:jc w:val="both"/>
        <w:rPr>
          <w:rFonts w:ascii="Book Antiqua" w:hAnsi="Book Antiqua" w:cs="Arial"/>
        </w:rPr>
      </w:pPr>
      <w:r w:rsidRPr="004C6CD0">
        <w:rPr>
          <w:rFonts w:ascii="Book Antiqua" w:hAnsi="Book Antiqua" w:cs="Arial"/>
        </w:rPr>
        <w:t>1.</w:t>
      </w:r>
      <w:r w:rsidR="00C07727">
        <w:rPr>
          <w:rFonts w:ascii="Book Antiqua" w:hAnsi="Book Antiqua" w:cs="Arial"/>
        </w:rPr>
        <w:tab/>
      </w:r>
      <w:r w:rsidR="00545B34" w:rsidRPr="004C6CD0">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4C6CD0">
        <w:rPr>
          <w:rFonts w:ascii="Book Antiqua" w:hAnsi="Book Antiqua" w:cs="Arial"/>
        </w:rPr>
        <w:t xml:space="preserve">consider </w:t>
      </w:r>
      <w:r w:rsidR="00D16669" w:rsidRPr="004C6CD0">
        <w:rPr>
          <w:rFonts w:ascii="Book Antiqua" w:hAnsi="Book Antiqua" w:cs="Arial"/>
        </w:rPr>
        <w:t>it</w:t>
      </w:r>
      <w:r w:rsidR="00545B34" w:rsidRPr="004C6CD0">
        <w:rPr>
          <w:rFonts w:ascii="Book Antiqua" w:hAnsi="Book Antiqua" w:cs="Arial"/>
        </w:rPr>
        <w:t xml:space="preserve"> necessary to make an anonymity direction.</w:t>
      </w:r>
    </w:p>
    <w:p w:rsidR="00545B34" w:rsidRPr="004C6CD0" w:rsidRDefault="00FF4EB0" w:rsidP="00C07727">
      <w:pPr>
        <w:tabs>
          <w:tab w:val="left" w:pos="567"/>
        </w:tabs>
        <w:spacing w:before="240"/>
        <w:jc w:val="both"/>
        <w:rPr>
          <w:rFonts w:ascii="Book Antiqua" w:hAnsi="Book Antiqua" w:cs="Arial"/>
        </w:rPr>
      </w:pPr>
      <w:r w:rsidRPr="004C6CD0">
        <w:rPr>
          <w:rFonts w:ascii="Book Antiqua" w:hAnsi="Book Antiqua" w:cs="Arial"/>
        </w:rPr>
        <w:lastRenderedPageBreak/>
        <w:t>2.</w:t>
      </w:r>
      <w:r w:rsidR="00C07727">
        <w:rPr>
          <w:rFonts w:ascii="Book Antiqua" w:hAnsi="Book Antiqua" w:cs="Arial"/>
        </w:rPr>
        <w:tab/>
      </w:r>
      <w:r w:rsidR="00545B34" w:rsidRPr="004C6CD0">
        <w:rPr>
          <w:rFonts w:ascii="Book Antiqua" w:hAnsi="Book Antiqua" w:cs="Arial"/>
        </w:rPr>
        <w:t>This is an appeal by the Appellant against the decision of First-tier Tribunal Judge</w:t>
      </w:r>
      <w:r w:rsidR="00207C3C" w:rsidRPr="004C6CD0">
        <w:rPr>
          <w:rFonts w:ascii="Book Antiqua" w:hAnsi="Book Antiqua" w:cs="Arial"/>
        </w:rPr>
        <w:t xml:space="preserve"> </w:t>
      </w:r>
      <w:r w:rsidR="00D56729" w:rsidRPr="004C6CD0">
        <w:rPr>
          <w:rFonts w:ascii="Book Antiqua" w:hAnsi="Book Antiqua" w:cs="Arial"/>
        </w:rPr>
        <w:t>Hands</w:t>
      </w:r>
      <w:r w:rsidR="00545B34" w:rsidRPr="004C6CD0">
        <w:rPr>
          <w:rFonts w:ascii="Book Antiqua" w:hAnsi="Book Antiqua" w:cs="Arial"/>
        </w:rPr>
        <w:t xml:space="preserve"> promulgated on</w:t>
      </w:r>
      <w:r w:rsidRPr="004C6CD0">
        <w:rPr>
          <w:rFonts w:ascii="Book Antiqua" w:hAnsi="Book Antiqua" w:cs="Arial"/>
        </w:rPr>
        <w:t xml:space="preserve"> </w:t>
      </w:r>
      <w:r w:rsidR="00D56729" w:rsidRPr="004C6CD0">
        <w:rPr>
          <w:rFonts w:ascii="Book Antiqua" w:hAnsi="Book Antiqua" w:cs="Arial"/>
        </w:rPr>
        <w:t>6 March</w:t>
      </w:r>
      <w:r w:rsidRPr="004C6CD0">
        <w:rPr>
          <w:rFonts w:ascii="Book Antiqua" w:hAnsi="Book Antiqua" w:cs="Arial"/>
        </w:rPr>
        <w:t xml:space="preserve"> 2018</w:t>
      </w:r>
      <w:r w:rsidR="00545B34" w:rsidRPr="004C6CD0">
        <w:rPr>
          <w:rFonts w:ascii="Book Antiqua" w:hAnsi="Book Antiqua" w:cs="Arial"/>
        </w:rPr>
        <w:t>, which dismissed the Appellant</w:t>
      </w:r>
      <w:r w:rsidR="00D56729" w:rsidRPr="004C6CD0">
        <w:rPr>
          <w:rFonts w:ascii="Book Antiqua" w:hAnsi="Book Antiqua" w:cs="Arial"/>
        </w:rPr>
        <w:t>’</w:t>
      </w:r>
      <w:r w:rsidR="00545B34" w:rsidRPr="004C6CD0">
        <w:rPr>
          <w:rFonts w:ascii="Book Antiqua" w:hAnsi="Book Antiqua" w:cs="Arial"/>
        </w:rPr>
        <w:t>s appeal</w:t>
      </w:r>
      <w:r w:rsidRPr="004C6CD0">
        <w:rPr>
          <w:rFonts w:ascii="Book Antiqua" w:hAnsi="Book Antiqua" w:cs="Arial"/>
        </w:rPr>
        <w:t xml:space="preserve"> against the respondent’s decision to refuse to grant leave to remain</w:t>
      </w:r>
      <w:r w:rsidR="00545B34" w:rsidRPr="004C6CD0">
        <w:rPr>
          <w:rFonts w:ascii="Book Antiqua" w:hAnsi="Book Antiqua" w:cs="Arial"/>
        </w:rPr>
        <w:t>.</w:t>
      </w:r>
    </w:p>
    <w:p w:rsidR="00545B34" w:rsidRPr="004C6CD0" w:rsidRDefault="00545B34" w:rsidP="00C07727">
      <w:pPr>
        <w:spacing w:before="240"/>
        <w:jc w:val="both"/>
        <w:rPr>
          <w:rFonts w:ascii="Book Antiqua" w:hAnsi="Book Antiqua" w:cs="Arial"/>
          <w:u w:val="single"/>
        </w:rPr>
      </w:pPr>
      <w:r w:rsidRPr="004C6CD0">
        <w:rPr>
          <w:rFonts w:ascii="Book Antiqua" w:hAnsi="Book Antiqua" w:cs="Arial"/>
          <w:u w:val="single"/>
        </w:rPr>
        <w:t>Background</w:t>
      </w:r>
    </w:p>
    <w:p w:rsidR="00545B34" w:rsidRPr="004C6CD0" w:rsidRDefault="00FF4EB0" w:rsidP="00C07727">
      <w:pPr>
        <w:tabs>
          <w:tab w:val="left" w:pos="567"/>
        </w:tabs>
        <w:spacing w:before="240"/>
        <w:jc w:val="both"/>
        <w:rPr>
          <w:rFonts w:ascii="Book Antiqua" w:hAnsi="Book Antiqua" w:cs="Arial"/>
        </w:rPr>
      </w:pPr>
      <w:r w:rsidRPr="004C6CD0">
        <w:rPr>
          <w:rFonts w:ascii="Book Antiqua" w:hAnsi="Book Antiqua" w:cs="Arial"/>
        </w:rPr>
        <w:t>3.</w:t>
      </w:r>
      <w:r w:rsidR="00C07727">
        <w:rPr>
          <w:rFonts w:ascii="Book Antiqua" w:hAnsi="Book Antiqua" w:cs="Arial"/>
        </w:rPr>
        <w:tab/>
      </w:r>
      <w:r w:rsidR="00087FA9" w:rsidRPr="004C6CD0">
        <w:rPr>
          <w:rFonts w:ascii="Book Antiqua" w:hAnsi="Book Antiqua" w:cs="Arial"/>
        </w:rPr>
        <w:t>The Appellant</w:t>
      </w:r>
      <w:r w:rsidR="00545B34" w:rsidRPr="004C6CD0">
        <w:rPr>
          <w:rFonts w:ascii="Book Antiqua" w:hAnsi="Book Antiqua" w:cs="Arial"/>
        </w:rPr>
        <w:t xml:space="preserve"> was born on </w:t>
      </w:r>
      <w:r w:rsidR="00D56729" w:rsidRPr="004C6CD0">
        <w:rPr>
          <w:rFonts w:ascii="Book Antiqua" w:hAnsi="Book Antiqua" w:cs="Arial"/>
        </w:rPr>
        <w:t>1</w:t>
      </w:r>
      <w:r w:rsidR="00D226C2" w:rsidRPr="004C6CD0">
        <w:rPr>
          <w:rFonts w:ascii="Book Antiqua" w:hAnsi="Book Antiqua" w:cs="Arial"/>
        </w:rPr>
        <w:t xml:space="preserve">6 June </w:t>
      </w:r>
      <w:r w:rsidR="00D56729" w:rsidRPr="004C6CD0">
        <w:rPr>
          <w:rFonts w:ascii="Book Antiqua" w:hAnsi="Book Antiqua" w:cs="Arial"/>
        </w:rPr>
        <w:t>1986 and is a national of Gambia</w:t>
      </w:r>
      <w:r w:rsidR="008A3CF4" w:rsidRPr="004C6CD0">
        <w:rPr>
          <w:rFonts w:ascii="Book Antiqua" w:hAnsi="Book Antiqua" w:cs="Arial"/>
        </w:rPr>
        <w:t>.</w:t>
      </w:r>
      <w:r w:rsidRPr="004C6CD0">
        <w:rPr>
          <w:rFonts w:ascii="Book Antiqua" w:hAnsi="Book Antiqua" w:cs="Arial"/>
        </w:rPr>
        <w:t xml:space="preserve"> </w:t>
      </w:r>
      <w:r w:rsidR="008A3CF4" w:rsidRPr="004C6CD0">
        <w:rPr>
          <w:rFonts w:ascii="Book Antiqua" w:hAnsi="Book Antiqua" w:cs="Arial"/>
        </w:rPr>
        <w:t xml:space="preserve">On 27 October </w:t>
      </w:r>
      <w:r w:rsidRPr="004C6CD0">
        <w:rPr>
          <w:rFonts w:ascii="Book Antiqua" w:hAnsi="Book Antiqua" w:cs="Arial"/>
        </w:rPr>
        <w:t>201</w:t>
      </w:r>
      <w:r w:rsidR="008A3CF4" w:rsidRPr="004C6CD0">
        <w:rPr>
          <w:rFonts w:ascii="Book Antiqua" w:hAnsi="Book Antiqua" w:cs="Arial"/>
        </w:rPr>
        <w:t>7</w:t>
      </w:r>
      <w:r w:rsidRPr="004C6CD0">
        <w:rPr>
          <w:rFonts w:ascii="Book Antiqua" w:hAnsi="Book Antiqua" w:cs="Arial"/>
        </w:rPr>
        <w:t xml:space="preserve"> </w:t>
      </w:r>
      <w:r w:rsidR="00545B34" w:rsidRPr="004C6CD0">
        <w:rPr>
          <w:rFonts w:ascii="Book Antiqua" w:hAnsi="Book Antiqua" w:cs="Arial"/>
        </w:rPr>
        <w:t>the Secretary of State refused the Appellant</w:t>
      </w:r>
      <w:r w:rsidR="00D226C2" w:rsidRPr="004C6CD0">
        <w:rPr>
          <w:rFonts w:ascii="Book Antiqua" w:hAnsi="Book Antiqua" w:cs="Arial"/>
        </w:rPr>
        <w:t>’</w:t>
      </w:r>
      <w:r w:rsidR="00545B34" w:rsidRPr="004C6CD0">
        <w:rPr>
          <w:rFonts w:ascii="Book Antiqua" w:hAnsi="Book Antiqua" w:cs="Arial"/>
        </w:rPr>
        <w:t>s application</w:t>
      </w:r>
      <w:r w:rsidRPr="004C6CD0">
        <w:rPr>
          <w:rFonts w:ascii="Book Antiqua" w:hAnsi="Book Antiqua" w:cs="Arial"/>
        </w:rPr>
        <w:t xml:space="preserve"> for leave to remain on article 8 ECHR grounds.</w:t>
      </w:r>
    </w:p>
    <w:p w:rsidR="00545B34" w:rsidRPr="004C6CD0" w:rsidRDefault="00545B34" w:rsidP="00C07727">
      <w:pPr>
        <w:spacing w:before="240"/>
        <w:jc w:val="both"/>
        <w:rPr>
          <w:rFonts w:ascii="Book Antiqua" w:hAnsi="Book Antiqua" w:cs="Arial"/>
          <w:u w:val="single"/>
        </w:rPr>
      </w:pPr>
      <w:r w:rsidRPr="004C6CD0">
        <w:rPr>
          <w:rFonts w:ascii="Book Antiqua" w:hAnsi="Book Antiqua" w:cs="Arial"/>
          <w:u w:val="single"/>
        </w:rPr>
        <w:t>The Judge’s Decision</w:t>
      </w:r>
    </w:p>
    <w:p w:rsidR="00545B34" w:rsidRPr="004C6CD0" w:rsidRDefault="00C07727" w:rsidP="00C07727">
      <w:pPr>
        <w:tabs>
          <w:tab w:val="left" w:pos="567"/>
        </w:tabs>
        <w:spacing w:before="240"/>
        <w:jc w:val="both"/>
        <w:rPr>
          <w:rFonts w:ascii="Book Antiqua" w:hAnsi="Book Antiqua" w:cs="Arial"/>
          <w:color w:val="000000"/>
        </w:rPr>
      </w:pPr>
      <w:r>
        <w:rPr>
          <w:rFonts w:ascii="Book Antiqua" w:hAnsi="Book Antiqua" w:cs="Arial"/>
        </w:rPr>
        <w:t>4</w:t>
      </w:r>
      <w:r w:rsidR="00FF4EB0" w:rsidRPr="004C6CD0">
        <w:rPr>
          <w:rFonts w:ascii="Book Antiqua" w:hAnsi="Book Antiqua" w:cs="Arial"/>
        </w:rPr>
        <w:t>.</w:t>
      </w:r>
      <w:r>
        <w:rPr>
          <w:rFonts w:ascii="Book Antiqua" w:hAnsi="Book Antiqua" w:cs="Arial"/>
        </w:rPr>
        <w:tab/>
      </w:r>
      <w:r w:rsidR="00545B34" w:rsidRPr="004C6CD0">
        <w:rPr>
          <w:rFonts w:ascii="Book Antiqua" w:hAnsi="Book Antiqua" w:cs="Arial"/>
        </w:rPr>
        <w:t>The Appellant</w:t>
      </w:r>
      <w:r w:rsidR="00D226C2" w:rsidRPr="004C6CD0">
        <w:rPr>
          <w:rFonts w:ascii="Book Antiqua" w:hAnsi="Book Antiqua" w:cs="Arial"/>
        </w:rPr>
        <w:t xml:space="preserve"> </w:t>
      </w:r>
      <w:r w:rsidR="00545B34" w:rsidRPr="004C6CD0">
        <w:rPr>
          <w:rFonts w:ascii="Book Antiqua" w:hAnsi="Book Antiqua" w:cs="Arial"/>
        </w:rPr>
        <w:t>appealed to the First-tier Tribunal</w:t>
      </w:r>
      <w:r w:rsidR="00850890" w:rsidRPr="004C6CD0">
        <w:rPr>
          <w:rFonts w:ascii="Book Antiqua" w:hAnsi="Book Antiqua" w:cs="Arial"/>
        </w:rPr>
        <w:t>.</w:t>
      </w:r>
      <w:r w:rsidR="00545B34" w:rsidRPr="004C6CD0">
        <w:rPr>
          <w:rFonts w:ascii="Book Antiqua" w:hAnsi="Book Antiqua" w:cs="Arial"/>
        </w:rPr>
        <w:t xml:space="preserve"> First-tier Tribunal Judge </w:t>
      </w:r>
      <w:r w:rsidR="008A3CF4" w:rsidRPr="004C6CD0">
        <w:rPr>
          <w:rFonts w:ascii="Book Antiqua" w:hAnsi="Book Antiqua" w:cs="Arial"/>
        </w:rPr>
        <w:t>Hands</w:t>
      </w:r>
      <w:r w:rsidR="00850890" w:rsidRPr="004C6CD0">
        <w:rPr>
          <w:rFonts w:ascii="Book Antiqua" w:hAnsi="Book Antiqua" w:cs="Arial"/>
        </w:rPr>
        <w:t xml:space="preserve"> (</w:t>
      </w:r>
      <w:r w:rsidR="00545B34" w:rsidRPr="004C6CD0">
        <w:rPr>
          <w:rFonts w:ascii="Book Antiqua" w:hAnsi="Book Antiqua" w:cs="Arial"/>
        </w:rPr>
        <w:t xml:space="preserve">“the Judge”) dismissed the appeal against the Respondent’s decision. Grounds of appeal were lodged and on </w:t>
      </w:r>
      <w:r w:rsidR="008A3CF4" w:rsidRPr="004C6CD0">
        <w:rPr>
          <w:rFonts w:ascii="Book Antiqua" w:hAnsi="Book Antiqua" w:cs="Arial"/>
        </w:rPr>
        <w:t>4 April</w:t>
      </w:r>
      <w:r w:rsidR="00FF4EB0" w:rsidRPr="004C6CD0">
        <w:rPr>
          <w:rFonts w:ascii="Book Antiqua" w:hAnsi="Book Antiqua" w:cs="Arial"/>
        </w:rPr>
        <w:t xml:space="preserve"> 2018 </w:t>
      </w:r>
      <w:r w:rsidR="00545B34" w:rsidRPr="004C6CD0">
        <w:rPr>
          <w:rFonts w:ascii="Book Antiqua" w:hAnsi="Book Antiqua" w:cs="Arial"/>
        </w:rPr>
        <w:t xml:space="preserve">Judge </w:t>
      </w:r>
      <w:r w:rsidR="008A3CF4" w:rsidRPr="004C6CD0">
        <w:rPr>
          <w:rFonts w:ascii="Book Antiqua" w:hAnsi="Book Antiqua" w:cs="Arial"/>
        </w:rPr>
        <w:t>Lever</w:t>
      </w:r>
      <w:r w:rsidR="00545B34" w:rsidRPr="004C6CD0">
        <w:rPr>
          <w:rFonts w:ascii="Book Antiqua" w:hAnsi="Book Antiqua" w:cs="Arial"/>
        </w:rPr>
        <w:t xml:space="preserve"> gave </w:t>
      </w:r>
      <w:r w:rsidR="00850890" w:rsidRPr="004C6CD0">
        <w:rPr>
          <w:rFonts w:ascii="Book Antiqua" w:hAnsi="Book Antiqua" w:cs="Arial"/>
          <w:color w:val="000000"/>
        </w:rPr>
        <w:t>permission to appeal stating</w:t>
      </w:r>
      <w:r w:rsidR="00B40346" w:rsidRPr="004C6CD0">
        <w:rPr>
          <w:rFonts w:ascii="Book Antiqua" w:hAnsi="Book Antiqua" w:cs="Arial"/>
          <w:color w:val="000000"/>
        </w:rPr>
        <w:t xml:space="preserve"> inter alia</w:t>
      </w:r>
    </w:p>
    <w:p w:rsidR="00B40346" w:rsidRPr="004C6CD0" w:rsidRDefault="00C07727" w:rsidP="00C07727">
      <w:pPr>
        <w:spacing w:before="120"/>
        <w:ind w:left="567" w:right="567"/>
        <w:jc w:val="both"/>
        <w:rPr>
          <w:rFonts w:ascii="Book Antiqua" w:hAnsi="Book Antiqua" w:cs="Arial"/>
          <w:color w:val="000000"/>
          <w:sz w:val="22"/>
          <w:szCs w:val="22"/>
        </w:rPr>
      </w:pPr>
      <w:r>
        <w:rPr>
          <w:rFonts w:ascii="Book Antiqua" w:hAnsi="Book Antiqua" w:cs="Arial"/>
          <w:color w:val="000000"/>
          <w:sz w:val="22"/>
          <w:szCs w:val="22"/>
        </w:rPr>
        <w:t>“</w:t>
      </w:r>
      <w:r w:rsidR="00B40346" w:rsidRPr="004C6CD0">
        <w:rPr>
          <w:rFonts w:ascii="Book Antiqua" w:hAnsi="Book Antiqua" w:cs="Arial"/>
          <w:color w:val="000000"/>
          <w:sz w:val="22"/>
          <w:szCs w:val="22"/>
        </w:rPr>
        <w:t xml:space="preserve">The </w:t>
      </w:r>
      <w:r w:rsidR="00D226C2" w:rsidRPr="004C6CD0">
        <w:rPr>
          <w:rFonts w:ascii="Book Antiqua" w:hAnsi="Book Antiqua" w:cs="Arial"/>
          <w:color w:val="000000"/>
          <w:sz w:val="22"/>
          <w:szCs w:val="22"/>
        </w:rPr>
        <w:t>J</w:t>
      </w:r>
      <w:r w:rsidR="00B40346" w:rsidRPr="004C6CD0">
        <w:rPr>
          <w:rFonts w:ascii="Book Antiqua" w:hAnsi="Book Antiqua" w:cs="Arial"/>
          <w:color w:val="000000"/>
          <w:sz w:val="22"/>
          <w:szCs w:val="22"/>
        </w:rPr>
        <w:t>udge had noted that this was a</w:t>
      </w:r>
      <w:r w:rsidR="00D226C2" w:rsidRPr="004C6CD0">
        <w:rPr>
          <w:rFonts w:ascii="Book Antiqua" w:hAnsi="Book Antiqua" w:cs="Arial"/>
          <w:color w:val="000000"/>
          <w:sz w:val="22"/>
          <w:szCs w:val="22"/>
        </w:rPr>
        <w:t xml:space="preserve"> </w:t>
      </w:r>
      <w:r w:rsidR="00B40346" w:rsidRPr="004C6CD0">
        <w:rPr>
          <w:rFonts w:ascii="Book Antiqua" w:hAnsi="Book Antiqua" w:cs="Arial"/>
          <w:color w:val="000000"/>
          <w:sz w:val="22"/>
          <w:szCs w:val="22"/>
        </w:rPr>
        <w:t>n</w:t>
      </w:r>
      <w:r w:rsidR="00D226C2" w:rsidRPr="004C6CD0">
        <w:rPr>
          <w:rFonts w:ascii="Book Antiqua" w:hAnsi="Book Antiqua" w:cs="Arial"/>
          <w:color w:val="000000"/>
          <w:sz w:val="22"/>
          <w:szCs w:val="22"/>
        </w:rPr>
        <w:t>arrow</w:t>
      </w:r>
      <w:r w:rsidR="00B40346" w:rsidRPr="004C6CD0">
        <w:rPr>
          <w:rFonts w:ascii="Book Antiqua" w:hAnsi="Book Antiqua" w:cs="Arial"/>
          <w:color w:val="000000"/>
          <w:sz w:val="22"/>
          <w:szCs w:val="22"/>
        </w:rPr>
        <w:t xml:space="preserve"> issue as to whether the appellant had at the date of application past a language test to </w:t>
      </w:r>
      <w:r w:rsidR="00D226C2" w:rsidRPr="004C6CD0">
        <w:rPr>
          <w:rFonts w:ascii="Book Antiqua" w:hAnsi="Book Antiqua" w:cs="Arial"/>
          <w:color w:val="000000"/>
          <w:sz w:val="22"/>
          <w:szCs w:val="22"/>
        </w:rPr>
        <w:t>A2</w:t>
      </w:r>
      <w:r w:rsidR="00B40346" w:rsidRPr="004C6CD0">
        <w:rPr>
          <w:rFonts w:ascii="Book Antiqua" w:hAnsi="Book Antiqua" w:cs="Arial"/>
          <w:color w:val="000000"/>
          <w:sz w:val="22"/>
          <w:szCs w:val="22"/>
        </w:rPr>
        <w:t xml:space="preserve"> standard. It is arguable that the failure of the respondent to return the appellant’s passport in a timely manner in order for the test to be taken is something the </w:t>
      </w:r>
      <w:r w:rsidR="00D226C2" w:rsidRPr="004C6CD0">
        <w:rPr>
          <w:rFonts w:ascii="Book Antiqua" w:hAnsi="Book Antiqua" w:cs="Arial"/>
          <w:color w:val="000000"/>
          <w:sz w:val="22"/>
          <w:szCs w:val="22"/>
        </w:rPr>
        <w:t>J</w:t>
      </w:r>
      <w:r w:rsidR="00B40346" w:rsidRPr="004C6CD0">
        <w:rPr>
          <w:rFonts w:ascii="Book Antiqua" w:hAnsi="Book Antiqua" w:cs="Arial"/>
          <w:color w:val="000000"/>
          <w:sz w:val="22"/>
          <w:szCs w:val="22"/>
        </w:rPr>
        <w:t xml:space="preserve">udge should have considered. Further as this was an appeal under A8 the circumstances at the date of hearing was relevant and it is arguable the </w:t>
      </w:r>
      <w:r w:rsidR="00D226C2" w:rsidRPr="004C6CD0">
        <w:rPr>
          <w:rFonts w:ascii="Book Antiqua" w:hAnsi="Book Antiqua" w:cs="Arial"/>
          <w:color w:val="000000"/>
          <w:sz w:val="22"/>
          <w:szCs w:val="22"/>
        </w:rPr>
        <w:t>J</w:t>
      </w:r>
      <w:r w:rsidR="00B40346" w:rsidRPr="004C6CD0">
        <w:rPr>
          <w:rFonts w:ascii="Book Antiqua" w:hAnsi="Book Antiqua" w:cs="Arial"/>
          <w:color w:val="000000"/>
          <w:sz w:val="22"/>
          <w:szCs w:val="22"/>
        </w:rPr>
        <w:t>udge relied too heavily on the fact that the appellant had not passed the test at the date of application.</w:t>
      </w:r>
      <w:r>
        <w:rPr>
          <w:rFonts w:ascii="Book Antiqua" w:hAnsi="Book Antiqua" w:cs="Arial"/>
          <w:color w:val="000000"/>
          <w:sz w:val="22"/>
          <w:szCs w:val="22"/>
        </w:rPr>
        <w:t>”</w:t>
      </w:r>
    </w:p>
    <w:p w:rsidR="00B40346" w:rsidRPr="004C6CD0" w:rsidRDefault="00B40346" w:rsidP="00C07727">
      <w:pPr>
        <w:spacing w:before="240"/>
        <w:jc w:val="both"/>
        <w:rPr>
          <w:rFonts w:ascii="Book Antiqua" w:hAnsi="Book Antiqua" w:cs="Arial"/>
          <w:color w:val="000000"/>
          <w:u w:val="single"/>
        </w:rPr>
      </w:pPr>
      <w:r w:rsidRPr="004C6CD0">
        <w:rPr>
          <w:rFonts w:ascii="Book Antiqua" w:hAnsi="Book Antiqua" w:cs="Arial"/>
          <w:color w:val="000000"/>
          <w:u w:val="single"/>
        </w:rPr>
        <w:t xml:space="preserve">The </w:t>
      </w:r>
      <w:r w:rsidR="00D226C2" w:rsidRPr="004C6CD0">
        <w:rPr>
          <w:rFonts w:ascii="Book Antiqua" w:hAnsi="Book Antiqua" w:cs="Arial"/>
          <w:color w:val="000000"/>
          <w:u w:val="single"/>
        </w:rPr>
        <w:t>H</w:t>
      </w:r>
      <w:r w:rsidRPr="004C6CD0">
        <w:rPr>
          <w:rFonts w:ascii="Book Antiqua" w:hAnsi="Book Antiqua" w:cs="Arial"/>
          <w:color w:val="000000"/>
          <w:u w:val="single"/>
        </w:rPr>
        <w:t>earing</w:t>
      </w:r>
    </w:p>
    <w:p w:rsidR="00B40346" w:rsidRPr="004C6CD0" w:rsidRDefault="00C07727" w:rsidP="00C07727">
      <w:pPr>
        <w:tabs>
          <w:tab w:val="left" w:pos="567"/>
        </w:tabs>
        <w:spacing w:before="240"/>
        <w:jc w:val="both"/>
        <w:rPr>
          <w:rFonts w:ascii="Book Antiqua" w:hAnsi="Book Antiqua" w:cs="Arial"/>
          <w:color w:val="000000"/>
        </w:rPr>
      </w:pPr>
      <w:r>
        <w:rPr>
          <w:rFonts w:ascii="Book Antiqua" w:hAnsi="Book Antiqua" w:cs="Arial"/>
          <w:color w:val="000000"/>
        </w:rPr>
        <w:t>5.</w:t>
      </w:r>
      <w:r>
        <w:rPr>
          <w:rFonts w:ascii="Book Antiqua" w:hAnsi="Book Antiqua" w:cs="Arial"/>
          <w:color w:val="000000"/>
        </w:rPr>
        <w:tab/>
      </w:r>
      <w:r w:rsidR="00D226C2" w:rsidRPr="004C6CD0">
        <w:rPr>
          <w:rFonts w:ascii="Book Antiqua" w:hAnsi="Book Antiqua" w:cs="Arial"/>
          <w:color w:val="000000"/>
        </w:rPr>
        <w:t>F</w:t>
      </w:r>
      <w:r w:rsidR="00B40346" w:rsidRPr="004C6CD0">
        <w:rPr>
          <w:rFonts w:ascii="Book Antiqua" w:hAnsi="Book Antiqua" w:cs="Arial"/>
          <w:color w:val="000000"/>
        </w:rPr>
        <w:t>or the appellant</w:t>
      </w:r>
      <w:r w:rsidR="00D226C2" w:rsidRPr="004C6CD0">
        <w:rPr>
          <w:rFonts w:ascii="Book Antiqua" w:hAnsi="Book Antiqua" w:cs="Arial"/>
          <w:color w:val="000000"/>
        </w:rPr>
        <w:t>,</w:t>
      </w:r>
      <w:r w:rsidR="00B40346" w:rsidRPr="004C6CD0">
        <w:rPr>
          <w:rFonts w:ascii="Book Antiqua" w:hAnsi="Book Antiqua" w:cs="Arial"/>
          <w:color w:val="000000"/>
        </w:rPr>
        <w:t xml:space="preserve"> Ms Lie</w:t>
      </w:r>
      <w:r w:rsidR="00D226C2" w:rsidRPr="004C6CD0">
        <w:rPr>
          <w:rFonts w:ascii="Book Antiqua" w:hAnsi="Book Antiqua" w:cs="Arial"/>
          <w:color w:val="000000"/>
        </w:rPr>
        <w:t>w</w:t>
      </w:r>
      <w:r w:rsidR="00B40346" w:rsidRPr="004C6CD0">
        <w:rPr>
          <w:rFonts w:ascii="Book Antiqua" w:hAnsi="Book Antiqua" w:cs="Arial"/>
          <w:color w:val="000000"/>
        </w:rPr>
        <w:t xml:space="preserve"> moved the grounds of appeal and explained that at the date of application the appellant ha</w:t>
      </w:r>
      <w:r w:rsidR="00D226C2" w:rsidRPr="004C6CD0">
        <w:rPr>
          <w:rFonts w:ascii="Book Antiqua" w:hAnsi="Book Antiqua" w:cs="Arial"/>
          <w:color w:val="000000"/>
        </w:rPr>
        <w:t>d</w:t>
      </w:r>
      <w:r w:rsidR="00B40346" w:rsidRPr="004C6CD0">
        <w:rPr>
          <w:rFonts w:ascii="Book Antiqua" w:hAnsi="Book Antiqua" w:cs="Arial"/>
          <w:color w:val="000000"/>
        </w:rPr>
        <w:t xml:space="preserve"> been unable to take an English language test because the respondent held her passport. The appellant has made repeated requests for return of her passport, and has been ignored by the respondent. At the date of hearing the appellant was able to produce a satisfactory English language test. Ms Lie</w:t>
      </w:r>
      <w:r w:rsidR="00D226C2" w:rsidRPr="004C6CD0">
        <w:rPr>
          <w:rFonts w:ascii="Book Antiqua" w:hAnsi="Book Antiqua" w:cs="Arial"/>
          <w:color w:val="000000"/>
        </w:rPr>
        <w:t>w</w:t>
      </w:r>
      <w:r w:rsidR="00B40346" w:rsidRPr="004C6CD0">
        <w:rPr>
          <w:rFonts w:ascii="Book Antiqua" w:hAnsi="Book Antiqua" w:cs="Arial"/>
          <w:color w:val="000000"/>
        </w:rPr>
        <w:t xml:space="preserve"> told me that the </w:t>
      </w:r>
      <w:r w:rsidR="00D226C2" w:rsidRPr="004C6CD0">
        <w:rPr>
          <w:rFonts w:ascii="Book Antiqua" w:hAnsi="Book Antiqua" w:cs="Arial"/>
          <w:color w:val="000000"/>
        </w:rPr>
        <w:t>J</w:t>
      </w:r>
      <w:r w:rsidR="00B40346" w:rsidRPr="004C6CD0">
        <w:rPr>
          <w:rFonts w:ascii="Book Antiqua" w:hAnsi="Book Antiqua" w:cs="Arial"/>
          <w:color w:val="000000"/>
        </w:rPr>
        <w:t xml:space="preserve">udge was wrong to focus solely on the date of application, and should have taken </w:t>
      </w:r>
      <w:r w:rsidR="00D226C2" w:rsidRPr="004C6CD0">
        <w:rPr>
          <w:rFonts w:ascii="Book Antiqua" w:hAnsi="Book Antiqua" w:cs="Arial"/>
          <w:color w:val="000000"/>
        </w:rPr>
        <w:t xml:space="preserve">the respondent’s </w:t>
      </w:r>
      <w:r w:rsidR="00B40346" w:rsidRPr="004C6CD0">
        <w:rPr>
          <w:rFonts w:ascii="Book Antiqua" w:hAnsi="Book Antiqua" w:cs="Arial"/>
          <w:color w:val="000000"/>
        </w:rPr>
        <w:t xml:space="preserve">conduct </w:t>
      </w:r>
      <w:r w:rsidR="00D226C2" w:rsidRPr="004C6CD0">
        <w:rPr>
          <w:rFonts w:ascii="Book Antiqua" w:hAnsi="Book Antiqua" w:cs="Arial"/>
          <w:color w:val="000000"/>
        </w:rPr>
        <w:t xml:space="preserve">into account. </w:t>
      </w:r>
    </w:p>
    <w:p w:rsidR="00B40346" w:rsidRPr="004C6CD0" w:rsidRDefault="00C07727" w:rsidP="00C07727">
      <w:pPr>
        <w:tabs>
          <w:tab w:val="left" w:pos="567"/>
        </w:tabs>
        <w:spacing w:before="240"/>
        <w:jc w:val="both"/>
        <w:rPr>
          <w:rFonts w:ascii="Book Antiqua" w:hAnsi="Book Antiqua" w:cs="Arial"/>
          <w:color w:val="000000"/>
        </w:rPr>
      </w:pPr>
      <w:r>
        <w:rPr>
          <w:rFonts w:ascii="Book Antiqua" w:hAnsi="Book Antiqua" w:cs="Arial"/>
          <w:color w:val="000000"/>
        </w:rPr>
        <w:t>6</w:t>
      </w:r>
      <w:r w:rsidR="00B40346" w:rsidRPr="004C6CD0">
        <w:rPr>
          <w:rFonts w:ascii="Book Antiqua" w:hAnsi="Book Antiqua" w:cs="Arial"/>
          <w:color w:val="000000"/>
        </w:rPr>
        <w:t>.</w:t>
      </w:r>
      <w:r>
        <w:rPr>
          <w:rFonts w:ascii="Book Antiqua" w:hAnsi="Book Antiqua" w:cs="Arial"/>
          <w:color w:val="000000"/>
        </w:rPr>
        <w:tab/>
      </w:r>
      <w:r w:rsidR="004662F0" w:rsidRPr="004C6CD0">
        <w:rPr>
          <w:rFonts w:ascii="Book Antiqua" w:hAnsi="Book Antiqua" w:cs="Arial"/>
          <w:color w:val="000000"/>
        </w:rPr>
        <w:t xml:space="preserve">For the respondent Mr </w:t>
      </w:r>
      <w:proofErr w:type="spellStart"/>
      <w:r w:rsidR="004662F0" w:rsidRPr="004C6CD0">
        <w:rPr>
          <w:rFonts w:ascii="Book Antiqua" w:hAnsi="Book Antiqua" w:cs="Arial"/>
          <w:color w:val="000000"/>
        </w:rPr>
        <w:t>Diwnycz</w:t>
      </w:r>
      <w:proofErr w:type="spellEnd"/>
      <w:r w:rsidR="004662F0" w:rsidRPr="004C6CD0">
        <w:rPr>
          <w:rFonts w:ascii="Book Antiqua" w:hAnsi="Book Antiqua" w:cs="Arial"/>
          <w:color w:val="000000"/>
        </w:rPr>
        <w:t xml:space="preserve"> told me that in 2014 the same appellant had an appeal to the </w:t>
      </w:r>
      <w:r w:rsidR="00D226C2" w:rsidRPr="004C6CD0">
        <w:rPr>
          <w:rFonts w:ascii="Book Antiqua" w:hAnsi="Book Antiqua" w:cs="Arial"/>
          <w:color w:val="000000"/>
        </w:rPr>
        <w:t>U</w:t>
      </w:r>
      <w:r w:rsidR="004662F0" w:rsidRPr="004C6CD0">
        <w:rPr>
          <w:rFonts w:ascii="Book Antiqua" w:hAnsi="Book Antiqua" w:cs="Arial"/>
          <w:color w:val="000000"/>
        </w:rPr>
        <w:t xml:space="preserve">pper </w:t>
      </w:r>
      <w:r w:rsidR="00D226C2" w:rsidRPr="004C6CD0">
        <w:rPr>
          <w:rFonts w:ascii="Book Antiqua" w:hAnsi="Book Antiqua" w:cs="Arial"/>
          <w:color w:val="000000"/>
        </w:rPr>
        <w:t>T</w:t>
      </w:r>
      <w:r w:rsidR="004662F0" w:rsidRPr="004C6CD0">
        <w:rPr>
          <w:rFonts w:ascii="Book Antiqua" w:hAnsi="Book Antiqua" w:cs="Arial"/>
          <w:color w:val="000000"/>
        </w:rPr>
        <w:t xml:space="preserve">ribunal on the same point, and in 2014 he had personally apologised to the appellant because her passport had not been returned to her. He told me that the grounds of appeal had considerable force because the respondent had ignored requests for the return of the passport at a time when the appellant had section 3C leave. Mr </w:t>
      </w:r>
      <w:proofErr w:type="spellStart"/>
      <w:r w:rsidR="004662F0" w:rsidRPr="004C6CD0">
        <w:rPr>
          <w:rFonts w:ascii="Book Antiqua" w:hAnsi="Book Antiqua" w:cs="Arial"/>
          <w:color w:val="000000"/>
        </w:rPr>
        <w:t>Diwnycz</w:t>
      </w:r>
      <w:proofErr w:type="spellEnd"/>
      <w:r w:rsidR="004662F0" w:rsidRPr="004C6CD0">
        <w:rPr>
          <w:rFonts w:ascii="Book Antiqua" w:hAnsi="Book Antiqua" w:cs="Arial"/>
          <w:color w:val="000000"/>
        </w:rPr>
        <w:t xml:space="preserve"> said that the respondent’s conduct prevented him from resisting the appeal.</w:t>
      </w:r>
    </w:p>
    <w:p w:rsidR="004662F0" w:rsidRPr="004C6CD0" w:rsidRDefault="00C07727" w:rsidP="00C07727">
      <w:pPr>
        <w:tabs>
          <w:tab w:val="left" w:pos="567"/>
        </w:tabs>
        <w:spacing w:before="240"/>
        <w:jc w:val="both"/>
        <w:rPr>
          <w:rFonts w:ascii="Book Antiqua" w:hAnsi="Book Antiqua" w:cs="Arial"/>
          <w:color w:val="000000"/>
        </w:rPr>
      </w:pPr>
      <w:r>
        <w:rPr>
          <w:rFonts w:ascii="Book Antiqua" w:hAnsi="Book Antiqua" w:cs="Arial"/>
          <w:color w:val="000000"/>
        </w:rPr>
        <w:t>7</w:t>
      </w:r>
      <w:r w:rsidR="004662F0" w:rsidRPr="004C6CD0">
        <w:rPr>
          <w:rFonts w:ascii="Book Antiqua" w:hAnsi="Book Antiqua" w:cs="Arial"/>
          <w:color w:val="000000"/>
        </w:rPr>
        <w:t>.</w:t>
      </w:r>
      <w:r>
        <w:rPr>
          <w:rFonts w:ascii="Book Antiqua" w:hAnsi="Book Antiqua" w:cs="Arial"/>
          <w:color w:val="000000"/>
        </w:rPr>
        <w:tab/>
      </w:r>
      <w:r w:rsidR="004662F0" w:rsidRPr="004C6CD0">
        <w:rPr>
          <w:rFonts w:ascii="Book Antiqua" w:hAnsi="Book Antiqua" w:cs="Arial"/>
          <w:color w:val="000000"/>
        </w:rPr>
        <w:t>Both parties</w:t>
      </w:r>
      <w:r w:rsidR="00D226C2" w:rsidRPr="004C6CD0">
        <w:rPr>
          <w:rFonts w:ascii="Book Antiqua" w:hAnsi="Book Antiqua" w:cs="Arial"/>
          <w:color w:val="000000"/>
        </w:rPr>
        <w:t>’</w:t>
      </w:r>
      <w:r w:rsidR="004662F0" w:rsidRPr="004C6CD0">
        <w:rPr>
          <w:rFonts w:ascii="Book Antiqua" w:hAnsi="Book Antiqua" w:cs="Arial"/>
          <w:color w:val="000000"/>
        </w:rPr>
        <w:t xml:space="preserve"> agents asked me to set the decision aside and substitute my own decision allowing the appeal. Both parties</w:t>
      </w:r>
      <w:r w:rsidR="00D226C2" w:rsidRPr="004C6CD0">
        <w:rPr>
          <w:rFonts w:ascii="Book Antiqua" w:hAnsi="Book Antiqua" w:cs="Arial"/>
          <w:color w:val="000000"/>
        </w:rPr>
        <w:t>’</w:t>
      </w:r>
      <w:r w:rsidR="004662F0" w:rsidRPr="004C6CD0">
        <w:rPr>
          <w:rFonts w:ascii="Book Antiqua" w:hAnsi="Book Antiqua" w:cs="Arial"/>
          <w:color w:val="000000"/>
        </w:rPr>
        <w:t xml:space="preserve"> agents agreed that at today’s date the appellant meets the substantive requirements of appendix FM.</w:t>
      </w:r>
    </w:p>
    <w:p w:rsidR="004C6CD0" w:rsidRDefault="004C6CD0" w:rsidP="00C07727">
      <w:pPr>
        <w:spacing w:before="240"/>
        <w:jc w:val="both"/>
        <w:rPr>
          <w:rFonts w:ascii="Book Antiqua" w:hAnsi="Book Antiqua" w:cs="Arial"/>
          <w:color w:val="000000"/>
          <w:u w:val="single"/>
        </w:rPr>
      </w:pPr>
    </w:p>
    <w:p w:rsidR="004662F0" w:rsidRPr="004C6CD0" w:rsidRDefault="004662F0" w:rsidP="00C07727">
      <w:pPr>
        <w:spacing w:before="240"/>
        <w:jc w:val="both"/>
        <w:rPr>
          <w:rFonts w:ascii="Book Antiqua" w:hAnsi="Book Antiqua" w:cs="Arial"/>
          <w:color w:val="000000"/>
          <w:u w:val="single"/>
        </w:rPr>
      </w:pPr>
      <w:r w:rsidRPr="004C6CD0">
        <w:rPr>
          <w:rFonts w:ascii="Book Antiqua" w:hAnsi="Book Antiqua" w:cs="Arial"/>
          <w:color w:val="000000"/>
          <w:u w:val="single"/>
        </w:rPr>
        <w:lastRenderedPageBreak/>
        <w:t>Analysis</w:t>
      </w:r>
    </w:p>
    <w:p w:rsidR="004662F0" w:rsidRPr="004C6CD0" w:rsidRDefault="00C07727" w:rsidP="00C07727">
      <w:pPr>
        <w:tabs>
          <w:tab w:val="left" w:pos="567"/>
        </w:tabs>
        <w:spacing w:before="240"/>
        <w:jc w:val="both"/>
        <w:rPr>
          <w:rFonts w:ascii="Book Antiqua" w:hAnsi="Book Antiqua" w:cs="Arial"/>
          <w:color w:val="000000"/>
        </w:rPr>
      </w:pPr>
      <w:r>
        <w:rPr>
          <w:rFonts w:ascii="Book Antiqua" w:hAnsi="Book Antiqua" w:cs="Arial"/>
          <w:color w:val="000000"/>
        </w:rPr>
        <w:t>8</w:t>
      </w:r>
      <w:r w:rsidR="004662F0" w:rsidRPr="004C6CD0">
        <w:rPr>
          <w:rFonts w:ascii="Book Antiqua" w:hAnsi="Book Antiqua" w:cs="Arial"/>
          <w:color w:val="000000"/>
        </w:rPr>
        <w:t>.</w:t>
      </w:r>
      <w:r>
        <w:rPr>
          <w:rFonts w:ascii="Book Antiqua" w:hAnsi="Book Antiqua" w:cs="Arial"/>
          <w:color w:val="000000"/>
        </w:rPr>
        <w:tab/>
      </w:r>
      <w:r w:rsidR="004662F0" w:rsidRPr="004C6CD0">
        <w:rPr>
          <w:rFonts w:ascii="Book Antiqua" w:hAnsi="Book Antiqua" w:cs="Arial"/>
          <w:color w:val="000000"/>
        </w:rPr>
        <w:t xml:space="preserve">The </w:t>
      </w:r>
      <w:r w:rsidR="00D226C2" w:rsidRPr="004C6CD0">
        <w:rPr>
          <w:rFonts w:ascii="Book Antiqua" w:hAnsi="Book Antiqua" w:cs="Arial"/>
          <w:color w:val="000000"/>
        </w:rPr>
        <w:t>J</w:t>
      </w:r>
      <w:r w:rsidR="004662F0" w:rsidRPr="004C6CD0">
        <w:rPr>
          <w:rFonts w:ascii="Book Antiqua" w:hAnsi="Book Antiqua" w:cs="Arial"/>
          <w:color w:val="000000"/>
        </w:rPr>
        <w:t xml:space="preserve">udge </w:t>
      </w:r>
      <w:r w:rsidR="00D226C2" w:rsidRPr="004C6CD0">
        <w:rPr>
          <w:rFonts w:ascii="Book Antiqua" w:hAnsi="Book Antiqua" w:cs="Arial"/>
          <w:color w:val="000000"/>
        </w:rPr>
        <w:t>wa</w:t>
      </w:r>
      <w:r w:rsidR="004662F0" w:rsidRPr="004C6CD0">
        <w:rPr>
          <w:rFonts w:ascii="Book Antiqua" w:hAnsi="Book Antiqua" w:cs="Arial"/>
          <w:color w:val="000000"/>
        </w:rPr>
        <w:t xml:space="preserve">s correct to focus on the date of application when considering appendix FM of the immigration rules. At </w:t>
      </w:r>
      <w:r w:rsidR="00D226C2" w:rsidRPr="004C6CD0">
        <w:rPr>
          <w:rFonts w:ascii="Book Antiqua" w:hAnsi="Book Antiqua" w:cs="Arial"/>
          <w:color w:val="000000"/>
        </w:rPr>
        <w:t>[</w:t>
      </w:r>
      <w:r w:rsidR="004662F0" w:rsidRPr="004C6CD0">
        <w:rPr>
          <w:rFonts w:ascii="Book Antiqua" w:hAnsi="Book Antiqua" w:cs="Arial"/>
          <w:color w:val="000000"/>
        </w:rPr>
        <w:t>29</w:t>
      </w:r>
      <w:r w:rsidR="00D226C2" w:rsidRPr="004C6CD0">
        <w:rPr>
          <w:rFonts w:ascii="Book Antiqua" w:hAnsi="Book Antiqua" w:cs="Arial"/>
          <w:color w:val="000000"/>
        </w:rPr>
        <w:t>]</w:t>
      </w:r>
      <w:r w:rsidR="004662F0" w:rsidRPr="004C6CD0">
        <w:rPr>
          <w:rFonts w:ascii="Book Antiqua" w:hAnsi="Book Antiqua" w:cs="Arial"/>
          <w:color w:val="000000"/>
        </w:rPr>
        <w:t xml:space="preserve"> the </w:t>
      </w:r>
      <w:r w:rsidR="00D226C2" w:rsidRPr="004C6CD0">
        <w:rPr>
          <w:rFonts w:ascii="Book Antiqua" w:hAnsi="Book Antiqua" w:cs="Arial"/>
          <w:color w:val="000000"/>
        </w:rPr>
        <w:t>J</w:t>
      </w:r>
      <w:r w:rsidR="004662F0" w:rsidRPr="004C6CD0">
        <w:rPr>
          <w:rFonts w:ascii="Book Antiqua" w:hAnsi="Book Antiqua" w:cs="Arial"/>
          <w:color w:val="000000"/>
        </w:rPr>
        <w:t xml:space="preserve">udge finds that the appellant could return to Gambia and make an application for entry clearance from there. At </w:t>
      </w:r>
      <w:r w:rsidR="00D226C2" w:rsidRPr="004C6CD0">
        <w:rPr>
          <w:rFonts w:ascii="Book Antiqua" w:hAnsi="Book Antiqua" w:cs="Arial"/>
          <w:color w:val="000000"/>
        </w:rPr>
        <w:t>[</w:t>
      </w:r>
      <w:r w:rsidR="004662F0" w:rsidRPr="004C6CD0">
        <w:rPr>
          <w:rFonts w:ascii="Book Antiqua" w:hAnsi="Book Antiqua" w:cs="Arial"/>
          <w:color w:val="000000"/>
        </w:rPr>
        <w:t>29</w:t>
      </w:r>
      <w:r w:rsidR="00D226C2" w:rsidRPr="004C6CD0">
        <w:rPr>
          <w:rFonts w:ascii="Book Antiqua" w:hAnsi="Book Antiqua" w:cs="Arial"/>
          <w:color w:val="000000"/>
        </w:rPr>
        <w:t>] &amp; [</w:t>
      </w:r>
      <w:r w:rsidR="004662F0" w:rsidRPr="004C6CD0">
        <w:rPr>
          <w:rFonts w:ascii="Book Antiqua" w:hAnsi="Book Antiqua" w:cs="Arial"/>
          <w:color w:val="000000"/>
        </w:rPr>
        <w:t>30</w:t>
      </w:r>
      <w:r w:rsidR="00D226C2" w:rsidRPr="004C6CD0">
        <w:rPr>
          <w:rFonts w:ascii="Book Antiqua" w:hAnsi="Book Antiqua" w:cs="Arial"/>
          <w:color w:val="000000"/>
        </w:rPr>
        <w:t>] the</w:t>
      </w:r>
      <w:r w:rsidR="004662F0" w:rsidRPr="004C6CD0">
        <w:rPr>
          <w:rFonts w:ascii="Book Antiqua" w:hAnsi="Book Antiqua" w:cs="Arial"/>
          <w:color w:val="000000"/>
        </w:rPr>
        <w:t xml:space="preserve"> </w:t>
      </w:r>
      <w:r w:rsidR="00D226C2" w:rsidRPr="004C6CD0">
        <w:rPr>
          <w:rFonts w:ascii="Book Antiqua" w:hAnsi="Book Antiqua" w:cs="Arial"/>
          <w:color w:val="000000"/>
        </w:rPr>
        <w:t>J</w:t>
      </w:r>
      <w:r w:rsidR="004662F0" w:rsidRPr="004C6CD0">
        <w:rPr>
          <w:rFonts w:ascii="Book Antiqua" w:hAnsi="Book Antiqua" w:cs="Arial"/>
          <w:color w:val="000000"/>
        </w:rPr>
        <w:t xml:space="preserve">udge appears to </w:t>
      </w:r>
      <w:r w:rsidR="00D226C2" w:rsidRPr="004C6CD0">
        <w:rPr>
          <w:rFonts w:ascii="Book Antiqua" w:hAnsi="Book Antiqua" w:cs="Arial"/>
          <w:color w:val="000000"/>
        </w:rPr>
        <w:t>app</w:t>
      </w:r>
      <w:r w:rsidR="004662F0" w:rsidRPr="004C6CD0">
        <w:rPr>
          <w:rFonts w:ascii="Book Antiqua" w:hAnsi="Book Antiqua" w:cs="Arial"/>
          <w:color w:val="000000"/>
        </w:rPr>
        <w:t>ly a threshold before considering article 8 ECHR grounds of appeal, and finds that</w:t>
      </w:r>
      <w:r w:rsidR="00D226C2" w:rsidRPr="004C6CD0">
        <w:rPr>
          <w:rFonts w:ascii="Book Antiqua" w:hAnsi="Book Antiqua" w:cs="Arial"/>
          <w:color w:val="000000"/>
        </w:rPr>
        <w:t>,</w:t>
      </w:r>
      <w:r w:rsidR="004662F0" w:rsidRPr="004C6CD0">
        <w:rPr>
          <w:rFonts w:ascii="Book Antiqua" w:hAnsi="Book Antiqua" w:cs="Arial"/>
          <w:color w:val="000000"/>
        </w:rPr>
        <w:t xml:space="preserve"> because there are no exceptional circumstances</w:t>
      </w:r>
      <w:r w:rsidR="00D226C2" w:rsidRPr="004C6CD0">
        <w:rPr>
          <w:rFonts w:ascii="Book Antiqua" w:hAnsi="Book Antiqua" w:cs="Arial"/>
          <w:color w:val="000000"/>
        </w:rPr>
        <w:t>,</w:t>
      </w:r>
      <w:r w:rsidR="004662F0" w:rsidRPr="004C6CD0">
        <w:rPr>
          <w:rFonts w:ascii="Book Antiqua" w:hAnsi="Book Antiqua" w:cs="Arial"/>
          <w:color w:val="000000"/>
        </w:rPr>
        <w:t xml:space="preserve"> the</w:t>
      </w:r>
      <w:r w:rsidR="00D226C2" w:rsidRPr="004C6CD0">
        <w:rPr>
          <w:rFonts w:ascii="Book Antiqua" w:hAnsi="Book Antiqua" w:cs="Arial"/>
          <w:color w:val="000000"/>
        </w:rPr>
        <w:t xml:space="preserve"> respondent’s</w:t>
      </w:r>
      <w:r w:rsidR="004662F0" w:rsidRPr="004C6CD0">
        <w:rPr>
          <w:rFonts w:ascii="Book Antiqua" w:hAnsi="Book Antiqua" w:cs="Arial"/>
          <w:color w:val="000000"/>
        </w:rPr>
        <w:t xml:space="preserve"> decision is not disproportionate.</w:t>
      </w:r>
    </w:p>
    <w:p w:rsidR="004C6CD0" w:rsidRPr="004C6CD0" w:rsidRDefault="00C07727" w:rsidP="00C07727">
      <w:pPr>
        <w:tabs>
          <w:tab w:val="left" w:pos="567"/>
        </w:tabs>
        <w:spacing w:before="240"/>
        <w:jc w:val="both"/>
        <w:rPr>
          <w:rFonts w:ascii="Book Antiqua" w:hAnsi="Book Antiqua" w:cs="Arial"/>
        </w:rPr>
      </w:pPr>
      <w:r>
        <w:rPr>
          <w:rFonts w:ascii="Book Antiqua" w:hAnsi="Book Antiqua" w:cs="Arial"/>
          <w:color w:val="000000"/>
        </w:rPr>
        <w:t>9.</w:t>
      </w:r>
      <w:r>
        <w:rPr>
          <w:rFonts w:ascii="Book Antiqua" w:hAnsi="Book Antiqua" w:cs="Arial"/>
          <w:color w:val="000000"/>
        </w:rPr>
        <w:tab/>
      </w:r>
      <w:r w:rsidR="004C6CD0" w:rsidRPr="004C6CD0">
        <w:rPr>
          <w:rFonts w:ascii="Book Antiqua" w:hAnsi="Book Antiqua" w:cs="Arial"/>
          <w:color w:val="000000"/>
        </w:rPr>
        <w:t xml:space="preserve">In </w:t>
      </w:r>
      <w:hyperlink r:id="rId8" w:tooltip="https://tribunalsdecisions.service.gov.uk/utiac/2015-ukut-00189" w:history="1">
        <w:r w:rsidR="004C6CD0" w:rsidRPr="004C6CD0">
          <w:rPr>
            <w:rStyle w:val="Hyperlink"/>
            <w:rFonts w:ascii="Book Antiqua" w:hAnsi="Book Antiqua" w:cs="Arial"/>
            <w:color w:val="000000"/>
          </w:rPr>
          <w:t xml:space="preserve">R (on the application of Chen) v SSHD (Appendix FM – </w:t>
        </w:r>
        <w:proofErr w:type="spellStart"/>
        <w:r w:rsidR="004C6CD0" w:rsidRPr="004C6CD0">
          <w:rPr>
            <w:rStyle w:val="Hyperlink"/>
            <w:rFonts w:ascii="Book Antiqua" w:hAnsi="Book Antiqua" w:cs="Arial"/>
            <w:color w:val="000000"/>
          </w:rPr>
          <w:t>Chikwamba</w:t>
        </w:r>
        <w:proofErr w:type="spellEnd"/>
        <w:r w:rsidR="004C6CD0" w:rsidRPr="004C6CD0">
          <w:rPr>
            <w:rStyle w:val="Hyperlink"/>
            <w:rFonts w:ascii="Book Antiqua" w:hAnsi="Book Antiqua" w:cs="Arial"/>
            <w:color w:val="000000"/>
          </w:rPr>
          <w:t xml:space="preserve"> – temporary separation – proportionality) IJR</w:t>
        </w:r>
        <w:r w:rsidR="004C6CD0" w:rsidRPr="00C07727">
          <w:rPr>
            <w:rStyle w:val="Hyperlink"/>
            <w:rFonts w:ascii="Book Antiqua" w:hAnsi="Book Antiqua" w:cs="Arial"/>
            <w:color w:val="000000"/>
            <w:u w:val="none"/>
          </w:rPr>
          <w:t xml:space="preserve"> [2015] UKUT 00189 (IAC)</w:t>
        </w:r>
      </w:hyperlink>
      <w:r w:rsidR="004C6CD0" w:rsidRPr="004C6CD0">
        <w:rPr>
          <w:rFonts w:ascii="Book Antiqua" w:hAnsi="Book Antiqua" w:cs="Arial"/>
          <w:color w:val="000000"/>
        </w:rPr>
        <w:t xml:space="preserve"> it was held that </w:t>
      </w:r>
      <w:r w:rsidR="004C6CD0" w:rsidRPr="004C6CD0">
        <w:rPr>
          <w:rFonts w:ascii="Book Antiqua" w:hAnsi="Book Antiqua" w:cs="Arial"/>
          <w:iCs/>
          <w:color w:val="000000"/>
        </w:rPr>
        <w:t>(</w:t>
      </w:r>
      <w:proofErr w:type="spellStart"/>
      <w:r w:rsidR="004C6CD0" w:rsidRPr="004C6CD0">
        <w:rPr>
          <w:rFonts w:ascii="Book Antiqua" w:hAnsi="Book Antiqua" w:cs="Arial"/>
          <w:iCs/>
          <w:color w:val="000000"/>
        </w:rPr>
        <w:t>i</w:t>
      </w:r>
      <w:proofErr w:type="spellEnd"/>
      <w:r w:rsidR="004C6CD0" w:rsidRPr="004C6CD0">
        <w:rPr>
          <w:rFonts w:ascii="Book Antiqua" w:hAnsi="Book Antiqua" w:cs="Arial"/>
          <w:iCs/>
          <w:color w:val="000000"/>
        </w:rPr>
        <w:t xml:space="preserve">) Appendix FM does not include consideration of the question whether it would be disproportionate to expect an individual to return to his home country to make an entry clearance application to re-join family members in the U.K. There may be cases in which there are no insurmountable obstacles to family life being enjoyed outside the U.K. but where temporary separation to enable an individual to make an application for entry clearance may be disproportionate. In all cases, it will be for the individual to place before the Secretary of State evidence that such temporary separation will interfere disproportionately with protected rights. It will not be enough to rely solely upon the case-law concerning </w:t>
      </w:r>
      <w:proofErr w:type="spellStart"/>
      <w:r w:rsidR="004C6CD0" w:rsidRPr="004C6CD0">
        <w:rPr>
          <w:rFonts w:ascii="Book Antiqua" w:hAnsi="Book Antiqua" w:cs="Arial"/>
          <w:iCs/>
          <w:color w:val="000000"/>
          <w:u w:val="single"/>
        </w:rPr>
        <w:t>Chikwamba</w:t>
      </w:r>
      <w:proofErr w:type="spellEnd"/>
      <w:r w:rsidR="004C6CD0" w:rsidRPr="004C6CD0">
        <w:rPr>
          <w:rFonts w:ascii="Book Antiqua" w:hAnsi="Book Antiqua" w:cs="Arial"/>
          <w:iCs/>
          <w:color w:val="000000"/>
          <w:u w:val="single"/>
        </w:rPr>
        <w:t xml:space="preserve"> v SSHD</w:t>
      </w:r>
      <w:r w:rsidR="004C6CD0" w:rsidRPr="004C6CD0">
        <w:rPr>
          <w:rFonts w:ascii="Book Antiqua" w:hAnsi="Book Antiqua" w:cs="Arial"/>
          <w:iCs/>
          <w:color w:val="000000"/>
        </w:rPr>
        <w:t xml:space="preserve"> [2008] UKHL 40. (ii) Lord Brown was not laying down a legal test when he suggested in </w:t>
      </w:r>
      <w:proofErr w:type="spellStart"/>
      <w:r w:rsidR="004C6CD0" w:rsidRPr="004C6CD0">
        <w:rPr>
          <w:rFonts w:ascii="Book Antiqua" w:hAnsi="Book Antiqua" w:cs="Arial"/>
          <w:iCs/>
          <w:color w:val="000000"/>
          <w:u w:val="single"/>
        </w:rPr>
        <w:t>Chikwamba</w:t>
      </w:r>
      <w:proofErr w:type="spellEnd"/>
      <w:r w:rsidR="004C6CD0" w:rsidRPr="004C6CD0">
        <w:rPr>
          <w:rFonts w:ascii="Book Antiqua" w:hAnsi="Book Antiqua" w:cs="Arial"/>
          <w:iCs/>
          <w:color w:val="000000"/>
        </w:rPr>
        <w:t xml:space="preserve"> that requiring a claimant to make an application for entry clearance would only “comparatively rarely” be proportionate in a case involving children</w:t>
      </w:r>
      <w:r w:rsidR="004C6CD0" w:rsidRPr="004C6CD0">
        <w:rPr>
          <w:rFonts w:ascii="Book Antiqua" w:hAnsi="Book Antiqua" w:cs="Arial"/>
          <w:b/>
          <w:iCs/>
          <w:color w:val="000000"/>
        </w:rPr>
        <w:t>.</w:t>
      </w:r>
      <w:r w:rsidR="004C6CD0" w:rsidRPr="004C6CD0">
        <w:rPr>
          <w:rFonts w:ascii="Book Antiqua" w:hAnsi="Book Antiqua" w:cs="Arial"/>
          <w:iCs/>
          <w:color w:val="000000"/>
        </w:rPr>
        <w:t xml:space="preserve">  </w:t>
      </w:r>
      <w:r w:rsidR="004C6CD0" w:rsidRPr="004C6CD0">
        <w:rPr>
          <w:rFonts w:ascii="Book Antiqua" w:hAnsi="Book Antiqua" w:cs="Arial"/>
        </w:rPr>
        <w:t xml:space="preserve"> However, where a failure to comply in a particular capacity is the only issue so far as the Rules are concerned, that may well be an insufficient reason for refusing the case under Article 8 outside the rules.</w:t>
      </w:r>
    </w:p>
    <w:p w:rsidR="004662F0" w:rsidRPr="004C6CD0" w:rsidRDefault="004662F0" w:rsidP="00C07727">
      <w:pPr>
        <w:tabs>
          <w:tab w:val="left" w:pos="567"/>
        </w:tabs>
        <w:spacing w:before="240"/>
        <w:jc w:val="both"/>
        <w:rPr>
          <w:rFonts w:ascii="Book Antiqua" w:hAnsi="Book Antiqua" w:cs="Arial"/>
          <w:color w:val="000000"/>
        </w:rPr>
      </w:pPr>
      <w:r w:rsidRPr="004C6CD0">
        <w:rPr>
          <w:rFonts w:ascii="Book Antiqua" w:hAnsi="Book Antiqua" w:cs="Arial"/>
          <w:color w:val="000000"/>
        </w:rPr>
        <w:t>1</w:t>
      </w:r>
      <w:r w:rsidR="00C07727">
        <w:rPr>
          <w:rFonts w:ascii="Book Antiqua" w:hAnsi="Book Antiqua" w:cs="Arial"/>
          <w:color w:val="000000"/>
        </w:rPr>
        <w:t>0</w:t>
      </w:r>
      <w:r w:rsidRPr="004C6CD0">
        <w:rPr>
          <w:rFonts w:ascii="Book Antiqua" w:hAnsi="Book Antiqua" w:cs="Arial"/>
          <w:color w:val="000000"/>
        </w:rPr>
        <w:t>.</w:t>
      </w:r>
      <w:r w:rsidR="00C07727">
        <w:rPr>
          <w:rFonts w:ascii="Book Antiqua" w:hAnsi="Book Antiqua" w:cs="Arial"/>
          <w:color w:val="000000"/>
        </w:rPr>
        <w:tab/>
      </w:r>
      <w:r w:rsidRPr="004C6CD0">
        <w:rPr>
          <w:rFonts w:ascii="Book Antiqua" w:hAnsi="Book Antiqua" w:cs="Arial"/>
          <w:color w:val="000000"/>
        </w:rPr>
        <w:t xml:space="preserve">The </w:t>
      </w:r>
      <w:r w:rsidR="004C6CD0" w:rsidRPr="004C6CD0">
        <w:rPr>
          <w:rFonts w:ascii="Book Antiqua" w:hAnsi="Book Antiqua" w:cs="Arial"/>
          <w:color w:val="000000"/>
        </w:rPr>
        <w:t>J</w:t>
      </w:r>
      <w:r w:rsidRPr="004C6CD0">
        <w:rPr>
          <w:rFonts w:ascii="Book Antiqua" w:hAnsi="Book Antiqua" w:cs="Arial"/>
          <w:color w:val="000000"/>
        </w:rPr>
        <w:t>udge</w:t>
      </w:r>
      <w:r w:rsidR="004C6CD0" w:rsidRPr="004C6CD0">
        <w:rPr>
          <w:rFonts w:ascii="Book Antiqua" w:hAnsi="Book Antiqua" w:cs="Arial"/>
          <w:color w:val="000000"/>
        </w:rPr>
        <w:t>’</w:t>
      </w:r>
      <w:r w:rsidRPr="004C6CD0">
        <w:rPr>
          <w:rFonts w:ascii="Book Antiqua" w:hAnsi="Book Antiqua" w:cs="Arial"/>
          <w:color w:val="000000"/>
        </w:rPr>
        <w:t>s decision contains a material error of law. I set it aside. I am however able to substitute my own decision.</w:t>
      </w:r>
    </w:p>
    <w:p w:rsidR="005327A3" w:rsidRPr="004C6CD0" w:rsidRDefault="004662F0" w:rsidP="00C07727">
      <w:pPr>
        <w:tabs>
          <w:tab w:val="left" w:pos="567"/>
        </w:tabs>
        <w:spacing w:before="240"/>
        <w:jc w:val="both"/>
        <w:rPr>
          <w:rFonts w:ascii="Book Antiqua" w:hAnsi="Book Antiqua" w:cs="Arial"/>
          <w:color w:val="000000"/>
        </w:rPr>
      </w:pPr>
      <w:r w:rsidRPr="004C6CD0">
        <w:rPr>
          <w:rFonts w:ascii="Book Antiqua" w:hAnsi="Book Antiqua" w:cs="Arial"/>
          <w:color w:val="000000"/>
        </w:rPr>
        <w:t>1</w:t>
      </w:r>
      <w:r w:rsidR="00C07727">
        <w:rPr>
          <w:rFonts w:ascii="Book Antiqua" w:hAnsi="Book Antiqua" w:cs="Arial"/>
          <w:color w:val="000000"/>
        </w:rPr>
        <w:t>1</w:t>
      </w:r>
      <w:r w:rsidRPr="004C6CD0">
        <w:rPr>
          <w:rFonts w:ascii="Book Antiqua" w:hAnsi="Book Antiqua" w:cs="Arial"/>
          <w:color w:val="000000"/>
        </w:rPr>
        <w:t>.</w:t>
      </w:r>
      <w:r w:rsidR="00C07727">
        <w:rPr>
          <w:rFonts w:ascii="Book Antiqua" w:hAnsi="Book Antiqua" w:cs="Arial"/>
          <w:color w:val="000000"/>
        </w:rPr>
        <w:tab/>
      </w:r>
      <w:r w:rsidR="005327A3" w:rsidRPr="004C6CD0">
        <w:rPr>
          <w:rFonts w:ascii="Book Antiqua" w:hAnsi="Book Antiqua" w:cs="Arial"/>
          <w:color w:val="000000"/>
        </w:rPr>
        <w:t xml:space="preserve">The appellant entered the UK to 17 October 2014 as the spouse of a British citizen with leave to remain until 15 June 2017. On 15 June 2017 the appellant applied for further leave to remain as the wife of </w:t>
      </w:r>
      <w:r w:rsidR="004C6CD0" w:rsidRPr="004C6CD0">
        <w:rPr>
          <w:rFonts w:ascii="Book Antiqua" w:hAnsi="Book Antiqua" w:cs="Arial"/>
          <w:color w:val="000000"/>
        </w:rPr>
        <w:t>the same</w:t>
      </w:r>
      <w:r w:rsidR="005327A3" w:rsidRPr="004C6CD0">
        <w:rPr>
          <w:rFonts w:ascii="Book Antiqua" w:hAnsi="Book Antiqua" w:cs="Arial"/>
          <w:color w:val="000000"/>
        </w:rPr>
        <w:t xml:space="preserve"> British citizen. The respondent decided that the appellant meets the suitability requirements of appendix FM. The respondent accepts that the appellant now meets all of the eligibility requirements, but at the date of application the appellant could not produce an English language test </w:t>
      </w:r>
      <w:r w:rsidR="004C6CD0" w:rsidRPr="004C6CD0">
        <w:rPr>
          <w:rFonts w:ascii="Book Antiqua" w:hAnsi="Book Antiqua" w:cs="Arial"/>
          <w:color w:val="000000"/>
        </w:rPr>
        <w:t xml:space="preserve">certificate </w:t>
      </w:r>
      <w:r w:rsidR="005327A3" w:rsidRPr="004C6CD0">
        <w:rPr>
          <w:rFonts w:ascii="Book Antiqua" w:hAnsi="Book Antiqua" w:cs="Arial"/>
          <w:color w:val="000000"/>
        </w:rPr>
        <w:t>in speaking and listening at a minimum level A2.</w:t>
      </w:r>
    </w:p>
    <w:p w:rsidR="004662F0" w:rsidRPr="004C6CD0" w:rsidRDefault="005327A3" w:rsidP="00C07727">
      <w:pPr>
        <w:tabs>
          <w:tab w:val="left" w:pos="567"/>
        </w:tabs>
        <w:spacing w:before="240"/>
        <w:jc w:val="both"/>
        <w:rPr>
          <w:rFonts w:ascii="Book Antiqua" w:hAnsi="Book Antiqua" w:cs="Arial"/>
          <w:color w:val="000000"/>
        </w:rPr>
      </w:pPr>
      <w:r w:rsidRPr="004C6CD0">
        <w:rPr>
          <w:rFonts w:ascii="Book Antiqua" w:hAnsi="Book Antiqua" w:cs="Arial"/>
          <w:color w:val="000000"/>
        </w:rPr>
        <w:t>1</w:t>
      </w:r>
      <w:r w:rsidR="00C07727">
        <w:rPr>
          <w:rFonts w:ascii="Book Antiqua" w:hAnsi="Book Antiqua" w:cs="Arial"/>
          <w:color w:val="000000"/>
        </w:rPr>
        <w:t>2</w:t>
      </w:r>
      <w:r w:rsidRPr="004C6CD0">
        <w:rPr>
          <w:rFonts w:ascii="Book Antiqua" w:hAnsi="Book Antiqua" w:cs="Arial"/>
          <w:color w:val="000000"/>
        </w:rPr>
        <w:t>.</w:t>
      </w:r>
      <w:r w:rsidR="00C07727">
        <w:rPr>
          <w:rFonts w:ascii="Book Antiqua" w:hAnsi="Book Antiqua" w:cs="Arial"/>
          <w:color w:val="000000"/>
        </w:rPr>
        <w:tab/>
      </w:r>
      <w:r w:rsidR="004662F0" w:rsidRPr="004C6CD0">
        <w:rPr>
          <w:rFonts w:ascii="Book Antiqua" w:hAnsi="Book Antiqua" w:cs="Arial"/>
          <w:color w:val="000000"/>
        </w:rPr>
        <w:t>The focus in the appeal before me was firmly on the respondent’s decision to retain the appellant’s passport. The appellant has successfully passed an English language test. Parties agents agree that at today’s date the appellant meets the substantive requirements of appendix FM.</w:t>
      </w:r>
    </w:p>
    <w:p w:rsidR="005327A3" w:rsidRPr="004C6CD0" w:rsidRDefault="005327A3" w:rsidP="00C07727">
      <w:pPr>
        <w:tabs>
          <w:tab w:val="left" w:pos="567"/>
        </w:tabs>
        <w:spacing w:before="240"/>
        <w:jc w:val="both"/>
        <w:rPr>
          <w:rFonts w:ascii="Book Antiqua" w:hAnsi="Book Antiqua" w:cs="Arial"/>
          <w:color w:val="000000"/>
        </w:rPr>
      </w:pPr>
      <w:r w:rsidRPr="004C6CD0">
        <w:rPr>
          <w:rFonts w:ascii="Book Antiqua" w:hAnsi="Book Antiqua" w:cs="Arial"/>
          <w:color w:val="000000"/>
        </w:rPr>
        <w:t>1</w:t>
      </w:r>
      <w:r w:rsidR="00C07727">
        <w:rPr>
          <w:rFonts w:ascii="Book Antiqua" w:hAnsi="Book Antiqua" w:cs="Arial"/>
          <w:color w:val="000000"/>
        </w:rPr>
        <w:t>3</w:t>
      </w:r>
      <w:r w:rsidRPr="004C6CD0">
        <w:rPr>
          <w:rFonts w:ascii="Book Antiqua" w:hAnsi="Book Antiqua" w:cs="Arial"/>
          <w:color w:val="000000"/>
        </w:rPr>
        <w:t>.</w:t>
      </w:r>
      <w:r w:rsidR="00C07727">
        <w:rPr>
          <w:rFonts w:ascii="Book Antiqua" w:hAnsi="Book Antiqua" w:cs="Arial"/>
          <w:color w:val="000000"/>
        </w:rPr>
        <w:tab/>
      </w:r>
      <w:r w:rsidRPr="004C6CD0">
        <w:rPr>
          <w:rFonts w:ascii="Book Antiqua" w:hAnsi="Book Antiqua" w:cs="Arial"/>
          <w:color w:val="000000"/>
        </w:rPr>
        <w:t xml:space="preserve">The respondent accepts that the appellant is in a genuine and subsisting relationship with </w:t>
      </w:r>
      <w:r w:rsidR="004C6CD0" w:rsidRPr="004C6CD0">
        <w:rPr>
          <w:rFonts w:ascii="Book Antiqua" w:hAnsi="Book Antiqua" w:cs="Arial"/>
          <w:color w:val="000000"/>
        </w:rPr>
        <w:t>her</w:t>
      </w:r>
      <w:r w:rsidRPr="004C6CD0">
        <w:rPr>
          <w:rFonts w:ascii="Book Antiqua" w:hAnsi="Book Antiqua" w:cs="Arial"/>
          <w:color w:val="000000"/>
        </w:rPr>
        <w:t xml:space="preserve"> British citizen husband. Article 8 family life is therefore established. </w:t>
      </w:r>
    </w:p>
    <w:p w:rsidR="004C6CD0" w:rsidRPr="004C6CD0" w:rsidRDefault="004C6CD0" w:rsidP="00C07727">
      <w:pPr>
        <w:spacing w:before="240"/>
        <w:jc w:val="both"/>
        <w:rPr>
          <w:rFonts w:ascii="Book Antiqua" w:hAnsi="Book Antiqua" w:cs="Arial"/>
          <w:color w:val="000000"/>
        </w:rPr>
      </w:pPr>
    </w:p>
    <w:p w:rsidR="004C6CD0" w:rsidRPr="004C6CD0" w:rsidRDefault="004C6CD0" w:rsidP="00C07727">
      <w:pPr>
        <w:pStyle w:val="PlainText"/>
        <w:spacing w:before="240"/>
        <w:jc w:val="both"/>
        <w:rPr>
          <w:rFonts w:ascii="Book Antiqua" w:hAnsi="Book Antiqua" w:cs="Arial"/>
          <w:sz w:val="24"/>
          <w:szCs w:val="24"/>
          <w:u w:val="single"/>
        </w:rPr>
      </w:pPr>
      <w:r w:rsidRPr="004C6CD0">
        <w:rPr>
          <w:rFonts w:ascii="Book Antiqua" w:hAnsi="Book Antiqua" w:cs="Arial"/>
          <w:sz w:val="24"/>
          <w:szCs w:val="24"/>
          <w:u w:val="single"/>
        </w:rPr>
        <w:lastRenderedPageBreak/>
        <w:t>Article 8 ECHR</w:t>
      </w:r>
    </w:p>
    <w:p w:rsidR="004C6CD0" w:rsidRPr="004C6CD0" w:rsidRDefault="004C6CD0" w:rsidP="00C07727">
      <w:pPr>
        <w:tabs>
          <w:tab w:val="left" w:pos="567"/>
        </w:tabs>
        <w:spacing w:before="240"/>
        <w:jc w:val="both"/>
        <w:rPr>
          <w:rFonts w:ascii="Book Antiqua" w:hAnsi="Book Antiqua" w:cs="Arial"/>
        </w:rPr>
      </w:pPr>
      <w:r w:rsidRPr="004C6CD0">
        <w:rPr>
          <w:rFonts w:ascii="Book Antiqua" w:hAnsi="Book Antiqua" w:cs="Arial"/>
        </w:rPr>
        <w:t>1</w:t>
      </w:r>
      <w:r w:rsidR="00C07727">
        <w:rPr>
          <w:rFonts w:ascii="Book Antiqua" w:hAnsi="Book Antiqua" w:cs="Arial"/>
        </w:rPr>
        <w:t>4</w:t>
      </w:r>
      <w:r w:rsidRPr="004C6CD0">
        <w:rPr>
          <w:rFonts w:ascii="Book Antiqua" w:hAnsi="Book Antiqua" w:cs="Arial"/>
        </w:rPr>
        <w:t>.</w:t>
      </w:r>
      <w:r w:rsidR="00C07727">
        <w:rPr>
          <w:rFonts w:ascii="Book Antiqua" w:hAnsi="Book Antiqua" w:cs="Arial"/>
        </w:rPr>
        <w:tab/>
      </w:r>
      <w:r w:rsidRPr="004C6CD0">
        <w:rPr>
          <w:rFonts w:ascii="Book Antiqua" w:hAnsi="Book Antiqua" w:cs="Arial"/>
          <w:bCs/>
        </w:rPr>
        <w:t xml:space="preserve">In </w:t>
      </w:r>
      <w:r w:rsidR="00C07727">
        <w:rPr>
          <w:rFonts w:ascii="Book Antiqua" w:hAnsi="Book Antiqua" w:cs="Arial"/>
          <w:bCs/>
          <w:u w:val="single"/>
        </w:rPr>
        <w:t>Hesham Ali (Iraq)</w:t>
      </w:r>
      <w:r w:rsidRPr="004C6CD0">
        <w:rPr>
          <w:rFonts w:ascii="Book Antiqua" w:hAnsi="Book Antiqua" w:cs="Arial"/>
          <w:bCs/>
          <w:u w:val="single"/>
        </w:rPr>
        <w:t xml:space="preserve"> </w:t>
      </w:r>
      <w:r w:rsidRPr="004C6CD0">
        <w:rPr>
          <w:rFonts w:ascii="Book Antiqua" w:hAnsi="Book Antiqua" w:cs="Arial"/>
          <w:bCs/>
          <w:iCs/>
          <w:u w:val="single"/>
        </w:rPr>
        <w:t>v</w:t>
      </w:r>
      <w:r w:rsidRPr="004C6CD0">
        <w:rPr>
          <w:rFonts w:ascii="Book Antiqua" w:hAnsi="Book Antiqua" w:cs="Arial"/>
          <w:bCs/>
          <w:u w:val="single"/>
        </w:rPr>
        <w:t xml:space="preserve"> SSHD</w:t>
      </w:r>
      <w:r w:rsidRPr="004C6CD0">
        <w:rPr>
          <w:rFonts w:ascii="Book Antiqua" w:hAnsi="Book Antiqua" w:cs="Arial"/>
          <w:bCs/>
        </w:rPr>
        <w:t xml:space="preserve"> [2016] UKSC 60 it was made clear that (even in a deport case) the Rules are not a complete code. Lord Reed at paragraphs 47 to 50 endorsed the structured approach to proportionality (to be found in </w:t>
      </w:r>
      <w:proofErr w:type="spellStart"/>
      <w:r w:rsidRPr="004C6CD0">
        <w:rPr>
          <w:rFonts w:ascii="Book Antiqua" w:hAnsi="Book Antiqua" w:cs="Arial"/>
          <w:bCs/>
        </w:rPr>
        <w:t>Razgar</w:t>
      </w:r>
      <w:proofErr w:type="spellEnd"/>
      <w:r w:rsidRPr="004C6CD0">
        <w:rPr>
          <w:rFonts w:ascii="Book Antiqua" w:hAnsi="Book Antiqua" w:cs="Arial"/>
          <w:bCs/>
        </w:rPr>
        <w:t xml:space="preserve">) </w:t>
      </w:r>
      <w:r w:rsidRPr="004C6CD0">
        <w:rPr>
          <w:rFonts w:ascii="Book Antiqua" w:hAnsi="Book Antiqua" w:cs="Arial"/>
        </w:rPr>
        <w:t xml:space="preserve">and </w:t>
      </w:r>
      <w:proofErr w:type="gramStart"/>
      <w:r w:rsidRPr="004C6CD0">
        <w:rPr>
          <w:rFonts w:ascii="Book Antiqua" w:hAnsi="Book Antiqua" w:cs="Arial"/>
        </w:rPr>
        <w:t>said</w:t>
      </w:r>
      <w:proofErr w:type="gramEnd"/>
      <w:r w:rsidRPr="004C6CD0">
        <w:rPr>
          <w:rFonts w:ascii="Book Antiqua" w:hAnsi="Book Antiqua" w:cs="Arial"/>
        </w:rPr>
        <w:t xml:space="preserve"> </w:t>
      </w:r>
      <w:r w:rsidRPr="00743546">
        <w:rPr>
          <w:rFonts w:ascii="Book Antiqua" w:hAnsi="Book Antiqua" w:cs="Arial"/>
          <w:i/>
        </w:rPr>
        <w:t>"what has now become the established method of analysis can therefore continue to be followed…”</w:t>
      </w:r>
      <w:r w:rsidR="00C07727">
        <w:rPr>
          <w:rFonts w:ascii="Book Antiqua" w:hAnsi="Book Antiqua" w:cs="Arial"/>
        </w:rPr>
        <w:t>.</w:t>
      </w:r>
      <w:r w:rsidRPr="004C6CD0">
        <w:rPr>
          <w:rFonts w:ascii="Book Antiqua" w:hAnsi="Book Antiqua" w:cs="Arial"/>
          <w:bCs/>
        </w:rPr>
        <w:t xml:space="preserve"> In </w:t>
      </w:r>
      <w:proofErr w:type="spellStart"/>
      <w:r w:rsidRPr="004C6CD0">
        <w:rPr>
          <w:rFonts w:ascii="Book Antiqua" w:hAnsi="Book Antiqua" w:cs="Arial"/>
          <w:bCs/>
          <w:u w:val="single"/>
        </w:rPr>
        <w:t>Agyarko</w:t>
      </w:r>
      <w:proofErr w:type="spellEnd"/>
      <w:r w:rsidRPr="00C07727">
        <w:rPr>
          <w:rFonts w:ascii="Book Antiqua" w:hAnsi="Book Antiqua" w:cs="Arial"/>
          <w:bCs/>
        </w:rPr>
        <w:t xml:space="preserve"> </w:t>
      </w:r>
      <w:r w:rsidRPr="004C6CD0">
        <w:rPr>
          <w:rFonts w:ascii="Book Antiqua" w:hAnsi="Book Antiqua" w:cs="Arial"/>
          <w:bCs/>
        </w:rPr>
        <w:t>[2017] UKSC 11</w:t>
      </w:r>
      <w:r w:rsidRPr="004C6CD0">
        <w:rPr>
          <w:rFonts w:ascii="Book Antiqua" w:hAnsi="Book Antiqua" w:cs="Arial"/>
          <w:b/>
          <w:bCs/>
        </w:rPr>
        <w:t xml:space="preserve">, </w:t>
      </w:r>
      <w:r w:rsidRPr="004C6CD0">
        <w:rPr>
          <w:rFonts w:ascii="Book Antiqua" w:hAnsi="Book Antiqua" w:cs="Arial"/>
        </w:rPr>
        <w:t>Lord Reed (when explaining how a court or tribunal should consider whether a refusal of leave to remain was compatible with Article 8) made clear that the critical issue was generally whether, giving due weight to the strength of the public interest in removal, the article 8 claim was sufficiently strong to outweigh it.  There is no suggestion of any threshold to be overcome before proportionality can be fully considered.</w:t>
      </w:r>
    </w:p>
    <w:p w:rsidR="004C6CD0" w:rsidRPr="004C6CD0" w:rsidRDefault="004C6CD0" w:rsidP="00C07727">
      <w:pPr>
        <w:widowControl w:val="0"/>
        <w:tabs>
          <w:tab w:val="left" w:pos="567"/>
        </w:tabs>
        <w:spacing w:before="240"/>
        <w:jc w:val="both"/>
        <w:rPr>
          <w:rFonts w:ascii="Book Antiqua" w:hAnsi="Book Antiqua" w:cs="Arial"/>
        </w:rPr>
      </w:pPr>
      <w:r w:rsidRPr="004C6CD0">
        <w:rPr>
          <w:rFonts w:ascii="Book Antiqua" w:hAnsi="Book Antiqua" w:cs="Arial"/>
          <w:iCs/>
        </w:rPr>
        <w:t>1</w:t>
      </w:r>
      <w:r w:rsidR="00C07727">
        <w:rPr>
          <w:rFonts w:ascii="Book Antiqua" w:hAnsi="Book Antiqua" w:cs="Arial"/>
          <w:iCs/>
        </w:rPr>
        <w:t>5</w:t>
      </w:r>
      <w:r w:rsidRPr="004C6CD0">
        <w:rPr>
          <w:rFonts w:ascii="Book Antiqua" w:hAnsi="Book Antiqua" w:cs="Arial"/>
          <w:iCs/>
        </w:rPr>
        <w:t>.</w:t>
      </w:r>
      <w:r w:rsidR="00C07727">
        <w:rPr>
          <w:rFonts w:ascii="Book Antiqua" w:hAnsi="Book Antiqua" w:cs="Arial"/>
          <w:iCs/>
        </w:rPr>
        <w:tab/>
      </w:r>
      <w:r w:rsidRPr="004C6CD0">
        <w:rPr>
          <w:rFonts w:ascii="Book Antiqua" w:hAnsi="Book Antiqua" w:cs="Arial"/>
        </w:rPr>
        <w:t>I have to determine the following separate questions:</w:t>
      </w:r>
    </w:p>
    <w:p w:rsidR="004C6CD0" w:rsidRPr="004C6CD0" w:rsidRDefault="004C6CD0" w:rsidP="00C07727">
      <w:pPr>
        <w:tabs>
          <w:tab w:val="left" w:pos="1134"/>
        </w:tabs>
        <w:spacing w:before="120"/>
        <w:ind w:left="567"/>
        <w:jc w:val="both"/>
        <w:rPr>
          <w:rFonts w:ascii="Book Antiqua" w:hAnsi="Book Antiqua" w:cs="Arial"/>
          <w:lang w:val="en-US" w:eastAsia="en-US"/>
        </w:rPr>
      </w:pPr>
      <w:r w:rsidRPr="004C6CD0">
        <w:rPr>
          <w:rFonts w:ascii="Book Antiqua" w:hAnsi="Book Antiqua" w:cs="Arial"/>
          <w:lang w:val="en-US" w:eastAsia="en-US"/>
        </w:rPr>
        <w:t>(</w:t>
      </w:r>
      <w:proofErr w:type="spellStart"/>
      <w:r w:rsidRPr="004C6CD0">
        <w:rPr>
          <w:rFonts w:ascii="Book Antiqua" w:hAnsi="Book Antiqua" w:cs="Arial"/>
          <w:lang w:val="en-US" w:eastAsia="en-US"/>
        </w:rPr>
        <w:t>i</w:t>
      </w:r>
      <w:proofErr w:type="spellEnd"/>
      <w:r w:rsidRPr="004C6CD0">
        <w:rPr>
          <w:rFonts w:ascii="Book Antiqua" w:hAnsi="Book Antiqua" w:cs="Arial"/>
          <w:lang w:val="en-US" w:eastAsia="en-US"/>
        </w:rPr>
        <w:t>)</w:t>
      </w:r>
      <w:r w:rsidR="00C07727">
        <w:rPr>
          <w:rFonts w:ascii="Book Antiqua" w:hAnsi="Book Antiqua" w:cs="Arial"/>
          <w:lang w:val="en-US" w:eastAsia="en-US"/>
        </w:rPr>
        <w:tab/>
      </w:r>
      <w:r w:rsidRPr="004C6CD0">
        <w:rPr>
          <w:rFonts w:ascii="Book Antiqua" w:hAnsi="Book Antiqua" w:cs="Arial"/>
          <w:lang w:val="en-US" w:eastAsia="en-US"/>
        </w:rPr>
        <w:t xml:space="preserve">Does family life, private life, home or correspondence exist within the meaning of Article 8  </w:t>
      </w:r>
    </w:p>
    <w:p w:rsidR="004C6CD0" w:rsidRPr="004C6CD0" w:rsidRDefault="004C6CD0" w:rsidP="00C07727">
      <w:pPr>
        <w:tabs>
          <w:tab w:val="left" w:pos="1134"/>
        </w:tabs>
        <w:spacing w:before="120"/>
        <w:ind w:left="567"/>
        <w:jc w:val="both"/>
        <w:rPr>
          <w:rFonts w:ascii="Book Antiqua" w:hAnsi="Book Antiqua" w:cs="Arial"/>
          <w:lang w:val="en-US" w:eastAsia="en-US"/>
        </w:rPr>
      </w:pPr>
      <w:r w:rsidRPr="004C6CD0">
        <w:rPr>
          <w:rFonts w:ascii="Book Antiqua" w:hAnsi="Book Antiqua" w:cs="Arial"/>
          <w:lang w:val="en-US" w:eastAsia="en-US"/>
        </w:rPr>
        <w:t>(ii)</w:t>
      </w:r>
      <w:r w:rsidR="00C07727">
        <w:rPr>
          <w:rFonts w:ascii="Book Antiqua" w:hAnsi="Book Antiqua" w:cs="Arial"/>
          <w:lang w:val="en-US" w:eastAsia="en-US"/>
        </w:rPr>
        <w:tab/>
      </w:r>
      <w:r w:rsidRPr="004C6CD0">
        <w:rPr>
          <w:rFonts w:ascii="Book Antiqua" w:hAnsi="Book Antiqua" w:cs="Arial"/>
          <w:lang w:val="en-US" w:eastAsia="en-US"/>
        </w:rPr>
        <w:t xml:space="preserve">If so, has the right to respect for this been interfered with  </w:t>
      </w:r>
    </w:p>
    <w:p w:rsidR="004C6CD0" w:rsidRPr="004C6CD0" w:rsidRDefault="004C6CD0" w:rsidP="00C07727">
      <w:pPr>
        <w:tabs>
          <w:tab w:val="left" w:pos="1134"/>
        </w:tabs>
        <w:spacing w:before="120"/>
        <w:ind w:left="567"/>
        <w:jc w:val="both"/>
        <w:rPr>
          <w:rFonts w:ascii="Book Antiqua" w:hAnsi="Book Antiqua" w:cs="Arial"/>
          <w:lang w:val="en-US" w:eastAsia="en-US"/>
        </w:rPr>
      </w:pPr>
      <w:r w:rsidRPr="004C6CD0">
        <w:rPr>
          <w:rFonts w:ascii="Book Antiqua" w:hAnsi="Book Antiqua" w:cs="Arial"/>
          <w:lang w:val="en-US" w:eastAsia="en-US"/>
        </w:rPr>
        <w:t>(iii)</w:t>
      </w:r>
      <w:r w:rsidR="00C07727">
        <w:rPr>
          <w:rFonts w:ascii="Book Antiqua" w:hAnsi="Book Antiqua" w:cs="Arial"/>
          <w:lang w:val="en-US" w:eastAsia="en-US"/>
        </w:rPr>
        <w:tab/>
      </w:r>
      <w:r w:rsidRPr="004C6CD0">
        <w:rPr>
          <w:rFonts w:ascii="Book Antiqua" w:hAnsi="Book Antiqua" w:cs="Arial"/>
          <w:lang w:val="en-US" w:eastAsia="en-US"/>
        </w:rPr>
        <w:t xml:space="preserve">If so, was the interference in accordance with the law  </w:t>
      </w:r>
    </w:p>
    <w:p w:rsidR="004C6CD0" w:rsidRPr="004C6CD0" w:rsidRDefault="004C6CD0" w:rsidP="00C07727">
      <w:pPr>
        <w:tabs>
          <w:tab w:val="left" w:pos="1134"/>
        </w:tabs>
        <w:spacing w:before="120"/>
        <w:ind w:left="567"/>
        <w:jc w:val="both"/>
        <w:rPr>
          <w:rFonts w:ascii="Book Antiqua" w:hAnsi="Book Antiqua" w:cs="Arial"/>
          <w:lang w:val="en-US" w:eastAsia="en-US"/>
        </w:rPr>
      </w:pPr>
      <w:r w:rsidRPr="004C6CD0">
        <w:rPr>
          <w:rFonts w:ascii="Book Antiqua" w:hAnsi="Book Antiqua" w:cs="Arial"/>
          <w:lang w:val="en-US" w:eastAsia="en-US"/>
        </w:rPr>
        <w:t>(iv)</w:t>
      </w:r>
      <w:r w:rsidR="00C07727">
        <w:rPr>
          <w:rFonts w:ascii="Book Antiqua" w:hAnsi="Book Antiqua" w:cs="Arial"/>
          <w:lang w:val="en-US" w:eastAsia="en-US"/>
        </w:rPr>
        <w:tab/>
      </w:r>
      <w:r w:rsidRPr="004C6CD0">
        <w:rPr>
          <w:rFonts w:ascii="Book Antiqua" w:hAnsi="Book Antiqua" w:cs="Arial"/>
          <w:lang w:val="en-US" w:eastAsia="en-US"/>
        </w:rPr>
        <w:t xml:space="preserve">If so, was the interference in pursuit of one of the legitimate aims set out in Article 8(2); and </w:t>
      </w:r>
    </w:p>
    <w:p w:rsidR="004C6CD0" w:rsidRPr="004C6CD0" w:rsidRDefault="004C6CD0" w:rsidP="00C07727">
      <w:pPr>
        <w:tabs>
          <w:tab w:val="left" w:pos="1134"/>
        </w:tabs>
        <w:spacing w:before="120"/>
        <w:ind w:left="567"/>
        <w:jc w:val="both"/>
        <w:rPr>
          <w:rFonts w:ascii="Book Antiqua" w:hAnsi="Book Antiqua" w:cs="Arial"/>
          <w:lang w:val="en-US" w:eastAsia="en-US"/>
        </w:rPr>
      </w:pPr>
      <w:r w:rsidRPr="004C6CD0">
        <w:rPr>
          <w:rFonts w:ascii="Book Antiqua" w:hAnsi="Book Antiqua" w:cs="Arial"/>
          <w:lang w:val="en-US" w:eastAsia="en-US"/>
        </w:rPr>
        <w:t>(v)</w:t>
      </w:r>
      <w:r w:rsidR="00C07727">
        <w:rPr>
          <w:rFonts w:ascii="Book Antiqua" w:hAnsi="Book Antiqua" w:cs="Arial"/>
          <w:lang w:val="en-US" w:eastAsia="en-US"/>
        </w:rPr>
        <w:tab/>
      </w:r>
      <w:r w:rsidRPr="004C6CD0">
        <w:rPr>
          <w:rFonts w:ascii="Book Antiqua" w:hAnsi="Book Antiqua" w:cs="Arial"/>
          <w:lang w:val="en-US" w:eastAsia="en-US"/>
        </w:rPr>
        <w:t>If so, is the interference proportionate to the pursuit of the le</w:t>
      </w:r>
      <w:r w:rsidR="00C07727">
        <w:rPr>
          <w:rFonts w:ascii="Book Antiqua" w:hAnsi="Book Antiqua" w:cs="Arial"/>
          <w:lang w:val="en-US" w:eastAsia="en-US"/>
        </w:rPr>
        <w:t>gitimate aim?</w:t>
      </w:r>
    </w:p>
    <w:p w:rsidR="004C6CD0" w:rsidRPr="004C6CD0" w:rsidRDefault="004C6CD0" w:rsidP="00C07727">
      <w:pPr>
        <w:tabs>
          <w:tab w:val="left" w:pos="567"/>
        </w:tabs>
        <w:spacing w:before="240"/>
        <w:jc w:val="both"/>
        <w:rPr>
          <w:rFonts w:ascii="Book Antiqua" w:hAnsi="Book Antiqua" w:cs="Arial"/>
          <w:kern w:val="28"/>
          <w:lang w:eastAsia="en-US"/>
        </w:rPr>
      </w:pPr>
      <w:r w:rsidRPr="004C6CD0">
        <w:rPr>
          <w:rFonts w:ascii="Book Antiqua" w:hAnsi="Book Antiqua" w:cs="Arial"/>
          <w:lang w:val="en-US" w:eastAsia="en-US"/>
        </w:rPr>
        <w:t>1</w:t>
      </w:r>
      <w:r w:rsidR="00C07727">
        <w:rPr>
          <w:rFonts w:ascii="Book Antiqua" w:hAnsi="Book Antiqua" w:cs="Arial"/>
          <w:lang w:val="en-US" w:eastAsia="en-US"/>
        </w:rPr>
        <w:t>6</w:t>
      </w:r>
      <w:r w:rsidRPr="004C6CD0">
        <w:rPr>
          <w:rFonts w:ascii="Book Antiqua" w:hAnsi="Book Antiqua" w:cs="Arial"/>
          <w:lang w:val="en-US" w:eastAsia="en-US"/>
        </w:rPr>
        <w:t>.</w:t>
      </w:r>
      <w:r w:rsidR="00C07727">
        <w:rPr>
          <w:rFonts w:ascii="Book Antiqua" w:hAnsi="Book Antiqua" w:cs="Arial"/>
          <w:lang w:val="en-US" w:eastAsia="en-US"/>
        </w:rPr>
        <w:tab/>
      </w:r>
      <w:r w:rsidRPr="004C6CD0">
        <w:rPr>
          <w:rFonts w:ascii="Book Antiqua" w:hAnsi="Book Antiqua" w:cs="Arial"/>
          <w:lang w:val="en-US" w:eastAsia="en-US"/>
        </w:rPr>
        <w:t xml:space="preserve">Section 117B of the 2002 Act tells me that immigration control is in the public interest. </w:t>
      </w:r>
      <w:r w:rsidRPr="004C6CD0">
        <w:rPr>
          <w:rFonts w:ascii="Book Antiqua" w:hAnsi="Book Antiqua" w:cs="Arial"/>
          <w:bCs/>
          <w:color w:val="000000"/>
        </w:rPr>
        <w:t>In</w:t>
      </w:r>
      <w:r w:rsidRPr="004C6CD0">
        <w:rPr>
          <w:rFonts w:ascii="Book Antiqua" w:hAnsi="Book Antiqua" w:cs="Arial"/>
          <w:b/>
          <w:bCs/>
          <w:color w:val="000000"/>
        </w:rPr>
        <w:t xml:space="preserve"> </w:t>
      </w:r>
      <w:r w:rsidRPr="004C6CD0">
        <w:rPr>
          <w:rFonts w:ascii="Book Antiqua" w:hAnsi="Book Antiqua" w:cs="Arial"/>
          <w:color w:val="000000"/>
          <w:u w:val="single"/>
        </w:rPr>
        <w:t>AM (S 117B) Malawi</w:t>
      </w:r>
      <w:r w:rsidRPr="00C07727">
        <w:rPr>
          <w:rFonts w:ascii="Book Antiqua" w:hAnsi="Book Antiqua" w:cs="Arial"/>
          <w:color w:val="000000"/>
        </w:rPr>
        <w:t xml:space="preserve"> </w:t>
      </w:r>
      <w:r w:rsidRPr="004C6CD0">
        <w:rPr>
          <w:rFonts w:ascii="Book Antiqua" w:hAnsi="Book Antiqua" w:cs="Arial"/>
          <w:color w:val="000000"/>
        </w:rPr>
        <w:t xml:space="preserve">[2015] UKUT 260 (IAC) </w:t>
      </w:r>
      <w:r w:rsidRPr="004C6CD0">
        <w:rPr>
          <w:rFonts w:ascii="Book Antiqua" w:hAnsi="Book Antiqua" w:cs="Arial"/>
        </w:rPr>
        <w:t>the Tribunal held that</w:t>
      </w:r>
      <w:r w:rsidRPr="004C6CD0">
        <w:rPr>
          <w:rFonts w:ascii="Book Antiqua" w:hAnsi="Book Antiqua" w:cs="Arial"/>
          <w:iCs/>
        </w:rPr>
        <w:t xml:space="preserve"> an appellant can obtain no positive right to a grant of leave to remain from either s117B (2) or (3), whatever the degree of his fluency in English, or the strength of his financial resources.</w:t>
      </w:r>
      <w:r w:rsidRPr="004C6CD0">
        <w:rPr>
          <w:rFonts w:ascii="Book Antiqua" w:hAnsi="Book Antiqua" w:cs="Arial"/>
        </w:rPr>
        <w:t xml:space="preserve"> </w:t>
      </w:r>
      <w:r w:rsidRPr="004C6CD0">
        <w:rPr>
          <w:rFonts w:ascii="Book Antiqua" w:hAnsi="Book Antiqua" w:cs="Arial"/>
          <w:bCs/>
        </w:rPr>
        <w:t xml:space="preserve">In </w:t>
      </w:r>
      <w:hyperlink r:id="rId9" w:tooltip="https://tribunalsdecisions.service.gov.uk/utiac/2015-ukut-412" w:history="1">
        <w:r w:rsidRPr="004C6CD0">
          <w:rPr>
            <w:rStyle w:val="Hyperlink"/>
            <w:rFonts w:ascii="Book Antiqua" w:hAnsi="Book Antiqua" w:cs="Arial"/>
            <w:bCs/>
            <w:color w:val="auto"/>
          </w:rPr>
          <w:t>Forman (ss 117A-C considerations)</w:t>
        </w:r>
        <w:r w:rsidRPr="004C6CD0">
          <w:rPr>
            <w:rStyle w:val="Hyperlink"/>
            <w:rFonts w:ascii="Book Antiqua" w:hAnsi="Book Antiqua" w:cs="Arial"/>
            <w:bCs/>
            <w:color w:val="auto"/>
            <w:u w:val="none"/>
          </w:rPr>
          <w:t xml:space="preserve"> [2015] UKUT 00412 (IAC)</w:t>
        </w:r>
      </w:hyperlink>
      <w:r w:rsidRPr="004C6CD0">
        <w:rPr>
          <w:rFonts w:ascii="Book Antiqua" w:hAnsi="Book Antiqua" w:cs="Arial"/>
          <w:bCs/>
        </w:rPr>
        <w:t xml:space="preserve"> it was held that the</w:t>
      </w:r>
      <w:r w:rsidRPr="004C6CD0">
        <w:rPr>
          <w:rFonts w:ascii="Book Antiqua" w:hAnsi="Book Antiqua" w:cs="Arial"/>
        </w:rPr>
        <w:t xml:space="preserve"> public interest in firm immigration control is not diluted by the consideration that a person pursuing a claim under Article 8 ECHR has at no </w:t>
      </w:r>
      <w:r w:rsidRPr="004C6CD0">
        <w:rPr>
          <w:rFonts w:ascii="Book Antiqua" w:hAnsi="Book Antiqua" w:cs="Arial"/>
          <w:kern w:val="28"/>
          <w:lang w:eastAsia="en-US"/>
        </w:rPr>
        <w:t xml:space="preserve">time been a financial burden on the state or is self-sufficient or is likely to remain so indefinitely.  The significance of these factors is that where they are not present the public interest is fortified.  </w:t>
      </w:r>
    </w:p>
    <w:p w:rsidR="005327A3" w:rsidRPr="004C6CD0" w:rsidRDefault="005327A3" w:rsidP="00C07727">
      <w:pPr>
        <w:pStyle w:val="PlainText"/>
        <w:tabs>
          <w:tab w:val="left" w:pos="567"/>
        </w:tabs>
        <w:spacing w:before="240"/>
        <w:jc w:val="both"/>
        <w:rPr>
          <w:rFonts w:ascii="Book Antiqua" w:hAnsi="Book Antiqua" w:cs="Arial"/>
          <w:sz w:val="24"/>
          <w:szCs w:val="24"/>
        </w:rPr>
      </w:pPr>
      <w:r w:rsidRPr="004C6CD0">
        <w:rPr>
          <w:rFonts w:ascii="Book Antiqua" w:hAnsi="Book Antiqua" w:cs="Arial"/>
          <w:color w:val="000000"/>
          <w:sz w:val="24"/>
          <w:szCs w:val="24"/>
        </w:rPr>
        <w:t>1</w:t>
      </w:r>
      <w:r w:rsidR="00C07727">
        <w:rPr>
          <w:rFonts w:ascii="Book Antiqua" w:hAnsi="Book Antiqua" w:cs="Arial"/>
          <w:color w:val="000000"/>
          <w:sz w:val="24"/>
          <w:szCs w:val="24"/>
        </w:rPr>
        <w:t>7</w:t>
      </w:r>
      <w:r w:rsidRPr="004C6CD0">
        <w:rPr>
          <w:rFonts w:ascii="Book Antiqua" w:hAnsi="Book Antiqua" w:cs="Arial"/>
          <w:color w:val="000000"/>
          <w:sz w:val="24"/>
          <w:szCs w:val="24"/>
        </w:rPr>
        <w:t>.</w:t>
      </w:r>
      <w:r w:rsidR="00C07727">
        <w:rPr>
          <w:rFonts w:ascii="Book Antiqua" w:hAnsi="Book Antiqua" w:cs="Arial"/>
          <w:color w:val="000000"/>
          <w:sz w:val="24"/>
          <w:szCs w:val="24"/>
        </w:rPr>
        <w:tab/>
      </w:r>
      <w:r w:rsidRPr="004C6CD0">
        <w:rPr>
          <w:rFonts w:ascii="Book Antiqua" w:hAnsi="Book Antiqua" w:cs="Arial"/>
          <w:sz w:val="24"/>
          <w:szCs w:val="24"/>
        </w:rPr>
        <w:t>The fact that the appellant can meet the requirements of the immigration rules, &amp; that the appellant’s ability of the English language exceeds what is required by the immigration rules, both indicate that the public in interest in immigration control does not carry greater weight than the appellant’s article 8 family life.</w:t>
      </w:r>
    </w:p>
    <w:p w:rsidR="005327A3" w:rsidRPr="004C6CD0" w:rsidRDefault="005327A3" w:rsidP="00C07727">
      <w:pPr>
        <w:pStyle w:val="PlainText"/>
        <w:tabs>
          <w:tab w:val="left" w:pos="567"/>
        </w:tabs>
        <w:spacing w:before="240"/>
        <w:jc w:val="both"/>
        <w:rPr>
          <w:rFonts w:ascii="Book Antiqua" w:hAnsi="Book Antiqua" w:cs="Arial"/>
          <w:sz w:val="24"/>
          <w:szCs w:val="24"/>
        </w:rPr>
      </w:pPr>
      <w:r w:rsidRPr="004C6CD0">
        <w:rPr>
          <w:rFonts w:ascii="Book Antiqua" w:hAnsi="Book Antiqua" w:cs="Arial"/>
          <w:sz w:val="24"/>
          <w:szCs w:val="24"/>
        </w:rPr>
        <w:t>1</w:t>
      </w:r>
      <w:r w:rsidR="00C07727">
        <w:rPr>
          <w:rFonts w:ascii="Book Antiqua" w:hAnsi="Book Antiqua" w:cs="Arial"/>
          <w:sz w:val="24"/>
          <w:szCs w:val="24"/>
        </w:rPr>
        <w:t>8</w:t>
      </w:r>
      <w:r w:rsidRPr="004C6CD0">
        <w:rPr>
          <w:rFonts w:ascii="Book Antiqua" w:hAnsi="Book Antiqua" w:cs="Arial"/>
          <w:sz w:val="24"/>
          <w:szCs w:val="24"/>
        </w:rPr>
        <w:t>.</w:t>
      </w:r>
      <w:r w:rsidR="00C07727">
        <w:rPr>
          <w:rFonts w:ascii="Book Antiqua" w:hAnsi="Book Antiqua" w:cs="Arial"/>
          <w:sz w:val="24"/>
          <w:szCs w:val="24"/>
        </w:rPr>
        <w:tab/>
      </w:r>
      <w:r w:rsidRPr="004C6CD0">
        <w:rPr>
          <w:rFonts w:ascii="Book Antiqua" w:hAnsi="Book Antiqua" w:cs="Arial"/>
          <w:sz w:val="24"/>
          <w:szCs w:val="24"/>
        </w:rPr>
        <w:t xml:space="preserve">The respondent says that the immigration rules are a complete code governing the proportionality exercise. Applying the respondent’s own code, the appellant meets the requirements, so that the public interest in immigration control is satisfied and the appellants exclusion is not necessary, </w:t>
      </w:r>
    </w:p>
    <w:p w:rsidR="005327A3" w:rsidRPr="004C6CD0" w:rsidRDefault="00C07727" w:rsidP="00C07727">
      <w:pPr>
        <w:pStyle w:val="PlainText"/>
        <w:tabs>
          <w:tab w:val="left" w:pos="567"/>
        </w:tabs>
        <w:spacing w:before="240"/>
        <w:jc w:val="both"/>
        <w:rPr>
          <w:rFonts w:ascii="Book Antiqua" w:hAnsi="Book Antiqua" w:cs="Arial"/>
          <w:sz w:val="24"/>
          <w:szCs w:val="24"/>
        </w:rPr>
      </w:pPr>
      <w:r>
        <w:rPr>
          <w:rFonts w:ascii="Book Antiqua" w:hAnsi="Book Antiqua" w:cs="Arial"/>
          <w:sz w:val="24"/>
          <w:szCs w:val="24"/>
        </w:rPr>
        <w:t>19.</w:t>
      </w:r>
      <w:r>
        <w:rPr>
          <w:rFonts w:ascii="Book Antiqua" w:hAnsi="Book Antiqua" w:cs="Arial"/>
          <w:sz w:val="24"/>
          <w:szCs w:val="24"/>
        </w:rPr>
        <w:tab/>
      </w:r>
      <w:r w:rsidR="005327A3" w:rsidRPr="004C6CD0">
        <w:rPr>
          <w:rFonts w:ascii="Book Antiqua" w:hAnsi="Book Antiqua" w:cs="Arial"/>
          <w:sz w:val="24"/>
          <w:szCs w:val="24"/>
        </w:rPr>
        <w:t xml:space="preserve">On the facts as I find them to be, the appellant’s ability in the English language exceeds the level required by the immigration rules (The appellant produces an </w:t>
      </w:r>
      <w:r w:rsidR="005327A3" w:rsidRPr="004C6CD0">
        <w:rPr>
          <w:rFonts w:ascii="Book Antiqua" w:hAnsi="Book Antiqua" w:cs="Arial"/>
          <w:sz w:val="24"/>
          <w:szCs w:val="24"/>
        </w:rPr>
        <w:lastRenderedPageBreak/>
        <w:t>English Language certificate at level B1). The difference between the appellant and the respondent is so narrow that the respondent’s decision is rigid and harsh. As it is a harsh decision turning on a technical point, and as the appellant meets the substantive requirements of the immigration rules. The respondent’s decision must be a disproportionate interference with article 8 family life (which the respondent accepts exists)</w:t>
      </w:r>
    </w:p>
    <w:p w:rsidR="005327A3" w:rsidRPr="004C6CD0" w:rsidRDefault="005327A3" w:rsidP="00C07727">
      <w:pPr>
        <w:tabs>
          <w:tab w:val="left" w:pos="567"/>
        </w:tabs>
        <w:spacing w:before="240"/>
        <w:jc w:val="both"/>
        <w:rPr>
          <w:rFonts w:ascii="Book Antiqua" w:hAnsi="Book Antiqua" w:cs="Arial"/>
          <w:iCs/>
        </w:rPr>
      </w:pPr>
      <w:r w:rsidRPr="004C6CD0">
        <w:rPr>
          <w:rFonts w:ascii="Book Antiqua" w:hAnsi="Book Antiqua" w:cs="Arial"/>
        </w:rPr>
        <w:t>2</w:t>
      </w:r>
      <w:r w:rsidR="00C07727">
        <w:rPr>
          <w:rFonts w:ascii="Book Antiqua" w:hAnsi="Book Antiqua" w:cs="Arial"/>
        </w:rPr>
        <w:t>0</w:t>
      </w:r>
      <w:r w:rsidRPr="004C6CD0">
        <w:rPr>
          <w:rFonts w:ascii="Book Antiqua" w:hAnsi="Book Antiqua" w:cs="Arial"/>
          <w:color w:val="000000"/>
        </w:rPr>
        <w:t>.</w:t>
      </w:r>
      <w:r w:rsidR="00C07727">
        <w:rPr>
          <w:rFonts w:ascii="Book Antiqua" w:hAnsi="Book Antiqua" w:cs="Arial"/>
          <w:color w:val="000000"/>
        </w:rPr>
        <w:tab/>
      </w:r>
      <w:r w:rsidRPr="004C6CD0">
        <w:rPr>
          <w:rFonts w:ascii="Book Antiqua" w:hAnsi="Book Antiqua" w:cs="Arial"/>
          <w:color w:val="000000"/>
        </w:rPr>
        <w:t xml:space="preserve">In </w:t>
      </w:r>
      <w:r w:rsidRPr="004C6CD0">
        <w:rPr>
          <w:rFonts w:ascii="Book Antiqua" w:hAnsi="Book Antiqua" w:cs="Arial"/>
          <w:color w:val="000000"/>
          <w:u w:val="single"/>
        </w:rPr>
        <w:t>Mostafa (Article 8 in entry clearance</w:t>
      </w:r>
      <w:r w:rsidRPr="00C07727">
        <w:rPr>
          <w:rFonts w:ascii="Book Antiqua" w:hAnsi="Book Antiqua" w:cs="Arial"/>
          <w:color w:val="000000"/>
          <w:u w:val="single"/>
        </w:rPr>
        <w:t>)</w:t>
      </w:r>
      <w:r w:rsidRPr="004C6CD0">
        <w:rPr>
          <w:rFonts w:ascii="Book Antiqua" w:hAnsi="Book Antiqua" w:cs="Arial"/>
          <w:color w:val="000000"/>
        </w:rPr>
        <w:t xml:space="preserve"> [2015] UKUT 112 (IAC) t</w:t>
      </w:r>
      <w:r w:rsidRPr="004C6CD0">
        <w:rPr>
          <w:rFonts w:ascii="Book Antiqua" w:hAnsi="Book Antiqua" w:cs="Arial"/>
        </w:rPr>
        <w:t>he Tribunal held that</w:t>
      </w:r>
      <w:r w:rsidRPr="004C6CD0">
        <w:rPr>
          <w:rFonts w:ascii="Book Antiqua" w:hAnsi="Book Antiqua" w:cs="Arial"/>
          <w:iCs/>
        </w:rPr>
        <w:t xml:space="preserve"> the claimant’s ability to satisfy the Immigration Rules is not the question to be determined by the Tribunal, but is capable of being a weighty, though not determinative, factor when deciding whether such refusal is proportionate to the legitimate aim of enforcing immigration control. </w:t>
      </w:r>
    </w:p>
    <w:p w:rsidR="005327A3" w:rsidRPr="004C6CD0" w:rsidRDefault="005327A3" w:rsidP="00C07727">
      <w:pPr>
        <w:tabs>
          <w:tab w:val="left" w:pos="567"/>
        </w:tabs>
        <w:spacing w:before="240"/>
        <w:jc w:val="both"/>
        <w:rPr>
          <w:rFonts w:ascii="Book Antiqua" w:hAnsi="Book Antiqua" w:cs="Arial"/>
          <w:color w:val="000000"/>
        </w:rPr>
      </w:pPr>
      <w:r w:rsidRPr="004C6CD0">
        <w:rPr>
          <w:rFonts w:ascii="Book Antiqua" w:hAnsi="Book Antiqua" w:cs="Arial"/>
          <w:kern w:val="28"/>
          <w:lang w:eastAsia="en-US"/>
        </w:rPr>
        <w:t>2</w:t>
      </w:r>
      <w:r w:rsidR="00C07727">
        <w:rPr>
          <w:rFonts w:ascii="Book Antiqua" w:hAnsi="Book Antiqua" w:cs="Arial"/>
          <w:kern w:val="28"/>
          <w:lang w:eastAsia="en-US"/>
        </w:rPr>
        <w:t>1</w:t>
      </w:r>
      <w:r w:rsidRPr="004C6CD0">
        <w:rPr>
          <w:rFonts w:ascii="Book Antiqua" w:hAnsi="Book Antiqua" w:cs="Arial"/>
          <w:kern w:val="28"/>
          <w:lang w:eastAsia="en-US"/>
        </w:rPr>
        <w:t>.</w:t>
      </w:r>
      <w:r w:rsidR="00C07727">
        <w:rPr>
          <w:rFonts w:ascii="Book Antiqua" w:hAnsi="Book Antiqua" w:cs="Arial"/>
          <w:kern w:val="28"/>
          <w:lang w:eastAsia="en-US"/>
        </w:rPr>
        <w:tab/>
      </w:r>
      <w:r w:rsidR="004C6CD0" w:rsidRPr="004C6CD0">
        <w:rPr>
          <w:rFonts w:ascii="Book Antiqua" w:hAnsi="Book Antiqua" w:cs="Arial"/>
          <w:kern w:val="28"/>
          <w:lang w:eastAsia="en-US"/>
        </w:rPr>
        <w:t>T</w:t>
      </w:r>
      <w:r w:rsidRPr="004C6CD0">
        <w:rPr>
          <w:rFonts w:ascii="Book Antiqua" w:hAnsi="Book Antiqua" w:cs="Arial"/>
          <w:kern w:val="28"/>
          <w:lang w:eastAsia="en-US"/>
        </w:rPr>
        <w:t>his appeal succeeds on article 8 ECHR (family life) grounds.</w:t>
      </w:r>
    </w:p>
    <w:p w:rsidR="004C6CD0" w:rsidRPr="00187CFE" w:rsidRDefault="004C6CD0" w:rsidP="00C07727">
      <w:pPr>
        <w:spacing w:before="240"/>
        <w:jc w:val="both"/>
        <w:rPr>
          <w:rFonts w:ascii="Book Antiqua" w:hAnsi="Book Antiqua" w:cs="Arial"/>
          <w:color w:val="000000"/>
          <w:u w:val="single"/>
        </w:rPr>
      </w:pPr>
      <w:r>
        <w:rPr>
          <w:rFonts w:ascii="Book Antiqua" w:hAnsi="Book Antiqua" w:cs="Arial"/>
          <w:color w:val="000000"/>
          <w:u w:val="single"/>
        </w:rPr>
        <w:t>D</w:t>
      </w:r>
      <w:r w:rsidRPr="00187CFE">
        <w:rPr>
          <w:rFonts w:ascii="Book Antiqua" w:hAnsi="Book Antiqua" w:cs="Arial"/>
          <w:color w:val="000000"/>
          <w:u w:val="single"/>
        </w:rPr>
        <w:t>ecision</w:t>
      </w:r>
    </w:p>
    <w:p w:rsidR="004C6CD0" w:rsidRPr="00187CFE" w:rsidRDefault="004C6CD0" w:rsidP="00C07727">
      <w:pPr>
        <w:tabs>
          <w:tab w:val="left" w:pos="567"/>
        </w:tabs>
        <w:spacing w:before="240"/>
        <w:jc w:val="both"/>
        <w:rPr>
          <w:rFonts w:ascii="Book Antiqua" w:hAnsi="Book Antiqua" w:cs="Arial"/>
          <w:color w:val="000000"/>
        </w:rPr>
      </w:pPr>
      <w:r>
        <w:rPr>
          <w:rFonts w:ascii="Book Antiqua" w:hAnsi="Book Antiqua" w:cs="Arial"/>
          <w:color w:val="000000"/>
        </w:rPr>
        <w:t>2</w:t>
      </w:r>
      <w:r w:rsidR="00C07727">
        <w:rPr>
          <w:rFonts w:ascii="Book Antiqua" w:hAnsi="Book Antiqua" w:cs="Arial"/>
          <w:color w:val="000000"/>
        </w:rPr>
        <w:t>2</w:t>
      </w:r>
      <w:r w:rsidRPr="00187CFE">
        <w:rPr>
          <w:rFonts w:ascii="Book Antiqua" w:hAnsi="Book Antiqua" w:cs="Arial"/>
          <w:color w:val="000000"/>
        </w:rPr>
        <w:t>.</w:t>
      </w:r>
      <w:r w:rsidR="00C07727">
        <w:rPr>
          <w:rFonts w:ascii="Book Antiqua" w:hAnsi="Book Antiqua" w:cs="Arial"/>
          <w:color w:val="000000"/>
        </w:rPr>
        <w:tab/>
      </w:r>
      <w:r w:rsidRPr="00187CFE">
        <w:rPr>
          <w:rFonts w:ascii="Book Antiqua" w:hAnsi="Book Antiqua" w:cs="Arial"/>
          <w:color w:val="000000"/>
        </w:rPr>
        <w:t xml:space="preserve">The decision of the First-tier Tribunal promulgated on </w:t>
      </w:r>
      <w:r>
        <w:rPr>
          <w:rFonts w:ascii="Book Antiqua" w:hAnsi="Book Antiqua" w:cs="Arial"/>
          <w:color w:val="000000"/>
        </w:rPr>
        <w:t>6 March</w:t>
      </w:r>
      <w:r w:rsidRPr="00187CFE">
        <w:rPr>
          <w:rFonts w:ascii="Book Antiqua" w:hAnsi="Book Antiqua" w:cs="Arial"/>
          <w:color w:val="000000"/>
        </w:rPr>
        <w:t xml:space="preserve"> 2018 is tainted by material errors of law and is set aside.</w:t>
      </w:r>
    </w:p>
    <w:p w:rsidR="004C6CD0" w:rsidRPr="00187CFE" w:rsidRDefault="004C6CD0" w:rsidP="00C07727">
      <w:pPr>
        <w:tabs>
          <w:tab w:val="left" w:pos="567"/>
        </w:tabs>
        <w:spacing w:before="240"/>
        <w:jc w:val="both"/>
        <w:rPr>
          <w:rFonts w:ascii="Book Antiqua" w:hAnsi="Book Antiqua" w:cs="Arial"/>
          <w:color w:val="000000"/>
        </w:rPr>
      </w:pPr>
      <w:r>
        <w:rPr>
          <w:rFonts w:ascii="Book Antiqua" w:hAnsi="Book Antiqua" w:cs="Arial"/>
          <w:color w:val="000000"/>
        </w:rPr>
        <w:t>2</w:t>
      </w:r>
      <w:r w:rsidR="00C07727">
        <w:rPr>
          <w:rFonts w:ascii="Book Antiqua" w:hAnsi="Book Antiqua" w:cs="Arial"/>
          <w:color w:val="000000"/>
        </w:rPr>
        <w:t>3</w:t>
      </w:r>
      <w:r w:rsidRPr="00187CFE">
        <w:rPr>
          <w:rFonts w:ascii="Book Antiqua" w:hAnsi="Book Antiqua" w:cs="Arial"/>
          <w:color w:val="000000"/>
        </w:rPr>
        <w:t>.</w:t>
      </w:r>
      <w:r w:rsidR="00C07727">
        <w:rPr>
          <w:rFonts w:ascii="Book Antiqua" w:hAnsi="Book Antiqua" w:cs="Arial"/>
          <w:color w:val="000000"/>
        </w:rPr>
        <w:tab/>
      </w:r>
      <w:r w:rsidRPr="00187CFE">
        <w:rPr>
          <w:rFonts w:ascii="Book Antiqua" w:hAnsi="Book Antiqua" w:cs="Arial"/>
          <w:color w:val="000000"/>
        </w:rPr>
        <w:t>I substitute my own decision</w:t>
      </w:r>
    </w:p>
    <w:p w:rsidR="004C6CD0" w:rsidRPr="00187CFE" w:rsidRDefault="004C6CD0" w:rsidP="00C07727">
      <w:pPr>
        <w:tabs>
          <w:tab w:val="left" w:pos="567"/>
        </w:tabs>
        <w:spacing w:before="240"/>
        <w:jc w:val="both"/>
        <w:rPr>
          <w:rFonts w:ascii="Book Antiqua" w:hAnsi="Book Antiqua" w:cs="Arial"/>
          <w:lang w:val="en-US" w:eastAsia="en-US"/>
        </w:rPr>
      </w:pPr>
      <w:r>
        <w:rPr>
          <w:rFonts w:ascii="Book Antiqua" w:hAnsi="Book Antiqua" w:cs="Arial"/>
          <w:color w:val="000000"/>
        </w:rPr>
        <w:t>2</w:t>
      </w:r>
      <w:r w:rsidR="00C07727">
        <w:rPr>
          <w:rFonts w:ascii="Book Antiqua" w:hAnsi="Book Antiqua" w:cs="Arial"/>
          <w:color w:val="000000"/>
        </w:rPr>
        <w:t>4</w:t>
      </w:r>
      <w:r w:rsidRPr="00187CFE">
        <w:rPr>
          <w:rFonts w:ascii="Book Antiqua" w:hAnsi="Book Antiqua" w:cs="Arial"/>
          <w:color w:val="000000"/>
        </w:rPr>
        <w:t>.</w:t>
      </w:r>
      <w:r w:rsidR="00C07727">
        <w:rPr>
          <w:rFonts w:ascii="Book Antiqua" w:hAnsi="Book Antiqua" w:cs="Arial"/>
          <w:color w:val="000000"/>
        </w:rPr>
        <w:tab/>
      </w:r>
      <w:r w:rsidRPr="00187CFE">
        <w:rPr>
          <w:rFonts w:ascii="Book Antiqua" w:hAnsi="Book Antiqua" w:cs="Arial"/>
          <w:color w:val="000000"/>
        </w:rPr>
        <w:t xml:space="preserve">The appeal is allowed </w:t>
      </w:r>
      <w:r w:rsidRPr="00187CFE">
        <w:rPr>
          <w:rFonts w:ascii="Book Antiqua" w:hAnsi="Book Antiqua" w:cs="Arial"/>
          <w:lang w:val="en-US" w:eastAsia="en-US"/>
        </w:rPr>
        <w:t>on article 8 ECHR grounds.</w:t>
      </w:r>
    </w:p>
    <w:p w:rsidR="004C6CD0" w:rsidRDefault="00D5754B" w:rsidP="004C6CD0">
      <w:pPr>
        <w:tabs>
          <w:tab w:val="left" w:pos="2520"/>
        </w:tabs>
        <w:rPr>
          <w:rFonts w:ascii="Book Antiqua" w:hAnsi="Book Antiqua" w:cs="Arial"/>
        </w:rPr>
      </w:pPr>
      <w:r>
        <w:rPr>
          <w:rFonts w:ascii="Book Antiqua" w:hAnsi="Book Antiqua" w:cs="Arial"/>
          <w:noProof/>
        </w:rPr>
        <w:drawing>
          <wp:anchor distT="0" distB="0" distL="114300" distR="114300" simplePos="0" relativeHeight="251657728" behindDoc="1" locked="0" layoutInCell="1" allowOverlap="0">
            <wp:simplePos x="0" y="0"/>
            <wp:positionH relativeFrom="page">
              <wp:posOffset>1470025</wp:posOffset>
            </wp:positionH>
            <wp:positionV relativeFrom="paragraph">
              <wp:posOffset>314325</wp:posOffset>
            </wp:positionV>
            <wp:extent cx="2867025" cy="971550"/>
            <wp:effectExtent l="0" t="0" r="0" b="0"/>
            <wp:wrapTight wrapText="bothSides">
              <wp:wrapPolygon edited="0">
                <wp:start x="0" y="0"/>
                <wp:lineTo x="0" y="21176"/>
                <wp:lineTo x="21528" y="21176"/>
                <wp:lineTo x="21528" y="0"/>
                <wp:lineTo x="0" y="0"/>
              </wp:wrapPolygon>
            </wp:wrapTight>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6CD0" w:rsidRDefault="004C6CD0" w:rsidP="004C6CD0">
      <w:pPr>
        <w:tabs>
          <w:tab w:val="left" w:pos="2520"/>
        </w:tabs>
        <w:rPr>
          <w:rFonts w:ascii="Book Antiqua" w:hAnsi="Book Antiqua" w:cs="Arial"/>
        </w:rPr>
      </w:pPr>
    </w:p>
    <w:p w:rsidR="004C6CD0" w:rsidRDefault="004C6CD0" w:rsidP="004C6CD0">
      <w:pPr>
        <w:tabs>
          <w:tab w:val="left" w:pos="2520"/>
        </w:tabs>
        <w:rPr>
          <w:rFonts w:ascii="Book Antiqua" w:hAnsi="Book Antiqua" w:cs="Arial"/>
        </w:rPr>
      </w:pPr>
    </w:p>
    <w:p w:rsidR="004C6CD0" w:rsidRDefault="004C6CD0" w:rsidP="004C6CD0">
      <w:pPr>
        <w:tabs>
          <w:tab w:val="left" w:pos="2520"/>
        </w:tabs>
        <w:rPr>
          <w:rFonts w:ascii="Book Antiqua" w:hAnsi="Book Antiqua" w:cs="Arial"/>
        </w:rPr>
      </w:pPr>
    </w:p>
    <w:p w:rsidR="004C6CD0" w:rsidRDefault="004C6CD0" w:rsidP="004C6CD0">
      <w:pPr>
        <w:tabs>
          <w:tab w:val="left" w:pos="2520"/>
        </w:tabs>
        <w:rPr>
          <w:rFonts w:ascii="Book Antiqua" w:hAnsi="Book Antiqua" w:cs="Arial"/>
        </w:rPr>
      </w:pPr>
    </w:p>
    <w:p w:rsidR="004C6CD0" w:rsidRDefault="004C6CD0" w:rsidP="004C6CD0">
      <w:pPr>
        <w:tabs>
          <w:tab w:val="left" w:pos="2520"/>
        </w:tabs>
        <w:rPr>
          <w:rFonts w:ascii="Book Antiqua" w:hAnsi="Book Antiqua" w:cs="Arial"/>
        </w:rPr>
      </w:pPr>
    </w:p>
    <w:p w:rsidR="004C6CD0" w:rsidRDefault="004C6CD0" w:rsidP="004C6CD0">
      <w:pPr>
        <w:tabs>
          <w:tab w:val="left" w:pos="2520"/>
        </w:tabs>
        <w:rPr>
          <w:rFonts w:ascii="Book Antiqua" w:hAnsi="Book Antiqua" w:cs="Arial"/>
        </w:rPr>
      </w:pPr>
    </w:p>
    <w:p w:rsidR="004C6CD0" w:rsidRPr="00187CFE" w:rsidRDefault="004C6CD0" w:rsidP="00C07727">
      <w:pPr>
        <w:tabs>
          <w:tab w:val="left" w:pos="5954"/>
        </w:tabs>
        <w:rPr>
          <w:rFonts w:ascii="Book Antiqua" w:hAnsi="Book Antiqua" w:cs="Arial"/>
        </w:rPr>
      </w:pPr>
      <w:r w:rsidRPr="00187CFE">
        <w:rPr>
          <w:rFonts w:ascii="Book Antiqua" w:hAnsi="Book Antiqua" w:cs="Arial"/>
        </w:rPr>
        <w:t>Signed</w:t>
      </w:r>
      <w:r w:rsidR="00C07727">
        <w:rPr>
          <w:rFonts w:ascii="Book Antiqua" w:hAnsi="Book Antiqua" w:cs="Arial"/>
        </w:rPr>
        <w:tab/>
      </w:r>
      <w:r w:rsidR="00B60456">
        <w:rPr>
          <w:rFonts w:ascii="Book Antiqua" w:hAnsi="Book Antiqua" w:cs="Arial"/>
        </w:rPr>
        <w:t xml:space="preserve">Date </w:t>
      </w:r>
      <w:r w:rsidRPr="00187CFE">
        <w:rPr>
          <w:rFonts w:ascii="Book Antiqua" w:hAnsi="Book Antiqua" w:cs="Arial"/>
        </w:rPr>
        <w:t>15 August 2018</w:t>
      </w:r>
    </w:p>
    <w:p w:rsidR="004C6CD0" w:rsidRPr="00CB1B50" w:rsidRDefault="004C6CD0" w:rsidP="004C6CD0">
      <w:pPr>
        <w:tabs>
          <w:tab w:val="left" w:pos="2520"/>
        </w:tabs>
        <w:rPr>
          <w:rFonts w:ascii="Book Antiqua" w:hAnsi="Book Antiqua" w:cs="Arial"/>
        </w:rPr>
      </w:pPr>
      <w:r w:rsidRPr="00187CFE">
        <w:rPr>
          <w:rFonts w:ascii="Book Antiqua" w:hAnsi="Book Antiqua" w:cs="Arial"/>
        </w:rPr>
        <w:t>Deputy Upper Tribunal Judge Doyle</w:t>
      </w:r>
    </w:p>
    <w:p w:rsidR="00B40346" w:rsidRPr="00CB1B50" w:rsidRDefault="00B40346" w:rsidP="00FF4EB0">
      <w:pPr>
        <w:jc w:val="both"/>
        <w:rPr>
          <w:rFonts w:ascii="Book Antiqua" w:hAnsi="Book Antiqua" w:cs="Arial"/>
          <w:color w:val="000000"/>
        </w:rPr>
      </w:pPr>
    </w:p>
    <w:sectPr w:rsidR="00B40346" w:rsidRPr="00CB1B50" w:rsidSect="00C07727">
      <w:headerReference w:type="default" r:id="rId11"/>
      <w:footerReference w:type="default" r:id="rId12"/>
      <w:footerReference w:type="firs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334" w:rsidRDefault="00E87334" w:rsidP="00100C3C">
      <w:r>
        <w:separator/>
      </w:r>
    </w:p>
  </w:endnote>
  <w:endnote w:type="continuationSeparator" w:id="0">
    <w:p w:rsidR="00E87334" w:rsidRDefault="00E87334"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486" w:rsidRPr="00C07727" w:rsidRDefault="00BA2486">
    <w:pPr>
      <w:pStyle w:val="Footer"/>
      <w:jc w:val="center"/>
      <w:rPr>
        <w:sz w:val="20"/>
        <w:szCs w:val="20"/>
      </w:rPr>
    </w:pPr>
    <w:r w:rsidRPr="00C07727">
      <w:rPr>
        <w:sz w:val="20"/>
        <w:szCs w:val="20"/>
      </w:rPr>
      <w:fldChar w:fldCharType="begin"/>
    </w:r>
    <w:r w:rsidRPr="00C07727">
      <w:rPr>
        <w:sz w:val="20"/>
        <w:szCs w:val="20"/>
      </w:rPr>
      <w:instrText xml:space="preserve"> PAGE   \* MERGEFORMAT </w:instrText>
    </w:r>
    <w:r w:rsidRPr="00C07727">
      <w:rPr>
        <w:sz w:val="20"/>
        <w:szCs w:val="20"/>
      </w:rPr>
      <w:fldChar w:fldCharType="separate"/>
    </w:r>
    <w:r w:rsidR="00A72B9F">
      <w:rPr>
        <w:noProof/>
        <w:sz w:val="20"/>
        <w:szCs w:val="20"/>
      </w:rPr>
      <w:t>5</w:t>
    </w:r>
    <w:r w:rsidRPr="00C07727">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486" w:rsidRDefault="00BA2486" w:rsidP="00BA2486">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334" w:rsidRDefault="00E87334" w:rsidP="00100C3C">
      <w:r>
        <w:separator/>
      </w:r>
    </w:p>
  </w:footnote>
  <w:footnote w:type="continuationSeparator" w:id="0">
    <w:p w:rsidR="00E87334" w:rsidRDefault="00E87334"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727" w:rsidRPr="00C07727" w:rsidRDefault="00C07727" w:rsidP="00C07727">
    <w:pPr>
      <w:pStyle w:val="Header"/>
      <w:jc w:val="right"/>
      <w:rPr>
        <w:sz w:val="20"/>
        <w:szCs w:val="20"/>
      </w:rPr>
    </w:pPr>
    <w:r w:rsidRPr="00C07727">
      <w:rPr>
        <w:rFonts w:ascii="Book Antiqua" w:hAnsi="Book Antiqua" w:cs="Arial"/>
        <w:color w:val="000000"/>
        <w:sz w:val="20"/>
        <w:szCs w:val="20"/>
      </w:rPr>
      <w:t>Appeal Number: HU/14701/2017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C7AB3"/>
    <w:rsid w:val="00100A74"/>
    <w:rsid w:val="00100C3C"/>
    <w:rsid w:val="00101152"/>
    <w:rsid w:val="00106B9E"/>
    <w:rsid w:val="001103E5"/>
    <w:rsid w:val="00125BE8"/>
    <w:rsid w:val="00156F09"/>
    <w:rsid w:val="00193D40"/>
    <w:rsid w:val="001C525B"/>
    <w:rsid w:val="001D0D8E"/>
    <w:rsid w:val="001D0EA7"/>
    <w:rsid w:val="001E400D"/>
    <w:rsid w:val="001F7535"/>
    <w:rsid w:val="00206AD6"/>
    <w:rsid w:val="00207C3C"/>
    <w:rsid w:val="002328A4"/>
    <w:rsid w:val="002479DB"/>
    <w:rsid w:val="00250580"/>
    <w:rsid w:val="0025433B"/>
    <w:rsid w:val="002606C4"/>
    <w:rsid w:val="002679F8"/>
    <w:rsid w:val="00286604"/>
    <w:rsid w:val="00286813"/>
    <w:rsid w:val="002B10FF"/>
    <w:rsid w:val="002C57F5"/>
    <w:rsid w:val="002D3A23"/>
    <w:rsid w:val="00301D22"/>
    <w:rsid w:val="00337E31"/>
    <w:rsid w:val="003705A9"/>
    <w:rsid w:val="00376746"/>
    <w:rsid w:val="0038281F"/>
    <w:rsid w:val="00394B69"/>
    <w:rsid w:val="003A4F86"/>
    <w:rsid w:val="003B4C45"/>
    <w:rsid w:val="003E1CC7"/>
    <w:rsid w:val="003E368E"/>
    <w:rsid w:val="00440EE7"/>
    <w:rsid w:val="00451F8E"/>
    <w:rsid w:val="004662F0"/>
    <w:rsid w:val="00496085"/>
    <w:rsid w:val="004B4D22"/>
    <w:rsid w:val="004C11B0"/>
    <w:rsid w:val="004C3399"/>
    <w:rsid w:val="004C6CD0"/>
    <w:rsid w:val="00503FAE"/>
    <w:rsid w:val="0052314A"/>
    <w:rsid w:val="0052555D"/>
    <w:rsid w:val="005327A3"/>
    <w:rsid w:val="00535119"/>
    <w:rsid w:val="00544C99"/>
    <w:rsid w:val="00545B34"/>
    <w:rsid w:val="005537BC"/>
    <w:rsid w:val="00576476"/>
    <w:rsid w:val="00586795"/>
    <w:rsid w:val="005949C8"/>
    <w:rsid w:val="005D6496"/>
    <w:rsid w:val="005E51FD"/>
    <w:rsid w:val="005F7BFE"/>
    <w:rsid w:val="00622E11"/>
    <w:rsid w:val="0068187C"/>
    <w:rsid w:val="006A6CBF"/>
    <w:rsid w:val="006B3761"/>
    <w:rsid w:val="006B4EEE"/>
    <w:rsid w:val="006D4FF0"/>
    <w:rsid w:val="006F1422"/>
    <w:rsid w:val="006F6689"/>
    <w:rsid w:val="00703BAB"/>
    <w:rsid w:val="0071333E"/>
    <w:rsid w:val="007258A2"/>
    <w:rsid w:val="007311FD"/>
    <w:rsid w:val="007344E6"/>
    <w:rsid w:val="00743546"/>
    <w:rsid w:val="00755830"/>
    <w:rsid w:val="007702AD"/>
    <w:rsid w:val="007921BE"/>
    <w:rsid w:val="0079558F"/>
    <w:rsid w:val="007A6B68"/>
    <w:rsid w:val="007A76EA"/>
    <w:rsid w:val="007C3085"/>
    <w:rsid w:val="007D7652"/>
    <w:rsid w:val="00802508"/>
    <w:rsid w:val="008045DC"/>
    <w:rsid w:val="00846BC6"/>
    <w:rsid w:val="00850890"/>
    <w:rsid w:val="00851608"/>
    <w:rsid w:val="008743FA"/>
    <w:rsid w:val="008768BA"/>
    <w:rsid w:val="0088245D"/>
    <w:rsid w:val="008A1E22"/>
    <w:rsid w:val="008A3CF4"/>
    <w:rsid w:val="008B64E3"/>
    <w:rsid w:val="008E5837"/>
    <w:rsid w:val="009014D6"/>
    <w:rsid w:val="00904942"/>
    <w:rsid w:val="00912ADE"/>
    <w:rsid w:val="00951A7F"/>
    <w:rsid w:val="00963C62"/>
    <w:rsid w:val="00987890"/>
    <w:rsid w:val="00991B39"/>
    <w:rsid w:val="009C17A7"/>
    <w:rsid w:val="009C4477"/>
    <w:rsid w:val="009C7AD9"/>
    <w:rsid w:val="009E3C93"/>
    <w:rsid w:val="00A033BF"/>
    <w:rsid w:val="00A318AF"/>
    <w:rsid w:val="00A52BA2"/>
    <w:rsid w:val="00A72A15"/>
    <w:rsid w:val="00A72B9F"/>
    <w:rsid w:val="00A75FBA"/>
    <w:rsid w:val="00A822BE"/>
    <w:rsid w:val="00A84ABA"/>
    <w:rsid w:val="00A94A10"/>
    <w:rsid w:val="00AC1C4E"/>
    <w:rsid w:val="00AD1956"/>
    <w:rsid w:val="00AD1D26"/>
    <w:rsid w:val="00AD6AA7"/>
    <w:rsid w:val="00B17E67"/>
    <w:rsid w:val="00B20F7E"/>
    <w:rsid w:val="00B234FF"/>
    <w:rsid w:val="00B40346"/>
    <w:rsid w:val="00B60456"/>
    <w:rsid w:val="00B66B6A"/>
    <w:rsid w:val="00B74B3C"/>
    <w:rsid w:val="00B96515"/>
    <w:rsid w:val="00BA2486"/>
    <w:rsid w:val="00BA7D3F"/>
    <w:rsid w:val="00BF1784"/>
    <w:rsid w:val="00BF6C5B"/>
    <w:rsid w:val="00C02574"/>
    <w:rsid w:val="00C07727"/>
    <w:rsid w:val="00C11224"/>
    <w:rsid w:val="00C3034E"/>
    <w:rsid w:val="00C51FA3"/>
    <w:rsid w:val="00C736F6"/>
    <w:rsid w:val="00C76422"/>
    <w:rsid w:val="00C8431F"/>
    <w:rsid w:val="00C91439"/>
    <w:rsid w:val="00C914E4"/>
    <w:rsid w:val="00CA1765"/>
    <w:rsid w:val="00CB1B50"/>
    <w:rsid w:val="00CD37F5"/>
    <w:rsid w:val="00CD4491"/>
    <w:rsid w:val="00CE46A0"/>
    <w:rsid w:val="00CF53A6"/>
    <w:rsid w:val="00D11101"/>
    <w:rsid w:val="00D15FB3"/>
    <w:rsid w:val="00D16669"/>
    <w:rsid w:val="00D226C2"/>
    <w:rsid w:val="00D23A33"/>
    <w:rsid w:val="00D44CE1"/>
    <w:rsid w:val="00D45AD5"/>
    <w:rsid w:val="00D55991"/>
    <w:rsid w:val="00D56729"/>
    <w:rsid w:val="00D5754B"/>
    <w:rsid w:val="00D77083"/>
    <w:rsid w:val="00D903CC"/>
    <w:rsid w:val="00D905E2"/>
    <w:rsid w:val="00DB2691"/>
    <w:rsid w:val="00DB4A2E"/>
    <w:rsid w:val="00DC358B"/>
    <w:rsid w:val="00DD3D9E"/>
    <w:rsid w:val="00DF0A76"/>
    <w:rsid w:val="00DF7CE8"/>
    <w:rsid w:val="00E050B8"/>
    <w:rsid w:val="00E204FA"/>
    <w:rsid w:val="00E35126"/>
    <w:rsid w:val="00E40F9B"/>
    <w:rsid w:val="00E41B40"/>
    <w:rsid w:val="00E44430"/>
    <w:rsid w:val="00E50FC7"/>
    <w:rsid w:val="00E620CF"/>
    <w:rsid w:val="00E87334"/>
    <w:rsid w:val="00E92C51"/>
    <w:rsid w:val="00EA79DE"/>
    <w:rsid w:val="00F232EA"/>
    <w:rsid w:val="00F44074"/>
    <w:rsid w:val="00F55A1F"/>
    <w:rsid w:val="00F56A71"/>
    <w:rsid w:val="00F73763"/>
    <w:rsid w:val="00F751BB"/>
    <w:rsid w:val="00F833C5"/>
    <w:rsid w:val="00FA7013"/>
    <w:rsid w:val="00FB3AB3"/>
    <w:rsid w:val="00FD1735"/>
    <w:rsid w:val="00FE2F1A"/>
    <w:rsid w:val="00FE5D89"/>
    <w:rsid w:val="00FF4EB0"/>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D361F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paragraph" w:styleId="PlainText">
    <w:name w:val="Plain Text"/>
    <w:basedOn w:val="Normal"/>
    <w:link w:val="PlainTextChar"/>
    <w:rsid w:val="005327A3"/>
    <w:rPr>
      <w:rFonts w:ascii="Courier New" w:hAnsi="Courier New" w:cs="Courier New"/>
      <w:sz w:val="20"/>
      <w:szCs w:val="20"/>
      <w:lang w:val="en-US" w:eastAsia="en-US"/>
    </w:rPr>
  </w:style>
  <w:style w:type="character" w:customStyle="1" w:styleId="PlainTextChar">
    <w:name w:val="Plain Text Char"/>
    <w:link w:val="PlainText"/>
    <w:rsid w:val="005327A3"/>
    <w:rPr>
      <w:rFonts w:ascii="Courier New" w:hAnsi="Courier New" w:cs="Courier New"/>
      <w:lang w:val="en-US" w:eastAsia="en-US"/>
    </w:rPr>
  </w:style>
  <w:style w:type="character" w:styleId="Hyperlink">
    <w:name w:val="Hyperlink"/>
    <w:rsid w:val="004C6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ibunalsdecisions.service.gov.uk/utiac/2015-ukut-0018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ribunalsdecisions.service.gov.uk/utiac/2015-ukut-4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1724</Words>
  <Characters>8987</Characters>
  <Application>Microsoft Office Word</Application>
  <DocSecurity>0</DocSecurity>
  <Lines>74</Lines>
  <Paragraphs>21</Paragraphs>
  <ScaleCrop>false</ScaleCrop>
  <Company/>
  <LinksUpToDate>false</LinksUpToDate>
  <CharactersWithSpaces>10690</CharactersWithSpaces>
  <SharedDoc>false</SharedDoc>
  <HLinks>
    <vt:vector size="12" baseType="variant">
      <vt:variant>
        <vt:i4>917521</vt:i4>
      </vt:variant>
      <vt:variant>
        <vt:i4>3</vt:i4>
      </vt:variant>
      <vt:variant>
        <vt:i4>0</vt:i4>
      </vt:variant>
      <vt:variant>
        <vt:i4>5</vt:i4>
      </vt:variant>
      <vt:variant>
        <vt:lpwstr>https://tribunalsdecisions.service.gov.uk/utiac/2015-ukut-412</vt:lpwstr>
      </vt:variant>
      <vt:variant>
        <vt:lpwstr/>
      </vt:variant>
      <vt:variant>
        <vt:i4>3604516</vt:i4>
      </vt:variant>
      <vt:variant>
        <vt:i4>0</vt:i4>
      </vt:variant>
      <vt:variant>
        <vt:i4>0</vt:i4>
      </vt:variant>
      <vt:variant>
        <vt:i4>5</vt:i4>
      </vt:variant>
      <vt:variant>
        <vt:lpwstr>https://tribunalsdecisions.service.gov.uk/utiac/2015-ukut-00189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2018-09-07T10:19:00Z</dcterms:created>
  <dcterms:modified xsi:type="dcterms:W3CDTF">2018-09-07T10:19:00Z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