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243433" w:rsidP="00933B65">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AC5C04" w:rsidRDefault="00AC5C04" w:rsidP="00933B65">
      <w:pPr>
        <w:tabs>
          <w:tab w:val="right" w:pos="9720"/>
        </w:tabs>
        <w:ind w:right="-82"/>
        <w:rPr>
          <w:rFonts w:ascii="Book Antiqua" w:hAnsi="Book Antiqua" w:cs="Arial"/>
          <w:b/>
          <w:color w:val="000000"/>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6748D6">
        <w:rPr>
          <w:rFonts w:ascii="Book Antiqua" w:hAnsi="Book Antiqua" w:cs="Arial"/>
          <w:color w:val="000000"/>
        </w:rPr>
        <w:t xml:space="preserve"> </w:t>
      </w:r>
      <w:bookmarkStart w:id="0" w:name="_Hlk517335994"/>
      <w:bookmarkStart w:id="1" w:name="_GoBack"/>
      <w:r w:rsidR="0009651B">
        <w:rPr>
          <w:rFonts w:ascii="Book Antiqua" w:hAnsi="Book Antiqua" w:cs="Arial"/>
          <w:color w:val="000000"/>
        </w:rPr>
        <w:t>HU/14860/2016</w:t>
      </w:r>
      <w:bookmarkEnd w:id="0"/>
      <w:bookmarkEnd w:id="1"/>
    </w:p>
    <w:p w:rsidR="00933B65" w:rsidRPr="00F97703" w:rsidRDefault="00933B65" w:rsidP="00933B65">
      <w:pPr>
        <w:jc w:val="center"/>
        <w:rPr>
          <w:rFonts w:ascii="Book Antiqua" w:hAnsi="Book Antiqua" w:cs="Arial"/>
          <w:color w:val="000000"/>
        </w:rPr>
      </w:pPr>
    </w:p>
    <w:p w:rsidR="001975A3" w:rsidRDefault="001975A3"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1975A3" w:rsidRPr="00F97703" w:rsidRDefault="001975A3" w:rsidP="00933B65">
      <w:pPr>
        <w:jc w:val="center"/>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961"/>
        <w:gridCol w:w="963"/>
        <w:gridCol w:w="3714"/>
      </w:tblGrid>
      <w:tr w:rsidR="00933B65" w:rsidRPr="009D328D" w:rsidTr="00243433">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3A42D4">
              <w:rPr>
                <w:rFonts w:ascii="Book Antiqua" w:hAnsi="Book Antiqua" w:cs="Arial"/>
                <w:b/>
              </w:rPr>
              <w:t>Field House</w:t>
            </w:r>
          </w:p>
        </w:tc>
        <w:tc>
          <w:tcPr>
            <w:tcW w:w="4758" w:type="dxa"/>
            <w:gridSpan w:val="2"/>
            <w:shd w:val="clear" w:color="auto" w:fill="auto"/>
          </w:tcPr>
          <w:p w:rsidR="00933B65" w:rsidRPr="009D328D" w:rsidRDefault="00933B65" w:rsidP="009D328D">
            <w:pPr>
              <w:jc w:val="both"/>
              <w:rPr>
                <w:rFonts w:ascii="Book Antiqua" w:hAnsi="Book Antiqua" w:cs="Arial"/>
                <w:b/>
                <w:color w:val="000000"/>
              </w:rPr>
            </w:pPr>
            <w:r w:rsidRPr="009D328D">
              <w:rPr>
                <w:rFonts w:ascii="Book Antiqua" w:hAnsi="Book Antiqua" w:cs="Arial"/>
                <w:b/>
                <w:color w:val="000000"/>
              </w:rPr>
              <w:t>De</w:t>
            </w:r>
            <w:r w:rsidR="00243433">
              <w:rPr>
                <w:rFonts w:ascii="Book Antiqua" w:hAnsi="Book Antiqua" w:cs="Arial"/>
                <w:b/>
                <w:color w:val="000000"/>
              </w:rPr>
              <w:t xml:space="preserve">cision and Reasons </w:t>
            </w:r>
            <w:r w:rsidR="00243433" w:rsidRPr="009D328D">
              <w:rPr>
                <w:rFonts w:ascii="Book Antiqua" w:hAnsi="Book Antiqua" w:cs="Arial"/>
                <w:b/>
                <w:color w:val="000000"/>
              </w:rPr>
              <w:t>Promulgated</w:t>
            </w:r>
          </w:p>
        </w:tc>
      </w:tr>
      <w:tr w:rsidR="00933B65" w:rsidRPr="009D328D" w:rsidTr="00243433">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3A42D4">
              <w:rPr>
                <w:rFonts w:ascii="Book Antiqua" w:hAnsi="Book Antiqua" w:cs="Arial"/>
                <w:b/>
              </w:rPr>
              <w:t>16 May 2018</w:t>
            </w:r>
          </w:p>
        </w:tc>
        <w:tc>
          <w:tcPr>
            <w:tcW w:w="4758" w:type="dxa"/>
            <w:gridSpan w:val="2"/>
            <w:shd w:val="clear" w:color="auto" w:fill="auto"/>
          </w:tcPr>
          <w:p w:rsidR="00933B65" w:rsidRPr="009D328D" w:rsidRDefault="00243433" w:rsidP="009D328D">
            <w:pPr>
              <w:jc w:val="both"/>
              <w:rPr>
                <w:rFonts w:ascii="Book Antiqua" w:hAnsi="Book Antiqua" w:cs="Arial"/>
                <w:b/>
              </w:rPr>
            </w:pPr>
            <w:r>
              <w:rPr>
                <w:rFonts w:ascii="Book Antiqua" w:hAnsi="Book Antiqua" w:cs="Arial"/>
                <w:b/>
              </w:rPr>
              <w:t xml:space="preserve">On 04 July 2018 </w:t>
            </w:r>
          </w:p>
        </w:tc>
      </w:tr>
      <w:tr w:rsidR="00933B65" w:rsidRPr="009D328D" w:rsidTr="00243433">
        <w:tc>
          <w:tcPr>
            <w:tcW w:w="6048" w:type="dxa"/>
            <w:gridSpan w:val="2"/>
            <w:shd w:val="clear" w:color="auto" w:fill="auto"/>
          </w:tcPr>
          <w:p w:rsidR="00933B65" w:rsidRPr="009D328D" w:rsidRDefault="00933B65" w:rsidP="009D328D">
            <w:pPr>
              <w:jc w:val="both"/>
              <w:rPr>
                <w:rFonts w:ascii="Book Antiqua" w:hAnsi="Book Antiqua" w:cs="Arial"/>
                <w:b/>
              </w:rPr>
            </w:pPr>
          </w:p>
        </w:tc>
        <w:tc>
          <w:tcPr>
            <w:tcW w:w="3780"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r w:rsidR="00243433">
        <w:rPr>
          <w:rFonts w:ascii="Book Antiqua" w:hAnsi="Book Antiqua" w:cs="Arial"/>
          <w:b/>
        </w:rPr>
        <w:t xml:space="preserve">                              </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1975A3" w:rsidRDefault="001975A3"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3A42D4" w:rsidP="00933B65">
      <w:pPr>
        <w:jc w:val="center"/>
        <w:rPr>
          <w:rFonts w:ascii="Book Antiqua" w:hAnsi="Book Antiqua" w:cs="Arial"/>
          <w:b/>
        </w:rPr>
      </w:pPr>
      <w:r>
        <w:rPr>
          <w:rFonts w:ascii="Book Antiqua" w:hAnsi="Book Antiqua" w:cs="Arial"/>
          <w:b/>
        </w:rPr>
        <w:t>MISS MAYA GURUNG</w:t>
      </w:r>
    </w:p>
    <w:p w:rsidR="007926AD" w:rsidRPr="00F97703" w:rsidRDefault="007926AD" w:rsidP="00933B65">
      <w:pPr>
        <w:jc w:val="center"/>
        <w:rPr>
          <w:rFonts w:ascii="Book Antiqua" w:hAnsi="Book Antiqua" w:cs="Arial"/>
          <w:b/>
        </w:rPr>
      </w:pPr>
      <w:r>
        <w:rPr>
          <w:rFonts w:ascii="Book Antiqua" w:hAnsi="Book Antiqua" w:cs="Arial"/>
          <w:b/>
        </w:rPr>
        <w:t>(</w:t>
      </w:r>
      <w:r w:rsidR="00507461">
        <w:rPr>
          <w:rFonts w:ascii="Book Antiqua" w:hAnsi="Book Antiqua" w:cs="Arial"/>
          <w:b/>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3A42D4" w:rsidP="00933B65">
      <w:pPr>
        <w:jc w:val="center"/>
        <w:rPr>
          <w:rFonts w:ascii="Book Antiqua" w:hAnsi="Book Antiqua" w:cs="Arial"/>
          <w:b/>
        </w:rPr>
      </w:pPr>
      <w:r>
        <w:rPr>
          <w:rFonts w:ascii="Book Antiqua" w:hAnsi="Book Antiqua" w:cs="Arial"/>
          <w:b/>
        </w:rPr>
        <w:t>E</w:t>
      </w:r>
      <w:r w:rsidR="00680A32">
        <w:rPr>
          <w:rFonts w:ascii="Book Antiqua" w:hAnsi="Book Antiqua" w:cs="Arial"/>
          <w:b/>
        </w:rPr>
        <w:t>NTRY CLEARANCE OFFICER</w:t>
      </w:r>
      <w:r>
        <w:rPr>
          <w:rFonts w:ascii="Book Antiqua" w:hAnsi="Book Antiqua" w:cs="Arial"/>
          <w:b/>
        </w:rPr>
        <w:t>: NEW DELHI</w:t>
      </w:r>
      <w:r w:rsidR="00680A32">
        <w:rPr>
          <w:rFonts w:ascii="Book Antiqua" w:hAnsi="Book Antiqua" w:cs="Arial"/>
          <w:b/>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1975A3" w:rsidRPr="00F97703" w:rsidRDefault="001975A3"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F2835">
        <w:rPr>
          <w:rFonts w:ascii="Book Antiqua" w:hAnsi="Book Antiqua" w:cs="Arial"/>
        </w:rPr>
        <w:t>Mr Puar</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8F2835">
        <w:rPr>
          <w:rFonts w:ascii="Book Antiqua" w:hAnsi="Book Antiqua" w:cs="Arial"/>
        </w:rPr>
        <w:t>Mr Bramble</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8F2835" w:rsidP="00FC4FA4">
      <w:pPr>
        <w:numPr>
          <w:ilvl w:val="0"/>
          <w:numId w:val="3"/>
        </w:numPr>
        <w:ind w:left="567" w:hanging="567"/>
        <w:jc w:val="both"/>
        <w:rPr>
          <w:rFonts w:ascii="Book Antiqua" w:hAnsi="Book Antiqua" w:cs="Arial"/>
        </w:rPr>
      </w:pPr>
      <w:r>
        <w:rPr>
          <w:rFonts w:ascii="Book Antiqua" w:hAnsi="Book Antiqua" w:cs="Arial"/>
        </w:rPr>
        <w:t>The appellant is a citizen of Nepal born in 1989.  She appeals against a decision of the respondent made on 17 May 2016 to refuse the appellant’s application for entry clearance for settlement as the adult dependant daughter of her father who settled in the UK in 2013.</w:t>
      </w:r>
    </w:p>
    <w:p w:rsidR="008F2835" w:rsidRDefault="008F2835" w:rsidP="008F2835">
      <w:pPr>
        <w:jc w:val="both"/>
        <w:rPr>
          <w:rFonts w:ascii="Book Antiqua" w:hAnsi="Book Antiqua" w:cs="Arial"/>
        </w:rPr>
      </w:pPr>
    </w:p>
    <w:p w:rsidR="008F2835" w:rsidRDefault="00FC4FA4" w:rsidP="00FC4FA4">
      <w:pPr>
        <w:numPr>
          <w:ilvl w:val="0"/>
          <w:numId w:val="3"/>
        </w:numPr>
        <w:ind w:left="567" w:hanging="567"/>
        <w:jc w:val="both"/>
        <w:rPr>
          <w:rFonts w:ascii="Book Antiqua" w:hAnsi="Book Antiqua" w:cs="Arial"/>
        </w:rPr>
      </w:pPr>
      <w:r>
        <w:rPr>
          <w:rFonts w:ascii="Book Antiqua" w:hAnsi="Book Antiqua" w:cs="Arial"/>
        </w:rPr>
        <w:lastRenderedPageBreak/>
        <w:t xml:space="preserve">The basis of the refusal is that the respondent considered that the appellant had used fraud in an attempt to be granted entry clearance.  She had submitted false educational documents to support her claim.  Also checks on </w:t>
      </w:r>
      <w:r w:rsidR="007A633A">
        <w:rPr>
          <w:rFonts w:ascii="Book Antiqua" w:hAnsi="Book Antiqua" w:cs="Arial"/>
        </w:rPr>
        <w:t>the name of the appellant found that all her documents state her name as Maya Gurung but she has a birth certificate in the name of Sarita Gurung.  She had no proof these are the same person.  It was not accepted that the appellant is the biological daughter of the sponsor.</w:t>
      </w:r>
    </w:p>
    <w:p w:rsidR="007A633A" w:rsidRDefault="007A633A" w:rsidP="007A633A">
      <w:pPr>
        <w:pStyle w:val="ListParagraph"/>
        <w:rPr>
          <w:rFonts w:ascii="Book Antiqua" w:hAnsi="Book Antiqua" w:cs="Arial"/>
        </w:rPr>
      </w:pPr>
    </w:p>
    <w:p w:rsidR="007A633A" w:rsidRPr="007A633A" w:rsidRDefault="007A633A" w:rsidP="007A633A">
      <w:pPr>
        <w:jc w:val="both"/>
        <w:rPr>
          <w:rFonts w:ascii="Book Antiqua" w:hAnsi="Book Antiqua" w:cs="Arial"/>
          <w:b/>
          <w:u w:val="single"/>
        </w:rPr>
      </w:pPr>
      <w:r w:rsidRPr="007A633A">
        <w:rPr>
          <w:rFonts w:ascii="Book Antiqua" w:hAnsi="Book Antiqua" w:cs="Arial"/>
          <w:b/>
          <w:u w:val="single"/>
        </w:rPr>
        <w:t>First-Tier Hearing</w:t>
      </w:r>
    </w:p>
    <w:p w:rsidR="007A633A" w:rsidRDefault="007A633A" w:rsidP="007A633A">
      <w:pPr>
        <w:pStyle w:val="ListParagraph"/>
        <w:rPr>
          <w:rFonts w:ascii="Book Antiqua" w:hAnsi="Book Antiqua" w:cs="Arial"/>
        </w:rPr>
      </w:pPr>
    </w:p>
    <w:p w:rsidR="007A633A" w:rsidRDefault="007A633A" w:rsidP="00FC4FA4">
      <w:pPr>
        <w:numPr>
          <w:ilvl w:val="0"/>
          <w:numId w:val="3"/>
        </w:numPr>
        <w:ind w:left="567" w:hanging="567"/>
        <w:jc w:val="both"/>
        <w:rPr>
          <w:rFonts w:ascii="Book Antiqua" w:hAnsi="Book Antiqua" w:cs="Arial"/>
        </w:rPr>
      </w:pPr>
      <w:r>
        <w:rPr>
          <w:rFonts w:ascii="Book Antiqua" w:hAnsi="Book Antiqua" w:cs="Arial"/>
        </w:rPr>
        <w:t>She appealed.</w:t>
      </w:r>
    </w:p>
    <w:p w:rsidR="007A633A" w:rsidRDefault="007A633A" w:rsidP="007A633A">
      <w:pPr>
        <w:jc w:val="both"/>
        <w:rPr>
          <w:rFonts w:ascii="Book Antiqua" w:hAnsi="Book Antiqua" w:cs="Arial"/>
        </w:rPr>
      </w:pPr>
    </w:p>
    <w:p w:rsidR="007A633A" w:rsidRDefault="007A633A" w:rsidP="00FC4FA4">
      <w:pPr>
        <w:numPr>
          <w:ilvl w:val="0"/>
          <w:numId w:val="3"/>
        </w:numPr>
        <w:ind w:left="567" w:hanging="567"/>
        <w:jc w:val="both"/>
        <w:rPr>
          <w:rFonts w:ascii="Book Antiqua" w:hAnsi="Book Antiqua" w:cs="Arial"/>
        </w:rPr>
      </w:pPr>
      <w:r>
        <w:rPr>
          <w:rFonts w:ascii="Book Antiqua" w:hAnsi="Book Antiqua" w:cs="Arial"/>
        </w:rPr>
        <w:t xml:space="preserve">Following a hearing at Newport on 22 August </w:t>
      </w:r>
      <w:r w:rsidR="00306A8F">
        <w:rPr>
          <w:rFonts w:ascii="Book Antiqua" w:hAnsi="Book Antiqua" w:cs="Arial"/>
        </w:rPr>
        <w:t>2017 Judge of the First-Tier Suffield-Thompson dismissed the appeal.</w:t>
      </w:r>
    </w:p>
    <w:p w:rsidR="00306A8F" w:rsidRDefault="00306A8F" w:rsidP="00306A8F">
      <w:pPr>
        <w:pStyle w:val="ListParagraph"/>
        <w:rPr>
          <w:rFonts w:ascii="Book Antiqua" w:hAnsi="Book Antiqua" w:cs="Arial"/>
        </w:rPr>
      </w:pPr>
    </w:p>
    <w:p w:rsidR="00306A8F" w:rsidRDefault="00306A8F" w:rsidP="00FC4FA4">
      <w:pPr>
        <w:numPr>
          <w:ilvl w:val="0"/>
          <w:numId w:val="3"/>
        </w:numPr>
        <w:ind w:left="567" w:hanging="567"/>
        <w:jc w:val="both"/>
        <w:rPr>
          <w:rFonts w:ascii="Book Antiqua" w:hAnsi="Book Antiqua" w:cs="Arial"/>
        </w:rPr>
      </w:pPr>
      <w:r>
        <w:rPr>
          <w:rFonts w:ascii="Book Antiqua" w:hAnsi="Book Antiqua" w:cs="Arial"/>
        </w:rPr>
        <w:t>Her findings are at paragraph 32ff.  In summary, she noted “</w:t>
      </w:r>
      <w:r w:rsidR="00F57B4F" w:rsidRPr="002E4878">
        <w:rPr>
          <w:rFonts w:ascii="Book Antiqua" w:hAnsi="Book Antiqua" w:cs="Arial"/>
          <w:i/>
        </w:rPr>
        <w:t>a</w:t>
      </w:r>
      <w:r w:rsidRPr="002E4878">
        <w:rPr>
          <w:rFonts w:ascii="Book Antiqua" w:hAnsi="Book Antiqua" w:cs="Arial"/>
          <w:i/>
        </w:rPr>
        <w:t xml:space="preserve"> document th</w:t>
      </w:r>
      <w:r w:rsidR="00F57B4F" w:rsidRPr="002E4878">
        <w:rPr>
          <w:rFonts w:ascii="Book Antiqua" w:hAnsi="Book Antiqua" w:cs="Arial"/>
          <w:i/>
        </w:rPr>
        <w:t>at</w:t>
      </w:r>
      <w:r w:rsidR="00F57B4F">
        <w:rPr>
          <w:rFonts w:ascii="Book Antiqua" w:hAnsi="Book Antiqua" w:cs="Arial"/>
        </w:rPr>
        <w:t xml:space="preserve"> </w:t>
      </w:r>
      <w:r w:rsidR="00F57B4F" w:rsidRPr="002E4878">
        <w:rPr>
          <w:rFonts w:ascii="Book Antiqua" w:hAnsi="Book Antiqua" w:cs="Arial"/>
          <w:i/>
        </w:rPr>
        <w:t>purports</w:t>
      </w:r>
      <w:r w:rsidR="00F57B4F">
        <w:rPr>
          <w:rFonts w:ascii="Book Antiqua" w:hAnsi="Book Antiqua" w:cs="Arial"/>
        </w:rPr>
        <w:t xml:space="preserve"> </w:t>
      </w:r>
      <w:r w:rsidR="00F57B4F" w:rsidRPr="002E4878">
        <w:rPr>
          <w:rFonts w:ascii="Book Antiqua" w:hAnsi="Book Antiqua" w:cs="Arial"/>
          <w:i/>
        </w:rPr>
        <w:t>to be a birth registration certificate</w:t>
      </w:r>
      <w:r w:rsidR="00F57B4F">
        <w:rPr>
          <w:rFonts w:ascii="Book Antiqua" w:hAnsi="Book Antiqua" w:cs="Arial"/>
        </w:rPr>
        <w:t>” [35] but went on to state that the original was not before her only a copy with translation.  However, “</w:t>
      </w:r>
      <w:r w:rsidR="00F57B4F" w:rsidRPr="002E4878">
        <w:rPr>
          <w:rFonts w:ascii="Book Antiqua" w:hAnsi="Book Antiqua" w:cs="Arial"/>
          <w:i/>
        </w:rPr>
        <w:t>there is no record to show that</w:t>
      </w:r>
      <w:r w:rsidR="00F57B4F">
        <w:rPr>
          <w:rFonts w:ascii="Book Antiqua" w:hAnsi="Book Antiqua" w:cs="Arial"/>
        </w:rPr>
        <w:t xml:space="preserve"> </w:t>
      </w:r>
      <w:r w:rsidR="00F57B4F" w:rsidRPr="002E4878">
        <w:rPr>
          <w:rFonts w:ascii="Book Antiqua" w:hAnsi="Book Antiqua" w:cs="Arial"/>
          <w:i/>
        </w:rPr>
        <w:t>these</w:t>
      </w:r>
      <w:r w:rsidR="00F57B4F">
        <w:rPr>
          <w:rFonts w:ascii="Book Antiqua" w:hAnsi="Book Antiqua" w:cs="Arial"/>
        </w:rPr>
        <w:t xml:space="preserve"> </w:t>
      </w:r>
      <w:r w:rsidR="00F57B4F" w:rsidRPr="002E4878">
        <w:rPr>
          <w:rFonts w:ascii="Book Antiqua" w:hAnsi="Book Antiqua" w:cs="Arial"/>
          <w:i/>
        </w:rPr>
        <w:t>were before the ECO at the time of the application or the ECM at the time of the</w:t>
      </w:r>
      <w:r w:rsidR="00F57B4F">
        <w:rPr>
          <w:rFonts w:ascii="Book Antiqua" w:hAnsi="Book Antiqua" w:cs="Arial"/>
        </w:rPr>
        <w:t xml:space="preserve"> </w:t>
      </w:r>
      <w:r w:rsidR="00F57B4F" w:rsidRPr="002E4878">
        <w:rPr>
          <w:rFonts w:ascii="Book Antiqua" w:hAnsi="Book Antiqua" w:cs="Arial"/>
          <w:i/>
        </w:rPr>
        <w:t>review</w:t>
      </w:r>
      <w:r w:rsidR="00F57B4F">
        <w:rPr>
          <w:rFonts w:ascii="Book Antiqua" w:hAnsi="Book Antiqua" w:cs="Arial"/>
        </w:rPr>
        <w:t>” [36].  Because the appellant’s bundle was handed in on the morning of the hearing the respondent was denied the opportunity to check the vali</w:t>
      </w:r>
      <w:r w:rsidR="002E4878">
        <w:rPr>
          <w:rFonts w:ascii="Book Antiqua" w:hAnsi="Book Antiqua" w:cs="Arial"/>
        </w:rPr>
        <w:t>dity of the translation so the j</w:t>
      </w:r>
      <w:r w:rsidR="00F57B4F">
        <w:rPr>
          <w:rFonts w:ascii="Book Antiqua" w:hAnsi="Book Antiqua" w:cs="Arial"/>
        </w:rPr>
        <w:t>udge gave the birth certificate “</w:t>
      </w:r>
      <w:r w:rsidR="00F57B4F" w:rsidRPr="002E4878">
        <w:rPr>
          <w:rFonts w:ascii="Book Antiqua" w:hAnsi="Book Antiqua" w:cs="Arial"/>
          <w:i/>
        </w:rPr>
        <w:t>little weight</w:t>
      </w:r>
      <w:r w:rsidR="00F57B4F">
        <w:rPr>
          <w:rFonts w:ascii="Book Antiqua" w:hAnsi="Book Antiqua" w:cs="Arial"/>
        </w:rPr>
        <w:t>” [36].</w:t>
      </w:r>
    </w:p>
    <w:p w:rsidR="00F57B4F" w:rsidRDefault="00F57B4F" w:rsidP="00F57B4F">
      <w:pPr>
        <w:pStyle w:val="ListParagraph"/>
        <w:rPr>
          <w:rFonts w:ascii="Book Antiqua" w:hAnsi="Book Antiqua" w:cs="Arial"/>
        </w:rPr>
      </w:pPr>
    </w:p>
    <w:p w:rsidR="00F57B4F" w:rsidRDefault="002E4878" w:rsidP="00FC4FA4">
      <w:pPr>
        <w:numPr>
          <w:ilvl w:val="0"/>
          <w:numId w:val="3"/>
        </w:numPr>
        <w:ind w:left="567" w:hanging="567"/>
        <w:jc w:val="both"/>
        <w:rPr>
          <w:rFonts w:ascii="Book Antiqua" w:hAnsi="Book Antiqua" w:cs="Arial"/>
        </w:rPr>
      </w:pPr>
      <w:r>
        <w:rPr>
          <w:rFonts w:ascii="Book Antiqua" w:hAnsi="Book Antiqua" w:cs="Arial"/>
        </w:rPr>
        <w:t>The j</w:t>
      </w:r>
      <w:r w:rsidR="00F57B4F">
        <w:rPr>
          <w:rFonts w:ascii="Book Antiqua" w:hAnsi="Book Antiqua" w:cs="Arial"/>
        </w:rPr>
        <w:t xml:space="preserve">udge went on to note the Kindred Roll and that there is a </w:t>
      </w:r>
      <w:r>
        <w:rPr>
          <w:rFonts w:ascii="Book Antiqua" w:hAnsi="Book Antiqua" w:cs="Arial"/>
        </w:rPr>
        <w:t>“</w:t>
      </w:r>
      <w:r w:rsidR="00F57B4F">
        <w:rPr>
          <w:rFonts w:ascii="Book Antiqua" w:hAnsi="Book Antiqua" w:cs="Arial"/>
        </w:rPr>
        <w:t>Sarita Gurung</w:t>
      </w:r>
      <w:r>
        <w:rPr>
          <w:rFonts w:ascii="Book Antiqua" w:hAnsi="Book Antiqua" w:cs="Arial"/>
        </w:rPr>
        <w:t>”</w:t>
      </w:r>
      <w:r w:rsidR="00F57B4F">
        <w:rPr>
          <w:rFonts w:ascii="Book Antiqua" w:hAnsi="Book Antiqua" w:cs="Arial"/>
        </w:rPr>
        <w:t xml:space="preserve"> on the roll but not a </w:t>
      </w:r>
      <w:r>
        <w:rPr>
          <w:rFonts w:ascii="Book Antiqua" w:hAnsi="Book Antiqua" w:cs="Arial"/>
        </w:rPr>
        <w:t>“</w:t>
      </w:r>
      <w:r w:rsidR="00F57B4F">
        <w:rPr>
          <w:rFonts w:ascii="Book Antiqua" w:hAnsi="Book Antiqua" w:cs="Arial"/>
        </w:rPr>
        <w:t>Maya Gurung</w:t>
      </w:r>
      <w:r>
        <w:rPr>
          <w:rFonts w:ascii="Book Antiqua" w:hAnsi="Book Antiqua" w:cs="Arial"/>
        </w:rPr>
        <w:t>”</w:t>
      </w:r>
      <w:r w:rsidR="00F57B4F">
        <w:rPr>
          <w:rFonts w:ascii="Book Antiqua" w:hAnsi="Book Antiqua" w:cs="Arial"/>
        </w:rPr>
        <w:t>.  She found it implausible that having changed her name legally she was unable to produce some recent documentation to show at what point in her life s</w:t>
      </w:r>
      <w:r>
        <w:rPr>
          <w:rFonts w:ascii="Book Antiqua" w:hAnsi="Book Antiqua" w:cs="Arial"/>
        </w:rPr>
        <w:t>he made this name change.  The j</w:t>
      </w:r>
      <w:r w:rsidR="00F57B4F">
        <w:rPr>
          <w:rFonts w:ascii="Book Antiqua" w:hAnsi="Book Antiqua" w:cs="Arial"/>
        </w:rPr>
        <w:t>udge questioned why the appellant had not submitted her previous passport in her old name as “</w:t>
      </w:r>
      <w:r w:rsidR="00F57B4F" w:rsidRPr="002E4878">
        <w:rPr>
          <w:rFonts w:ascii="Book Antiqua" w:hAnsi="Book Antiqua" w:cs="Arial"/>
          <w:i/>
        </w:rPr>
        <w:t>this would</w:t>
      </w:r>
      <w:r w:rsidR="00F57B4F">
        <w:rPr>
          <w:rFonts w:ascii="Book Antiqua" w:hAnsi="Book Antiqua" w:cs="Arial"/>
        </w:rPr>
        <w:t xml:space="preserve"> </w:t>
      </w:r>
      <w:r w:rsidR="00F57B4F" w:rsidRPr="002E4878">
        <w:rPr>
          <w:rFonts w:ascii="Book Antiqua" w:hAnsi="Book Antiqua" w:cs="Arial"/>
          <w:i/>
        </w:rPr>
        <w:t>have been helpful evidence for the appellant</w:t>
      </w:r>
      <w:r w:rsidR="00F57B4F">
        <w:rPr>
          <w:rFonts w:ascii="Book Antiqua" w:hAnsi="Book Antiqua" w:cs="Arial"/>
        </w:rPr>
        <w:t>” [37].</w:t>
      </w:r>
    </w:p>
    <w:p w:rsidR="00F57B4F" w:rsidRDefault="00F57B4F" w:rsidP="00F57B4F">
      <w:pPr>
        <w:pStyle w:val="ListParagraph"/>
        <w:rPr>
          <w:rFonts w:ascii="Book Antiqua" w:hAnsi="Book Antiqua" w:cs="Arial"/>
        </w:rPr>
      </w:pPr>
    </w:p>
    <w:p w:rsidR="00F57B4F" w:rsidRDefault="002E4878" w:rsidP="00FC4FA4">
      <w:pPr>
        <w:numPr>
          <w:ilvl w:val="0"/>
          <w:numId w:val="3"/>
        </w:numPr>
        <w:ind w:left="567" w:hanging="567"/>
        <w:jc w:val="both"/>
        <w:rPr>
          <w:rFonts w:ascii="Book Antiqua" w:hAnsi="Book Antiqua" w:cs="Arial"/>
        </w:rPr>
      </w:pPr>
      <w:r>
        <w:rPr>
          <w:rFonts w:ascii="Book Antiqua" w:hAnsi="Book Antiqua" w:cs="Arial"/>
        </w:rPr>
        <w:t>The j</w:t>
      </w:r>
      <w:r w:rsidR="00F57B4F">
        <w:rPr>
          <w:rFonts w:ascii="Book Antiqua" w:hAnsi="Book Antiqua" w:cs="Arial"/>
        </w:rPr>
        <w:t>udge next (at [38-41]) considered evidence of financial dependency finding it not plausible that the sponsor would not be able to name ex-army colleagues to whom he</w:t>
      </w:r>
      <w:r w:rsidR="002C07F1">
        <w:rPr>
          <w:rFonts w:ascii="Book Antiqua" w:hAnsi="Book Antiqua" w:cs="Arial"/>
        </w:rPr>
        <w:t xml:space="preserve"> claimed to have given money to take to his daughter.  Also, there was a lack of money transfer receipts particularly pre-2015.  Further, there was a lack of</w:t>
      </w:r>
      <w:r w:rsidR="00F57B4F">
        <w:rPr>
          <w:rFonts w:ascii="Book Antiqua" w:hAnsi="Book Antiqua" w:cs="Arial"/>
        </w:rPr>
        <w:t xml:space="preserve"> </w:t>
      </w:r>
      <w:r w:rsidR="002C07F1">
        <w:rPr>
          <w:rFonts w:ascii="Book Antiqua" w:hAnsi="Book Antiqua" w:cs="Arial"/>
        </w:rPr>
        <w:t xml:space="preserve">receipts in support of his claim to have paid for his daughter’s education at </w:t>
      </w:r>
      <w:proofErr w:type="spellStart"/>
      <w:r w:rsidR="002C07F1">
        <w:rPr>
          <w:rFonts w:ascii="Book Antiqua" w:hAnsi="Book Antiqua" w:cs="Arial"/>
        </w:rPr>
        <w:t>Ka</w:t>
      </w:r>
      <w:r w:rsidR="00C875BE">
        <w:rPr>
          <w:rFonts w:ascii="Book Antiqua" w:hAnsi="Book Antiqua" w:cs="Arial"/>
        </w:rPr>
        <w:t>l</w:t>
      </w:r>
      <w:r w:rsidR="002C07F1">
        <w:rPr>
          <w:rFonts w:ascii="Book Antiqua" w:hAnsi="Book Antiqua" w:cs="Arial"/>
        </w:rPr>
        <w:t>ika</w:t>
      </w:r>
      <w:proofErr w:type="spellEnd"/>
      <w:r w:rsidR="002C07F1">
        <w:rPr>
          <w:rFonts w:ascii="Book Antiqua" w:hAnsi="Book Antiqua" w:cs="Arial"/>
        </w:rPr>
        <w:t xml:space="preserve"> College.  In addition, the sponsor could give no plausible explanation why his daughter makes regular withdrawals from the bank account when he was sending over enough funds to meet her needs.</w:t>
      </w:r>
    </w:p>
    <w:p w:rsidR="002C07F1" w:rsidRDefault="002C07F1" w:rsidP="002C07F1">
      <w:pPr>
        <w:pStyle w:val="ListParagraph"/>
        <w:rPr>
          <w:rFonts w:ascii="Book Antiqua" w:hAnsi="Book Antiqua" w:cs="Arial"/>
        </w:rPr>
      </w:pPr>
    </w:p>
    <w:p w:rsidR="002C07F1" w:rsidRDefault="002C07F1" w:rsidP="00FC4FA4">
      <w:pPr>
        <w:numPr>
          <w:ilvl w:val="0"/>
          <w:numId w:val="3"/>
        </w:numPr>
        <w:ind w:left="567" w:hanging="567"/>
        <w:jc w:val="both"/>
        <w:rPr>
          <w:rFonts w:ascii="Book Antiqua" w:hAnsi="Book Antiqua" w:cs="Arial"/>
        </w:rPr>
      </w:pPr>
      <w:r>
        <w:rPr>
          <w:rFonts w:ascii="Book Antiqua" w:hAnsi="Book Antiqua" w:cs="Arial"/>
        </w:rPr>
        <w:t>In the</w:t>
      </w:r>
      <w:r w:rsidR="009C723E">
        <w:rPr>
          <w:rFonts w:ascii="Book Antiqua" w:hAnsi="Book Antiqua" w:cs="Arial"/>
        </w:rPr>
        <w:t xml:space="preserve"> next part of the decision the j</w:t>
      </w:r>
      <w:r>
        <w:rPr>
          <w:rFonts w:ascii="Book Antiqua" w:hAnsi="Book Antiqua" w:cs="Arial"/>
        </w:rPr>
        <w:t>udge did not give weight to items purporting to come from the appellant’s college,</w:t>
      </w:r>
      <w:r w:rsidR="006B765F">
        <w:rPr>
          <w:rFonts w:ascii="Book Antiqua" w:hAnsi="Book Antiqua" w:cs="Arial"/>
        </w:rPr>
        <w:t xml:space="preserve"> namely,</w:t>
      </w:r>
      <w:r>
        <w:rPr>
          <w:rFonts w:ascii="Book Antiqua" w:hAnsi="Book Antiqua" w:cs="Arial"/>
        </w:rPr>
        <w:t xml:space="preserve"> educational and other certificates</w:t>
      </w:r>
      <w:r w:rsidR="005B30CF">
        <w:rPr>
          <w:rFonts w:ascii="Book Antiqua" w:hAnsi="Book Antiqua" w:cs="Arial"/>
        </w:rPr>
        <w:t>,</w:t>
      </w:r>
      <w:r>
        <w:rPr>
          <w:rFonts w:ascii="Book Antiqua" w:hAnsi="Book Antiqua" w:cs="Arial"/>
        </w:rPr>
        <w:t xml:space="preserve"> mainly because they were copies and were in English.</w:t>
      </w:r>
    </w:p>
    <w:p w:rsidR="002C07F1" w:rsidRDefault="002C07F1" w:rsidP="002C07F1">
      <w:pPr>
        <w:pStyle w:val="ListParagraph"/>
        <w:rPr>
          <w:rFonts w:ascii="Book Antiqua" w:hAnsi="Book Antiqua" w:cs="Arial"/>
        </w:rPr>
      </w:pPr>
    </w:p>
    <w:p w:rsidR="00C92745" w:rsidRDefault="002C07F1" w:rsidP="00FC4FA4">
      <w:pPr>
        <w:numPr>
          <w:ilvl w:val="0"/>
          <w:numId w:val="3"/>
        </w:numPr>
        <w:ind w:left="567" w:hanging="567"/>
        <w:jc w:val="both"/>
        <w:rPr>
          <w:rFonts w:ascii="Book Antiqua" w:hAnsi="Book Antiqua" w:cs="Arial"/>
        </w:rPr>
      </w:pPr>
      <w:r>
        <w:rPr>
          <w:rFonts w:ascii="Book Antiqua" w:hAnsi="Book Antiqua" w:cs="Arial"/>
        </w:rPr>
        <w:t>As</w:t>
      </w:r>
      <w:r w:rsidR="006B765F">
        <w:rPr>
          <w:rFonts w:ascii="Book Antiqua" w:hAnsi="Book Antiqua" w:cs="Arial"/>
        </w:rPr>
        <w:t xml:space="preserve"> for a verification report</w:t>
      </w:r>
      <w:r w:rsidR="00465526">
        <w:rPr>
          <w:rFonts w:ascii="Book Antiqua" w:hAnsi="Book Antiqua" w:cs="Arial"/>
        </w:rPr>
        <w:t xml:space="preserve"> and emails</w:t>
      </w:r>
      <w:r w:rsidR="00C875BE">
        <w:rPr>
          <w:rFonts w:ascii="Book Antiqua" w:hAnsi="Book Antiqua" w:cs="Arial"/>
        </w:rPr>
        <w:t xml:space="preserve"> from a computer association</w:t>
      </w:r>
      <w:r w:rsidR="00C92745">
        <w:rPr>
          <w:rFonts w:ascii="Book Antiqua" w:hAnsi="Book Antiqua" w:cs="Arial"/>
        </w:rPr>
        <w:t xml:space="preserve"> relating to the educational certificates that the Presenting Officer lodged on the day of the hearing which indicated that the certificates were questionable because three of them had the </w:t>
      </w:r>
      <w:r w:rsidR="00C92745">
        <w:rPr>
          <w:rFonts w:ascii="Book Antiqua" w:hAnsi="Book Antiqua" w:cs="Arial"/>
        </w:rPr>
        <w:lastRenderedPageBreak/>
        <w:t>same reference number when they shoul</w:t>
      </w:r>
      <w:r w:rsidR="006B765F">
        <w:rPr>
          <w:rFonts w:ascii="Book Antiqua" w:hAnsi="Book Antiqua" w:cs="Arial"/>
        </w:rPr>
        <w:t xml:space="preserve">d all be different, </w:t>
      </w:r>
      <w:r w:rsidR="00C875BE">
        <w:rPr>
          <w:rFonts w:ascii="Book Antiqua" w:hAnsi="Book Antiqua" w:cs="Arial"/>
        </w:rPr>
        <w:t xml:space="preserve">after assessing the evidence </w:t>
      </w:r>
      <w:r w:rsidR="006B765F">
        <w:rPr>
          <w:rFonts w:ascii="Book Antiqua" w:hAnsi="Book Antiqua" w:cs="Arial"/>
        </w:rPr>
        <w:t>she gave th</w:t>
      </w:r>
      <w:r w:rsidR="00C875BE">
        <w:rPr>
          <w:rFonts w:ascii="Book Antiqua" w:hAnsi="Book Antiqua" w:cs="Arial"/>
        </w:rPr>
        <w:t xml:space="preserve">e </w:t>
      </w:r>
      <w:proofErr w:type="gramStart"/>
      <w:r w:rsidR="00C875BE">
        <w:rPr>
          <w:rFonts w:ascii="Book Antiqua" w:hAnsi="Book Antiqua" w:cs="Arial"/>
        </w:rPr>
        <w:t xml:space="preserve">emails </w:t>
      </w:r>
      <w:r w:rsidR="00C92745">
        <w:rPr>
          <w:rFonts w:ascii="Book Antiqua" w:hAnsi="Book Antiqua" w:cs="Arial"/>
        </w:rPr>
        <w:t xml:space="preserve"> “</w:t>
      </w:r>
      <w:proofErr w:type="gramEnd"/>
      <w:r w:rsidR="00C92745" w:rsidRPr="009C723E">
        <w:rPr>
          <w:rFonts w:ascii="Book Antiqua" w:hAnsi="Book Antiqua" w:cs="Arial"/>
          <w:i/>
        </w:rPr>
        <w:t>some evidential value</w:t>
      </w:r>
      <w:r w:rsidR="00C92745">
        <w:rPr>
          <w:rFonts w:ascii="Book Antiqua" w:hAnsi="Book Antiqua" w:cs="Arial"/>
        </w:rPr>
        <w:t>”</w:t>
      </w:r>
      <w:r w:rsidR="00C875BE">
        <w:rPr>
          <w:rFonts w:ascii="Book Antiqua" w:hAnsi="Book Antiqua" w:cs="Arial"/>
        </w:rPr>
        <w:t>[57]</w:t>
      </w:r>
      <w:r w:rsidR="00C92745">
        <w:rPr>
          <w:rFonts w:ascii="Book Antiqua" w:hAnsi="Book Antiqua" w:cs="Arial"/>
        </w:rPr>
        <w:t>.</w:t>
      </w:r>
    </w:p>
    <w:p w:rsidR="00C92745" w:rsidRDefault="00C92745" w:rsidP="00C92745">
      <w:pPr>
        <w:pStyle w:val="ListParagraph"/>
        <w:rPr>
          <w:rFonts w:ascii="Book Antiqua" w:hAnsi="Book Antiqua" w:cs="Arial"/>
        </w:rPr>
      </w:pPr>
    </w:p>
    <w:p w:rsidR="00C92745" w:rsidRDefault="009C723E" w:rsidP="00FC4FA4">
      <w:pPr>
        <w:numPr>
          <w:ilvl w:val="0"/>
          <w:numId w:val="3"/>
        </w:numPr>
        <w:ind w:left="567" w:hanging="567"/>
        <w:jc w:val="both"/>
        <w:rPr>
          <w:rFonts w:ascii="Book Antiqua" w:hAnsi="Book Antiqua" w:cs="Arial"/>
        </w:rPr>
      </w:pPr>
      <w:r>
        <w:rPr>
          <w:rFonts w:ascii="Book Antiqua" w:hAnsi="Book Antiqua" w:cs="Arial"/>
        </w:rPr>
        <w:t>The j</w:t>
      </w:r>
      <w:r w:rsidR="00C92745">
        <w:rPr>
          <w:rFonts w:ascii="Book Antiqua" w:hAnsi="Book Antiqua" w:cs="Arial"/>
        </w:rPr>
        <w:t>udge accepted that the sponsor had made visits to Nepal but found that there was a lack of documentary evidence particularly pre-2017.  She added “</w:t>
      </w:r>
      <w:r w:rsidR="00C92745" w:rsidRPr="009C723E">
        <w:rPr>
          <w:rFonts w:ascii="Book Antiqua" w:hAnsi="Book Antiqua" w:cs="Arial"/>
          <w:i/>
        </w:rPr>
        <w:t>because there</w:t>
      </w:r>
      <w:r w:rsidR="00C92745">
        <w:rPr>
          <w:rFonts w:ascii="Book Antiqua" w:hAnsi="Book Antiqua" w:cs="Arial"/>
        </w:rPr>
        <w:t xml:space="preserve"> </w:t>
      </w:r>
      <w:r w:rsidR="00C92745" w:rsidRPr="009C723E">
        <w:rPr>
          <w:rFonts w:ascii="Book Antiqua" w:hAnsi="Book Antiqua" w:cs="Arial"/>
          <w:i/>
        </w:rPr>
        <w:t>has been some contact between them does not make the appellant the sponsor’s biological child</w:t>
      </w:r>
      <w:r w:rsidR="00C92745">
        <w:rPr>
          <w:rFonts w:ascii="Book Antiqua" w:hAnsi="Book Antiqua" w:cs="Arial"/>
        </w:rPr>
        <w:t>” [48].</w:t>
      </w:r>
    </w:p>
    <w:p w:rsidR="00C92745" w:rsidRDefault="00C92745" w:rsidP="00C92745">
      <w:pPr>
        <w:pStyle w:val="ListParagraph"/>
        <w:rPr>
          <w:rFonts w:ascii="Book Antiqua" w:hAnsi="Book Antiqua" w:cs="Arial"/>
        </w:rPr>
      </w:pPr>
    </w:p>
    <w:p w:rsidR="00490793" w:rsidRDefault="00490793" w:rsidP="00FC4FA4">
      <w:pPr>
        <w:numPr>
          <w:ilvl w:val="0"/>
          <w:numId w:val="3"/>
        </w:numPr>
        <w:ind w:left="567" w:hanging="567"/>
        <w:jc w:val="both"/>
        <w:rPr>
          <w:rFonts w:ascii="Book Antiqua" w:hAnsi="Book Antiqua" w:cs="Arial"/>
        </w:rPr>
      </w:pPr>
      <w:r>
        <w:rPr>
          <w:rFonts w:ascii="Book Antiqua" w:hAnsi="Book Antiqua" w:cs="Arial"/>
        </w:rPr>
        <w:t>She repeated her conclusion (at [52]) that the appellant had not satisfied her that she is the biological daughter of the sponsor and that Sarita Gurung and Maya Gurung are one and the same person.</w:t>
      </w:r>
    </w:p>
    <w:p w:rsidR="00490793" w:rsidRDefault="00490793" w:rsidP="00490793">
      <w:pPr>
        <w:pStyle w:val="ListParagraph"/>
        <w:rPr>
          <w:rFonts w:ascii="Book Antiqua" w:hAnsi="Book Antiqua" w:cs="Arial"/>
        </w:rPr>
      </w:pPr>
    </w:p>
    <w:p w:rsidR="00490793" w:rsidRPr="00490793" w:rsidRDefault="00490793" w:rsidP="00490793">
      <w:pPr>
        <w:jc w:val="both"/>
        <w:rPr>
          <w:rFonts w:ascii="Book Antiqua" w:hAnsi="Book Antiqua" w:cs="Arial"/>
          <w:b/>
          <w:u w:val="single"/>
        </w:rPr>
      </w:pPr>
      <w:r w:rsidRPr="00490793">
        <w:rPr>
          <w:rFonts w:ascii="Book Antiqua" w:hAnsi="Book Antiqua" w:cs="Arial"/>
          <w:b/>
          <w:u w:val="single"/>
        </w:rPr>
        <w:t>Error of Law Hearing</w:t>
      </w:r>
    </w:p>
    <w:p w:rsidR="00490793" w:rsidRDefault="00490793" w:rsidP="00490793">
      <w:pPr>
        <w:pStyle w:val="ListParagraph"/>
        <w:rPr>
          <w:rFonts w:ascii="Book Antiqua" w:hAnsi="Book Antiqua" w:cs="Arial"/>
        </w:rPr>
      </w:pPr>
    </w:p>
    <w:p w:rsidR="00490793" w:rsidRDefault="00490793" w:rsidP="00FC4FA4">
      <w:pPr>
        <w:numPr>
          <w:ilvl w:val="0"/>
          <w:numId w:val="3"/>
        </w:numPr>
        <w:ind w:left="567" w:hanging="567"/>
        <w:jc w:val="both"/>
        <w:rPr>
          <w:rFonts w:ascii="Book Antiqua" w:hAnsi="Book Antiqua" w:cs="Arial"/>
        </w:rPr>
      </w:pPr>
      <w:r>
        <w:rPr>
          <w:rFonts w:ascii="Book Antiqua" w:hAnsi="Book Antiqua" w:cs="Arial"/>
        </w:rPr>
        <w:t>The appellant sought permission to appeal which was granted on 5 February 2018.</w:t>
      </w:r>
    </w:p>
    <w:p w:rsidR="00490793" w:rsidRDefault="00490793" w:rsidP="00490793">
      <w:pPr>
        <w:jc w:val="both"/>
        <w:rPr>
          <w:rFonts w:ascii="Book Antiqua" w:hAnsi="Book Antiqua" w:cs="Arial"/>
        </w:rPr>
      </w:pPr>
    </w:p>
    <w:p w:rsidR="00490793" w:rsidRDefault="00490793" w:rsidP="00FC4FA4">
      <w:pPr>
        <w:numPr>
          <w:ilvl w:val="0"/>
          <w:numId w:val="3"/>
        </w:numPr>
        <w:ind w:left="567" w:hanging="567"/>
        <w:jc w:val="both"/>
        <w:rPr>
          <w:rFonts w:ascii="Book Antiqua" w:hAnsi="Book Antiqua" w:cs="Arial"/>
        </w:rPr>
      </w:pPr>
      <w:r>
        <w:rPr>
          <w:rFonts w:ascii="Book Antiqua" w:hAnsi="Book Antiqua" w:cs="Arial"/>
        </w:rPr>
        <w:t xml:space="preserve">The crux of Mr </w:t>
      </w:r>
      <w:r w:rsidR="009C723E">
        <w:rPr>
          <w:rFonts w:ascii="Book Antiqua" w:hAnsi="Book Antiqua" w:cs="Arial"/>
        </w:rPr>
        <w:t>Puar’s submission was that the j</w:t>
      </w:r>
      <w:r>
        <w:rPr>
          <w:rFonts w:ascii="Book Antiqua" w:hAnsi="Book Antiqua" w:cs="Arial"/>
        </w:rPr>
        <w:t>udge was wrong to find that the appellant is not the sponsor’s daughter not least because her finding that the birth certificate was not before the ECO/ECM was clearly inaccu</w:t>
      </w:r>
      <w:r w:rsidR="009C723E">
        <w:rPr>
          <w:rFonts w:ascii="Book Antiqua" w:hAnsi="Book Antiqua" w:cs="Arial"/>
        </w:rPr>
        <w:t>rate.  The refusal letter relied</w:t>
      </w:r>
      <w:r>
        <w:rPr>
          <w:rFonts w:ascii="Book Antiqua" w:hAnsi="Book Antiqua" w:cs="Arial"/>
        </w:rPr>
        <w:t xml:space="preserve"> on information provided in the birth certificate to reach certain conclusions.  It was not concluded that the birth certificate was false, simply that it was “</w:t>
      </w:r>
      <w:r w:rsidR="00637B70" w:rsidRPr="009C723E">
        <w:rPr>
          <w:rFonts w:ascii="Book Antiqua" w:hAnsi="Book Antiqua" w:cs="Arial"/>
          <w:i/>
        </w:rPr>
        <w:t>un</w:t>
      </w:r>
      <w:r w:rsidRPr="009C723E">
        <w:rPr>
          <w:rFonts w:ascii="Book Antiqua" w:hAnsi="Book Antiqua" w:cs="Arial"/>
          <w:i/>
        </w:rPr>
        <w:t>usual</w:t>
      </w:r>
      <w:r>
        <w:rPr>
          <w:rFonts w:ascii="Book Antiqua" w:hAnsi="Book Antiqua" w:cs="Arial"/>
        </w:rPr>
        <w:t>”.  Indeed, it was not clear that the respondent gave as a reason for refusing the application that the sponsor and appellant are unrelated.</w:t>
      </w:r>
    </w:p>
    <w:p w:rsidR="00490793" w:rsidRDefault="00490793" w:rsidP="00490793">
      <w:pPr>
        <w:pStyle w:val="ListParagraph"/>
        <w:rPr>
          <w:rFonts w:ascii="Book Antiqua" w:hAnsi="Book Antiqua" w:cs="Arial"/>
        </w:rPr>
      </w:pPr>
    </w:p>
    <w:p w:rsidR="0069096D" w:rsidRDefault="00490793" w:rsidP="00FC4FA4">
      <w:pPr>
        <w:numPr>
          <w:ilvl w:val="0"/>
          <w:numId w:val="3"/>
        </w:numPr>
        <w:ind w:left="567" w:hanging="567"/>
        <w:jc w:val="both"/>
        <w:rPr>
          <w:rFonts w:ascii="Book Antiqua" w:hAnsi="Book Antiqua" w:cs="Arial"/>
        </w:rPr>
      </w:pPr>
      <w:r>
        <w:rPr>
          <w:rFonts w:ascii="Book Antiqua" w:hAnsi="Book Antiqua" w:cs="Arial"/>
        </w:rPr>
        <w:t xml:space="preserve">Further, </w:t>
      </w:r>
      <w:r w:rsidR="009C723E">
        <w:rPr>
          <w:rFonts w:ascii="Book Antiqua" w:hAnsi="Book Antiqua" w:cs="Arial"/>
        </w:rPr>
        <w:t>the j</w:t>
      </w:r>
      <w:r w:rsidR="00B45EC9">
        <w:rPr>
          <w:rFonts w:ascii="Book Antiqua" w:hAnsi="Book Antiqua" w:cs="Arial"/>
        </w:rPr>
        <w:t>udge failed to have regard to o</w:t>
      </w:r>
      <w:r w:rsidR="0069096D">
        <w:rPr>
          <w:rFonts w:ascii="Book Antiqua" w:hAnsi="Book Antiqua" w:cs="Arial"/>
        </w:rPr>
        <w:t>ther evidence which was before her that confirmed that despite the appellant being referred to as Maya and Sarita within the documentation provided, she is the same person.  An explanation for why she had changed her birth name, namely that she did not like it,</w:t>
      </w:r>
      <w:r>
        <w:rPr>
          <w:rFonts w:ascii="Book Antiqua" w:hAnsi="Book Antiqua" w:cs="Arial"/>
        </w:rPr>
        <w:t xml:space="preserve"> </w:t>
      </w:r>
      <w:r w:rsidR="009C723E">
        <w:rPr>
          <w:rFonts w:ascii="Book Antiqua" w:hAnsi="Book Antiqua" w:cs="Arial"/>
        </w:rPr>
        <w:t>had not been considered by the j</w:t>
      </w:r>
      <w:r w:rsidR="0069096D">
        <w:rPr>
          <w:rFonts w:ascii="Book Antiqua" w:hAnsi="Book Antiqua" w:cs="Arial"/>
        </w:rPr>
        <w:t xml:space="preserve">udge.  As for the claim that she should have submitted her old </w:t>
      </w:r>
      <w:r w:rsidR="009C723E">
        <w:rPr>
          <w:rFonts w:ascii="Book Antiqua" w:hAnsi="Book Antiqua" w:cs="Arial"/>
        </w:rPr>
        <w:t>passport in her birth name the j</w:t>
      </w:r>
      <w:r w:rsidR="0069096D">
        <w:rPr>
          <w:rFonts w:ascii="Book Antiqua" w:hAnsi="Book Antiqua" w:cs="Arial"/>
        </w:rPr>
        <w:t>udge had failed to note that she had changed her name while still at school.  She did not have a passport then.</w:t>
      </w:r>
    </w:p>
    <w:p w:rsidR="0069096D" w:rsidRDefault="0069096D" w:rsidP="0069096D">
      <w:pPr>
        <w:pStyle w:val="ListParagraph"/>
        <w:rPr>
          <w:rFonts w:ascii="Book Antiqua" w:hAnsi="Book Antiqua" w:cs="Arial"/>
        </w:rPr>
      </w:pPr>
    </w:p>
    <w:p w:rsidR="009B3C51" w:rsidRDefault="009B3C51" w:rsidP="00FC4FA4">
      <w:pPr>
        <w:numPr>
          <w:ilvl w:val="0"/>
          <w:numId w:val="3"/>
        </w:numPr>
        <w:ind w:left="567" w:hanging="567"/>
        <w:jc w:val="both"/>
        <w:rPr>
          <w:rFonts w:ascii="Book Antiqua" w:hAnsi="Book Antiqua" w:cs="Arial"/>
        </w:rPr>
      </w:pPr>
      <w:r>
        <w:rPr>
          <w:rFonts w:ascii="Book Antiqua" w:hAnsi="Book Antiqua" w:cs="Arial"/>
        </w:rPr>
        <w:t xml:space="preserve">The thrust of the </w:t>
      </w:r>
      <w:r w:rsidR="009C723E">
        <w:rPr>
          <w:rFonts w:ascii="Book Antiqua" w:hAnsi="Book Antiqua" w:cs="Arial"/>
        </w:rPr>
        <w:t>remaining grounds was that the j</w:t>
      </w:r>
      <w:r>
        <w:rPr>
          <w:rFonts w:ascii="Book Antiqua" w:hAnsi="Book Antiqua" w:cs="Arial"/>
        </w:rPr>
        <w:t>udge did not place</w:t>
      </w:r>
      <w:r w:rsidR="00490793">
        <w:rPr>
          <w:rFonts w:ascii="Book Antiqua" w:hAnsi="Book Antiqua" w:cs="Arial"/>
        </w:rPr>
        <w:t xml:space="preserve"> </w:t>
      </w:r>
      <w:r>
        <w:rPr>
          <w:rFonts w:ascii="Book Antiqua" w:hAnsi="Book Antiqua" w:cs="Arial"/>
        </w:rPr>
        <w:t>sufficient weight, if any, on representations made by the appellant in relation to aspects of the verification report and email correspondence provided by the respondent in relation to the submission of false certificates in respect of the computer course.  Mr Puar said he did not seek to add</w:t>
      </w:r>
      <w:r w:rsidR="009C723E">
        <w:rPr>
          <w:rFonts w:ascii="Book Antiqua" w:hAnsi="Book Antiqua" w:cs="Arial"/>
        </w:rPr>
        <w:t>ress me on this because if the j</w:t>
      </w:r>
      <w:r>
        <w:rPr>
          <w:rFonts w:ascii="Book Antiqua" w:hAnsi="Book Antiqua" w:cs="Arial"/>
        </w:rPr>
        <w:t>udge’s approach to the relationship issue was flawed the appeal would need to be heard again when the other issues including proportionality can be dealt with.</w:t>
      </w:r>
    </w:p>
    <w:p w:rsidR="009B3C51" w:rsidRDefault="009B3C51" w:rsidP="009B3C51">
      <w:pPr>
        <w:pStyle w:val="ListParagraph"/>
        <w:rPr>
          <w:rFonts w:ascii="Book Antiqua" w:hAnsi="Book Antiqua" w:cs="Arial"/>
        </w:rPr>
      </w:pPr>
    </w:p>
    <w:p w:rsidR="009B3C51" w:rsidRDefault="009B3C51" w:rsidP="00FC4FA4">
      <w:pPr>
        <w:numPr>
          <w:ilvl w:val="0"/>
          <w:numId w:val="3"/>
        </w:numPr>
        <w:ind w:left="567" w:hanging="567"/>
        <w:jc w:val="both"/>
        <w:rPr>
          <w:rFonts w:ascii="Book Antiqua" w:hAnsi="Book Antiqua" w:cs="Arial"/>
        </w:rPr>
      </w:pPr>
      <w:r>
        <w:rPr>
          <w:rFonts w:ascii="Book Antiqua" w:hAnsi="Book Antiqua" w:cs="Arial"/>
        </w:rPr>
        <w:t xml:space="preserve">Mr Bramble, in reply, agreed that if </w:t>
      </w:r>
      <w:r w:rsidR="009C723E">
        <w:rPr>
          <w:rFonts w:ascii="Book Antiqua" w:hAnsi="Book Antiqua" w:cs="Arial"/>
        </w:rPr>
        <w:t>there had been an error in the j</w:t>
      </w:r>
      <w:r>
        <w:rPr>
          <w:rFonts w:ascii="Book Antiqua" w:hAnsi="Book Antiqua" w:cs="Arial"/>
        </w:rPr>
        <w:t>udge’s assessment of the relationship such would be fatal and a rehearing would be required.  The respondent’s position in the refusal letter was that the relationship wa</w:t>
      </w:r>
      <w:r w:rsidR="009C723E">
        <w:rPr>
          <w:rFonts w:ascii="Book Antiqua" w:hAnsi="Book Antiqua" w:cs="Arial"/>
        </w:rPr>
        <w:t>s not established.  Whilst the j</w:t>
      </w:r>
      <w:r>
        <w:rPr>
          <w:rFonts w:ascii="Book Antiqua" w:hAnsi="Book Antiqua" w:cs="Arial"/>
        </w:rPr>
        <w:t>udge had been wrong to find that the birth certificate was not before the ECO at the time of the application, nonetheless, looking at the evidence in the round, the onus being on the appellant and noting the lack of documentation in supp</w:t>
      </w:r>
      <w:r w:rsidR="009C723E">
        <w:rPr>
          <w:rFonts w:ascii="Book Antiqua" w:hAnsi="Book Antiqua" w:cs="Arial"/>
        </w:rPr>
        <w:t xml:space="preserve">ort of </w:t>
      </w:r>
      <w:r w:rsidR="009C723E">
        <w:rPr>
          <w:rFonts w:ascii="Book Antiqua" w:hAnsi="Book Antiqua" w:cs="Arial"/>
        </w:rPr>
        <w:lastRenderedPageBreak/>
        <w:t>the change of name, the j</w:t>
      </w:r>
      <w:r>
        <w:rPr>
          <w:rFonts w:ascii="Book Antiqua" w:hAnsi="Book Antiqua" w:cs="Arial"/>
        </w:rPr>
        <w:t>udge had been entitled to find that the relationship had not been established.  Having done so there was no need to go any further.</w:t>
      </w:r>
    </w:p>
    <w:p w:rsidR="009C723E" w:rsidRDefault="009C723E" w:rsidP="009C723E">
      <w:pPr>
        <w:pStyle w:val="ListParagraph"/>
        <w:rPr>
          <w:rFonts w:ascii="Book Antiqua" w:hAnsi="Book Antiqua" w:cs="Arial"/>
        </w:rPr>
      </w:pPr>
    </w:p>
    <w:p w:rsidR="009C723E" w:rsidRPr="006B765F" w:rsidRDefault="00200D18" w:rsidP="009C723E">
      <w:pPr>
        <w:ind w:left="567"/>
        <w:jc w:val="both"/>
        <w:rPr>
          <w:rFonts w:ascii="Book Antiqua" w:hAnsi="Book Antiqua" w:cs="Arial"/>
          <w:b/>
          <w:u w:val="single"/>
        </w:rPr>
      </w:pPr>
      <w:r w:rsidRPr="006B765F">
        <w:rPr>
          <w:rFonts w:ascii="Book Antiqua" w:hAnsi="Book Antiqua" w:cs="Arial"/>
          <w:b/>
          <w:u w:val="single"/>
        </w:rPr>
        <w:t>Consideration</w:t>
      </w:r>
    </w:p>
    <w:p w:rsidR="009B3C51" w:rsidRDefault="009B3C51" w:rsidP="009B3C51">
      <w:pPr>
        <w:pStyle w:val="ListParagraph"/>
        <w:rPr>
          <w:rFonts w:ascii="Book Antiqua" w:hAnsi="Book Antiqua" w:cs="Arial"/>
        </w:rPr>
      </w:pPr>
    </w:p>
    <w:p w:rsidR="009B3C51" w:rsidRDefault="009B3C51" w:rsidP="00FC4FA4">
      <w:pPr>
        <w:numPr>
          <w:ilvl w:val="0"/>
          <w:numId w:val="3"/>
        </w:numPr>
        <w:ind w:left="567" w:hanging="567"/>
        <w:jc w:val="both"/>
        <w:rPr>
          <w:rFonts w:ascii="Book Antiqua" w:hAnsi="Book Antiqua" w:cs="Arial"/>
        </w:rPr>
      </w:pPr>
      <w:r>
        <w:rPr>
          <w:rFonts w:ascii="Book Antiqua" w:hAnsi="Book Antiqua" w:cs="Arial"/>
        </w:rPr>
        <w:t xml:space="preserve">In considering this matter, whilst the ECO could perhaps have expressed his conclusion </w:t>
      </w:r>
      <w:r w:rsidR="00637B70">
        <w:rPr>
          <w:rFonts w:ascii="Book Antiqua" w:hAnsi="Book Antiqua" w:cs="Arial"/>
        </w:rPr>
        <w:t>on</w:t>
      </w:r>
      <w:r>
        <w:rPr>
          <w:rFonts w:ascii="Book Antiqua" w:hAnsi="Book Antiqua" w:cs="Arial"/>
        </w:rPr>
        <w:t xml:space="preserve"> the relationship more clearly it is evident from the refusal letter that the relationship was disputed.  Mr Bramble confirmed such.  Such may also have been made clear in the ECM’s review.  However, it is not in the file and neither side had it.</w:t>
      </w:r>
    </w:p>
    <w:p w:rsidR="009B3C51" w:rsidRDefault="009B3C51" w:rsidP="009B3C51">
      <w:pPr>
        <w:pStyle w:val="ListParagraph"/>
        <w:rPr>
          <w:rFonts w:ascii="Book Antiqua" w:hAnsi="Book Antiqua" w:cs="Arial"/>
        </w:rPr>
      </w:pPr>
    </w:p>
    <w:p w:rsidR="00BA2622" w:rsidRDefault="00200D18" w:rsidP="00FC4FA4">
      <w:pPr>
        <w:numPr>
          <w:ilvl w:val="0"/>
          <w:numId w:val="3"/>
        </w:numPr>
        <w:ind w:left="567" w:hanging="567"/>
        <w:jc w:val="both"/>
        <w:rPr>
          <w:rFonts w:ascii="Book Antiqua" w:hAnsi="Book Antiqua" w:cs="Arial"/>
        </w:rPr>
      </w:pPr>
      <w:r>
        <w:rPr>
          <w:rFonts w:ascii="Book Antiqua" w:hAnsi="Book Antiqua" w:cs="Arial"/>
        </w:rPr>
        <w:t>Whilst the j</w:t>
      </w:r>
      <w:r w:rsidR="009B3C51">
        <w:rPr>
          <w:rFonts w:ascii="Book Antiqua" w:hAnsi="Book Antiqua" w:cs="Arial"/>
        </w:rPr>
        <w:t xml:space="preserve">udge was thus correct to </w:t>
      </w:r>
      <w:r w:rsidR="00BA2622">
        <w:rPr>
          <w:rFonts w:ascii="Book Antiqua" w:hAnsi="Book Antiqua" w:cs="Arial"/>
        </w:rPr>
        <w:t xml:space="preserve">deal with the matter, </w:t>
      </w:r>
      <w:r>
        <w:rPr>
          <w:rFonts w:ascii="Book Antiqua" w:hAnsi="Book Antiqua" w:cs="Arial"/>
        </w:rPr>
        <w:t>the difficulty is that</w:t>
      </w:r>
      <w:r w:rsidR="00BA2622">
        <w:rPr>
          <w:rFonts w:ascii="Book Antiqua" w:hAnsi="Book Antiqua" w:cs="Arial"/>
        </w:rPr>
        <w:t xml:space="preserve"> in her analysis of the relationship</w:t>
      </w:r>
      <w:r>
        <w:rPr>
          <w:rFonts w:ascii="Book Antiqua" w:hAnsi="Book Antiqua" w:cs="Arial"/>
        </w:rPr>
        <w:t xml:space="preserve"> she</w:t>
      </w:r>
      <w:r w:rsidR="00BA2622">
        <w:rPr>
          <w:rFonts w:ascii="Book Antiqua" w:hAnsi="Book Antiqua" w:cs="Arial"/>
        </w:rPr>
        <w:t xml:space="preserve"> proceeded on a misapprehension of an imp</w:t>
      </w:r>
      <w:r>
        <w:rPr>
          <w:rFonts w:ascii="Book Antiqua" w:hAnsi="Book Antiqua" w:cs="Arial"/>
        </w:rPr>
        <w:t>ortant fact.  At [36] she relied</w:t>
      </w:r>
      <w:r w:rsidR="00BA2622">
        <w:rPr>
          <w:rFonts w:ascii="Book Antiqua" w:hAnsi="Book Antiqua" w:cs="Arial"/>
        </w:rPr>
        <w:t xml:space="preserve"> heavily on the absence until the morning of the hearing of a copy birth certificate.  She finds</w:t>
      </w:r>
      <w:r>
        <w:rPr>
          <w:rFonts w:ascii="Book Antiqua" w:hAnsi="Book Antiqua" w:cs="Arial"/>
        </w:rPr>
        <w:t>,</w:t>
      </w:r>
      <w:r w:rsidR="00BA2622">
        <w:rPr>
          <w:rFonts w:ascii="Book Antiqua" w:hAnsi="Book Antiqua" w:cs="Arial"/>
        </w:rPr>
        <w:t xml:space="preserve"> as indicated</w:t>
      </w:r>
      <w:r>
        <w:rPr>
          <w:rFonts w:ascii="Book Antiqua" w:hAnsi="Book Antiqua" w:cs="Arial"/>
        </w:rPr>
        <w:t>,</w:t>
      </w:r>
      <w:r w:rsidR="00BA2622">
        <w:rPr>
          <w:rFonts w:ascii="Book Antiqua" w:hAnsi="Book Antiqua" w:cs="Arial"/>
        </w:rPr>
        <w:t xml:space="preserve"> that “</w:t>
      </w:r>
      <w:r w:rsidR="00BA2622" w:rsidRPr="00200D18">
        <w:rPr>
          <w:rFonts w:ascii="Book Antiqua" w:hAnsi="Book Antiqua" w:cs="Arial"/>
          <w:i/>
        </w:rPr>
        <w:t>there is no record to show that</w:t>
      </w:r>
      <w:r w:rsidR="00BA2622">
        <w:rPr>
          <w:rFonts w:ascii="Book Antiqua" w:hAnsi="Book Antiqua" w:cs="Arial"/>
        </w:rPr>
        <w:t xml:space="preserve"> </w:t>
      </w:r>
      <w:r w:rsidR="00BA2622" w:rsidRPr="00200D18">
        <w:rPr>
          <w:rFonts w:ascii="Book Antiqua" w:hAnsi="Book Antiqua" w:cs="Arial"/>
          <w:i/>
        </w:rPr>
        <w:t>these were before the ECO at the time of the application or the ECM at the time of the</w:t>
      </w:r>
      <w:r w:rsidR="00BA2622">
        <w:rPr>
          <w:rFonts w:ascii="Book Antiqua" w:hAnsi="Book Antiqua" w:cs="Arial"/>
        </w:rPr>
        <w:t xml:space="preserve"> </w:t>
      </w:r>
      <w:r w:rsidR="00BA2622" w:rsidRPr="00200D18">
        <w:rPr>
          <w:rFonts w:ascii="Book Antiqua" w:hAnsi="Book Antiqua" w:cs="Arial"/>
          <w:i/>
        </w:rPr>
        <w:t>review</w:t>
      </w:r>
      <w:r>
        <w:rPr>
          <w:rFonts w:ascii="Book Antiqua" w:hAnsi="Book Antiqua" w:cs="Arial"/>
        </w:rPr>
        <w:t>”.  She added</w:t>
      </w:r>
      <w:r w:rsidR="00BA2622">
        <w:rPr>
          <w:rFonts w:ascii="Book Antiqua" w:hAnsi="Book Antiqua" w:cs="Arial"/>
        </w:rPr>
        <w:t xml:space="preserve"> that because of the late lodging of the item the respondent was “</w:t>
      </w:r>
      <w:r w:rsidR="00BA2622" w:rsidRPr="00200D18">
        <w:rPr>
          <w:rFonts w:ascii="Book Antiqua" w:hAnsi="Book Antiqua" w:cs="Arial"/>
          <w:i/>
        </w:rPr>
        <w:t>denied the</w:t>
      </w:r>
      <w:r w:rsidR="00BA2622">
        <w:rPr>
          <w:rFonts w:ascii="Book Antiqua" w:hAnsi="Book Antiqua" w:cs="Arial"/>
        </w:rPr>
        <w:t xml:space="preserve"> </w:t>
      </w:r>
      <w:r w:rsidR="00B41EC2">
        <w:rPr>
          <w:rFonts w:ascii="Book Antiqua" w:hAnsi="Book Antiqua" w:cs="Arial"/>
          <w:i/>
        </w:rPr>
        <w:t>opportunity to check ou</w:t>
      </w:r>
      <w:r w:rsidR="00BA2622" w:rsidRPr="00200D18">
        <w:rPr>
          <w:rFonts w:ascii="Book Antiqua" w:hAnsi="Book Antiqua" w:cs="Arial"/>
          <w:i/>
        </w:rPr>
        <w:t>t the validity of the translation</w:t>
      </w:r>
      <w:r w:rsidR="00BA2622">
        <w:rPr>
          <w:rFonts w:ascii="Book Antiqua" w:hAnsi="Book Antiqua" w:cs="Arial"/>
        </w:rPr>
        <w:t xml:space="preserve">” with the result that she placed </w:t>
      </w:r>
      <w:r w:rsidR="00BA2622" w:rsidRPr="00200D18">
        <w:rPr>
          <w:rFonts w:ascii="Book Antiqua" w:hAnsi="Book Antiqua" w:cs="Arial"/>
          <w:i/>
        </w:rPr>
        <w:t>“little weight</w:t>
      </w:r>
      <w:r w:rsidR="00BA2622">
        <w:rPr>
          <w:rFonts w:ascii="Book Antiqua" w:hAnsi="Book Antiqua" w:cs="Arial"/>
        </w:rPr>
        <w:t>” on the birth certificate.</w:t>
      </w:r>
    </w:p>
    <w:p w:rsidR="00BA2622" w:rsidRDefault="00BA2622" w:rsidP="00BA2622">
      <w:pPr>
        <w:pStyle w:val="ListParagraph"/>
        <w:rPr>
          <w:rFonts w:ascii="Book Antiqua" w:hAnsi="Book Antiqua" w:cs="Arial"/>
        </w:rPr>
      </w:pPr>
    </w:p>
    <w:p w:rsidR="00CA66F8" w:rsidRDefault="00BA2622" w:rsidP="00FC4FA4">
      <w:pPr>
        <w:numPr>
          <w:ilvl w:val="0"/>
          <w:numId w:val="3"/>
        </w:numPr>
        <w:ind w:left="567" w:hanging="567"/>
        <w:jc w:val="both"/>
        <w:rPr>
          <w:rFonts w:ascii="Book Antiqua" w:hAnsi="Book Antiqua" w:cs="Arial"/>
        </w:rPr>
      </w:pPr>
      <w:r>
        <w:rPr>
          <w:rFonts w:ascii="Book Antiqua" w:hAnsi="Book Antiqua" w:cs="Arial"/>
        </w:rPr>
        <w:t>However, it is clear that the birth certificate was before the ECO because</w:t>
      </w:r>
      <w:r w:rsidR="001770ED">
        <w:rPr>
          <w:rFonts w:ascii="Book Antiqua" w:hAnsi="Book Antiqua" w:cs="Arial"/>
        </w:rPr>
        <w:t xml:space="preserve"> he commented on it. Also, u</w:t>
      </w:r>
      <w:r w:rsidR="00200D18">
        <w:rPr>
          <w:rFonts w:ascii="Book Antiqua" w:hAnsi="Book Antiqua" w:cs="Arial"/>
        </w:rPr>
        <w:t>nlike the j</w:t>
      </w:r>
      <w:r w:rsidR="00CA66F8">
        <w:rPr>
          <w:rFonts w:ascii="Book Antiqua" w:hAnsi="Book Antiqua" w:cs="Arial"/>
        </w:rPr>
        <w:t>udge, who appeared to reach the conclusion that the certificate is not genuine, the ECO did not state that conclusion but</w:t>
      </w:r>
      <w:r w:rsidR="00200D18">
        <w:rPr>
          <w:rFonts w:ascii="Book Antiqua" w:hAnsi="Book Antiqua" w:cs="Arial"/>
        </w:rPr>
        <w:t>,</w:t>
      </w:r>
      <w:r w:rsidR="00CA66F8">
        <w:rPr>
          <w:rFonts w:ascii="Book Antiqua" w:hAnsi="Book Antiqua" w:cs="Arial"/>
        </w:rPr>
        <w:t xml:space="preserve"> rather</w:t>
      </w:r>
      <w:r w:rsidR="00200D18">
        <w:rPr>
          <w:rFonts w:ascii="Book Antiqua" w:hAnsi="Book Antiqua" w:cs="Arial"/>
        </w:rPr>
        <w:t>,</w:t>
      </w:r>
      <w:r w:rsidR="00CA66F8">
        <w:rPr>
          <w:rFonts w:ascii="Book Antiqua" w:hAnsi="Book Antiqua" w:cs="Arial"/>
        </w:rPr>
        <w:t xml:space="preserve"> found it “</w:t>
      </w:r>
      <w:r w:rsidR="00CA66F8" w:rsidRPr="00200D18">
        <w:rPr>
          <w:rFonts w:ascii="Book Antiqua" w:hAnsi="Book Antiqua" w:cs="Arial"/>
          <w:i/>
        </w:rPr>
        <w:t>unusua</w:t>
      </w:r>
      <w:r w:rsidR="00CA66F8">
        <w:rPr>
          <w:rFonts w:ascii="Book Antiqua" w:hAnsi="Book Antiqua" w:cs="Arial"/>
        </w:rPr>
        <w:t>l” that if she had changed her name she could not document when that had happened and why her passport was in the new name.</w:t>
      </w:r>
    </w:p>
    <w:p w:rsidR="00CA66F8" w:rsidRDefault="00CA66F8" w:rsidP="00CA66F8">
      <w:pPr>
        <w:pStyle w:val="ListParagraph"/>
        <w:rPr>
          <w:rFonts w:ascii="Book Antiqua" w:hAnsi="Book Antiqua" w:cs="Arial"/>
        </w:rPr>
      </w:pPr>
    </w:p>
    <w:p w:rsidR="00CA66F8" w:rsidRDefault="00200D18" w:rsidP="00FC4FA4">
      <w:pPr>
        <w:numPr>
          <w:ilvl w:val="0"/>
          <w:numId w:val="3"/>
        </w:numPr>
        <w:ind w:left="567" w:hanging="567"/>
        <w:jc w:val="both"/>
        <w:rPr>
          <w:rFonts w:ascii="Book Antiqua" w:hAnsi="Book Antiqua" w:cs="Arial"/>
        </w:rPr>
      </w:pPr>
      <w:r>
        <w:rPr>
          <w:rFonts w:ascii="Book Antiqua" w:hAnsi="Book Antiqua" w:cs="Arial"/>
        </w:rPr>
        <w:t>It is clear that the j</w:t>
      </w:r>
      <w:r w:rsidR="00CA66F8">
        <w:rPr>
          <w:rFonts w:ascii="Book Antiqua" w:hAnsi="Book Antiqua" w:cs="Arial"/>
        </w:rPr>
        <w:t xml:space="preserve">udge considered the late production of the copy birth certificate to be a crucial factor against the credibility of her claim to be the sponsor’s daughter.  In making a </w:t>
      </w:r>
      <w:r>
        <w:rPr>
          <w:rFonts w:ascii="Book Antiqua" w:hAnsi="Book Antiqua" w:cs="Arial"/>
        </w:rPr>
        <w:t>mistake on a material fact the j</w:t>
      </w:r>
      <w:r w:rsidR="00CA66F8">
        <w:rPr>
          <w:rFonts w:ascii="Book Antiqua" w:hAnsi="Book Antiqua" w:cs="Arial"/>
        </w:rPr>
        <w:t>udge erred in law.</w:t>
      </w:r>
    </w:p>
    <w:p w:rsidR="00CA66F8" w:rsidRDefault="00CA66F8" w:rsidP="00CA66F8">
      <w:pPr>
        <w:pStyle w:val="ListParagraph"/>
        <w:rPr>
          <w:rFonts w:ascii="Book Antiqua" w:hAnsi="Book Antiqua" w:cs="Arial"/>
        </w:rPr>
      </w:pPr>
    </w:p>
    <w:p w:rsidR="00CA66F8" w:rsidRDefault="00CA66F8" w:rsidP="00FC4FA4">
      <w:pPr>
        <w:numPr>
          <w:ilvl w:val="0"/>
          <w:numId w:val="3"/>
        </w:numPr>
        <w:ind w:left="567" w:hanging="567"/>
        <w:jc w:val="both"/>
        <w:rPr>
          <w:rFonts w:ascii="Book Antiqua" w:hAnsi="Book Antiqua" w:cs="Arial"/>
        </w:rPr>
      </w:pPr>
      <w:r>
        <w:rPr>
          <w:rFonts w:ascii="Book Antiqua" w:hAnsi="Book Antiqua" w:cs="Arial"/>
        </w:rPr>
        <w:t>Further, in the only other paragraph in which she considered the evidence of the relationship [37]</w:t>
      </w:r>
      <w:r w:rsidR="00200D18">
        <w:rPr>
          <w:rFonts w:ascii="Book Antiqua" w:hAnsi="Book Antiqua" w:cs="Arial"/>
        </w:rPr>
        <w:t>,</w:t>
      </w:r>
      <w:r>
        <w:rPr>
          <w:rFonts w:ascii="Book Antiqua" w:hAnsi="Book Antiqua" w:cs="Arial"/>
        </w:rPr>
        <w:t xml:space="preserve"> she adopted the respondent’s concern about lack of information about when the name change happened and the lack of an earlier passport.</w:t>
      </w:r>
    </w:p>
    <w:p w:rsidR="00CA66F8" w:rsidRDefault="00CA66F8" w:rsidP="00CA66F8">
      <w:pPr>
        <w:pStyle w:val="ListParagraph"/>
        <w:rPr>
          <w:rFonts w:ascii="Book Antiqua" w:hAnsi="Book Antiqua" w:cs="Arial"/>
        </w:rPr>
      </w:pPr>
    </w:p>
    <w:p w:rsidR="00CA66F8" w:rsidRDefault="00200D18" w:rsidP="00FC4FA4">
      <w:pPr>
        <w:numPr>
          <w:ilvl w:val="0"/>
          <w:numId w:val="3"/>
        </w:numPr>
        <w:ind w:left="567" w:hanging="567"/>
        <w:jc w:val="both"/>
        <w:rPr>
          <w:rFonts w:ascii="Book Antiqua" w:hAnsi="Book Antiqua" w:cs="Arial"/>
        </w:rPr>
      </w:pPr>
      <w:r>
        <w:rPr>
          <w:rFonts w:ascii="Book Antiqua" w:hAnsi="Book Antiqua" w:cs="Arial"/>
        </w:rPr>
        <w:t>Unfortunately, the j</w:t>
      </w:r>
      <w:r w:rsidR="00CA66F8">
        <w:rPr>
          <w:rFonts w:ascii="Book Antiqua" w:hAnsi="Book Antiqua" w:cs="Arial"/>
        </w:rPr>
        <w:t>udge failed to give consideration to evidence which was before her</w:t>
      </w:r>
      <w:r>
        <w:rPr>
          <w:rFonts w:ascii="Book Antiqua" w:hAnsi="Book Antiqua" w:cs="Arial"/>
        </w:rPr>
        <w:t>,</w:t>
      </w:r>
      <w:r w:rsidR="00CA66F8">
        <w:rPr>
          <w:rFonts w:ascii="Book Antiqua" w:hAnsi="Book Antiqua" w:cs="Arial"/>
        </w:rPr>
        <w:t xml:space="preserve"> namely, the witness statement of the sponsor where he states she changed it at school because she did not like her birth name a</w:t>
      </w:r>
      <w:r>
        <w:rPr>
          <w:rFonts w:ascii="Book Antiqua" w:hAnsi="Book Antiqua" w:cs="Arial"/>
        </w:rPr>
        <w:t>nd that such is common practice. Also,</w:t>
      </w:r>
      <w:r w:rsidR="00CA66F8">
        <w:rPr>
          <w:rFonts w:ascii="Book Antiqua" w:hAnsi="Book Antiqua" w:cs="Arial"/>
        </w:rPr>
        <w:t xml:space="preserve"> that t</w:t>
      </w:r>
      <w:r>
        <w:rPr>
          <w:rFonts w:ascii="Book Antiqua" w:hAnsi="Book Antiqua" w:cs="Arial"/>
        </w:rPr>
        <w:t>here is documentation, namely “C</w:t>
      </w:r>
      <w:r w:rsidR="00CA66F8">
        <w:rPr>
          <w:rFonts w:ascii="Book Antiqua" w:hAnsi="Book Antiqua" w:cs="Arial"/>
        </w:rPr>
        <w:t>ertification</w:t>
      </w:r>
      <w:r>
        <w:rPr>
          <w:rFonts w:ascii="Book Antiqua" w:hAnsi="Book Antiqua" w:cs="Arial"/>
        </w:rPr>
        <w:t xml:space="preserve"> of</w:t>
      </w:r>
      <w:r w:rsidR="00CA66F8">
        <w:rPr>
          <w:rFonts w:ascii="Book Antiqua" w:hAnsi="Book Antiqua" w:cs="Arial"/>
        </w:rPr>
        <w:t xml:space="preserve"> one and same person” </w:t>
      </w:r>
      <w:r w:rsidR="00AB4644">
        <w:rPr>
          <w:rFonts w:ascii="Book Antiqua" w:hAnsi="Book Antiqua" w:cs="Arial"/>
        </w:rPr>
        <w:t xml:space="preserve">(p25 appellant’s bundle) </w:t>
      </w:r>
      <w:r w:rsidR="00CA66F8">
        <w:rPr>
          <w:rFonts w:ascii="Book Antiqua" w:hAnsi="Book Antiqua" w:cs="Arial"/>
        </w:rPr>
        <w:t xml:space="preserve">issued by the government of Nepal, </w:t>
      </w:r>
      <w:r>
        <w:rPr>
          <w:rFonts w:ascii="Book Antiqua" w:hAnsi="Book Antiqua" w:cs="Arial"/>
        </w:rPr>
        <w:t>District Administration Office</w:t>
      </w:r>
      <w:r w:rsidR="00AB4644">
        <w:rPr>
          <w:rFonts w:ascii="Book Antiqua" w:hAnsi="Book Antiqua" w:cs="Arial"/>
        </w:rPr>
        <w:t xml:space="preserve"> which states, indeed, that Maya and Sarita are the same person. </w:t>
      </w:r>
      <w:r>
        <w:rPr>
          <w:rFonts w:ascii="Book Antiqua" w:hAnsi="Book Antiqua" w:cs="Arial"/>
        </w:rPr>
        <w:t>Further,</w:t>
      </w:r>
      <w:r w:rsidR="00CA66F8">
        <w:rPr>
          <w:rFonts w:ascii="Book Antiqua" w:hAnsi="Book Antiqua" w:cs="Arial"/>
        </w:rPr>
        <w:t xml:space="preserve"> the evidence that the passport in her current name is her first passport.</w:t>
      </w:r>
    </w:p>
    <w:p w:rsidR="00CA66F8" w:rsidRDefault="00CA66F8" w:rsidP="00CA66F8">
      <w:pPr>
        <w:pStyle w:val="ListParagraph"/>
        <w:rPr>
          <w:rFonts w:ascii="Book Antiqua" w:hAnsi="Book Antiqua" w:cs="Arial"/>
        </w:rPr>
      </w:pPr>
    </w:p>
    <w:p w:rsidR="00CA66F8" w:rsidRDefault="00CA66F8" w:rsidP="00FC4FA4">
      <w:pPr>
        <w:numPr>
          <w:ilvl w:val="0"/>
          <w:numId w:val="3"/>
        </w:numPr>
        <w:ind w:left="567" w:hanging="567"/>
        <w:jc w:val="both"/>
        <w:rPr>
          <w:rFonts w:ascii="Book Antiqua" w:hAnsi="Book Antiqua" w:cs="Arial"/>
        </w:rPr>
      </w:pPr>
      <w:r>
        <w:rPr>
          <w:rFonts w:ascii="Book Antiqua" w:hAnsi="Book Antiqua" w:cs="Arial"/>
        </w:rPr>
        <w:t>In failing to have r</w:t>
      </w:r>
      <w:r w:rsidR="00200D18">
        <w:rPr>
          <w:rFonts w:ascii="Book Antiqua" w:hAnsi="Book Antiqua" w:cs="Arial"/>
        </w:rPr>
        <w:t>egard to relevant evidence the j</w:t>
      </w:r>
      <w:r>
        <w:rPr>
          <w:rFonts w:ascii="Book Antiqua" w:hAnsi="Book Antiqua" w:cs="Arial"/>
        </w:rPr>
        <w:t>udge further erred.</w:t>
      </w:r>
    </w:p>
    <w:p w:rsidR="00CA66F8" w:rsidRDefault="00CA66F8" w:rsidP="00CA66F8">
      <w:pPr>
        <w:pStyle w:val="ListParagraph"/>
        <w:rPr>
          <w:rFonts w:ascii="Book Antiqua" w:hAnsi="Book Antiqua" w:cs="Arial"/>
        </w:rPr>
      </w:pPr>
    </w:p>
    <w:p w:rsidR="00CA66F8" w:rsidRDefault="00CA66F8" w:rsidP="00FC4FA4">
      <w:pPr>
        <w:numPr>
          <w:ilvl w:val="0"/>
          <w:numId w:val="3"/>
        </w:numPr>
        <w:ind w:left="567" w:hanging="567"/>
        <w:jc w:val="both"/>
        <w:rPr>
          <w:rFonts w:ascii="Book Antiqua" w:hAnsi="Book Antiqua" w:cs="Arial"/>
        </w:rPr>
      </w:pPr>
      <w:r>
        <w:rPr>
          <w:rFonts w:ascii="Book Antiqua" w:hAnsi="Book Antiqua" w:cs="Arial"/>
        </w:rPr>
        <w:t>These erro</w:t>
      </w:r>
      <w:r w:rsidR="00200D18">
        <w:rPr>
          <w:rFonts w:ascii="Book Antiqua" w:hAnsi="Book Antiqua" w:cs="Arial"/>
        </w:rPr>
        <w:t>rs must taint the findings the j</w:t>
      </w:r>
      <w:r>
        <w:rPr>
          <w:rFonts w:ascii="Book Antiqua" w:hAnsi="Book Antiqua" w:cs="Arial"/>
        </w:rPr>
        <w:t xml:space="preserve">udge made in relation to </w:t>
      </w:r>
      <w:r w:rsidR="00F864AE">
        <w:rPr>
          <w:rFonts w:ascii="Book Antiqua" w:hAnsi="Book Antiqua" w:cs="Arial"/>
        </w:rPr>
        <w:t>the other matters including</w:t>
      </w:r>
      <w:r>
        <w:rPr>
          <w:rFonts w:ascii="Book Antiqua" w:hAnsi="Book Antiqua" w:cs="Arial"/>
        </w:rPr>
        <w:t xml:space="preserve"> financial and emotional dependency such that</w:t>
      </w:r>
      <w:r w:rsidR="00F864AE">
        <w:rPr>
          <w:rFonts w:ascii="Book Antiqua" w:hAnsi="Book Antiqua" w:cs="Arial"/>
        </w:rPr>
        <w:t>,</w:t>
      </w:r>
      <w:r>
        <w:rPr>
          <w:rFonts w:ascii="Book Antiqua" w:hAnsi="Book Antiqua" w:cs="Arial"/>
        </w:rPr>
        <w:t xml:space="preserve"> as both parties agreed were </w:t>
      </w:r>
      <w:r>
        <w:rPr>
          <w:rFonts w:ascii="Book Antiqua" w:hAnsi="Book Antiqua" w:cs="Arial"/>
        </w:rPr>
        <w:lastRenderedPageBreak/>
        <w:t>material errors to be found in the assessment of the relationship, the case would have to be heard again.</w:t>
      </w:r>
    </w:p>
    <w:p w:rsidR="00CA66F8" w:rsidRDefault="00CA66F8" w:rsidP="00CA66F8">
      <w:pPr>
        <w:pStyle w:val="ListParagraph"/>
        <w:ind w:left="0"/>
        <w:rPr>
          <w:rFonts w:ascii="Book Antiqua" w:hAnsi="Book Antiqua" w:cs="Arial"/>
        </w:rPr>
      </w:pPr>
    </w:p>
    <w:p w:rsidR="00CA66F8" w:rsidRDefault="00CA66F8" w:rsidP="00CA66F8">
      <w:pPr>
        <w:pStyle w:val="ListParagraph"/>
        <w:ind w:left="0"/>
        <w:rPr>
          <w:rFonts w:ascii="Book Antiqua" w:hAnsi="Book Antiqua" w:cs="Arial"/>
        </w:rPr>
      </w:pPr>
    </w:p>
    <w:p w:rsidR="00CA66F8" w:rsidRDefault="00CA66F8" w:rsidP="00CA66F8">
      <w:pPr>
        <w:pStyle w:val="ListParagraph"/>
        <w:ind w:left="0"/>
        <w:rPr>
          <w:rFonts w:ascii="Book Antiqua" w:hAnsi="Book Antiqua" w:cs="Arial"/>
        </w:rPr>
      </w:pPr>
    </w:p>
    <w:p w:rsidR="00CA66F8" w:rsidRDefault="00CA66F8" w:rsidP="00CA66F8">
      <w:pPr>
        <w:pStyle w:val="ListParagraph"/>
        <w:ind w:left="0"/>
        <w:rPr>
          <w:rFonts w:ascii="Book Antiqua" w:hAnsi="Book Antiqua" w:cs="Arial"/>
        </w:rPr>
      </w:pPr>
    </w:p>
    <w:p w:rsidR="00CA66F8" w:rsidRPr="00CA66F8" w:rsidRDefault="00CA66F8" w:rsidP="00CA66F8">
      <w:pPr>
        <w:pStyle w:val="ListParagraph"/>
        <w:ind w:left="0"/>
        <w:rPr>
          <w:rFonts w:ascii="Book Antiqua" w:hAnsi="Book Antiqua" w:cs="Arial"/>
          <w:b/>
          <w:u w:val="single"/>
        </w:rPr>
      </w:pPr>
      <w:r w:rsidRPr="00CA66F8">
        <w:rPr>
          <w:rFonts w:ascii="Book Antiqua" w:hAnsi="Book Antiqua" w:cs="Arial"/>
          <w:b/>
          <w:u w:val="single"/>
        </w:rPr>
        <w:t>Notice of Decision</w:t>
      </w:r>
    </w:p>
    <w:p w:rsidR="00CA66F8" w:rsidRDefault="00CA66F8" w:rsidP="00CA66F8">
      <w:pPr>
        <w:pStyle w:val="ListParagraph"/>
        <w:ind w:left="0"/>
        <w:rPr>
          <w:rFonts w:ascii="Book Antiqua" w:hAnsi="Book Antiqua" w:cs="Arial"/>
        </w:rPr>
      </w:pPr>
    </w:p>
    <w:p w:rsidR="00637B70" w:rsidRDefault="00637B70" w:rsidP="00637B70">
      <w:pPr>
        <w:jc w:val="both"/>
        <w:rPr>
          <w:rFonts w:ascii="Book Antiqua" w:hAnsi="Book Antiqua" w:cs="Arial"/>
        </w:rPr>
      </w:pPr>
      <w:r>
        <w:rPr>
          <w:rFonts w:ascii="Book Antiqua" w:hAnsi="Book Antiqua" w:cs="Arial"/>
        </w:rPr>
        <w:t>The decision of the First-tier Tribunal is set aside.  None of its findings are to stand.  The nature of the case is such that it is appropriate in terms of Section 12(2)(b)(</w:t>
      </w:r>
      <w:proofErr w:type="spellStart"/>
      <w:r>
        <w:rPr>
          <w:rFonts w:ascii="Book Antiqua" w:hAnsi="Book Antiqua" w:cs="Arial"/>
        </w:rPr>
        <w:t>i</w:t>
      </w:r>
      <w:proofErr w:type="spellEnd"/>
      <w:r>
        <w:rPr>
          <w:rFonts w:ascii="Book Antiqua" w:hAnsi="Book Antiqua" w:cs="Arial"/>
        </w:rPr>
        <w:t>) of the Tribunals, Courts and Enforcement Act 2007 and of Practice Statement 7.2 to remit the case to the First-tier Tribunal for an entirely fresh hearing.  The member</w:t>
      </w:r>
      <w:r w:rsidR="00200D18">
        <w:rPr>
          <w:rFonts w:ascii="Book Antiqua" w:hAnsi="Book Antiqua" w:cs="Arial"/>
        </w:rPr>
        <w:t>(</w:t>
      </w:r>
      <w:r>
        <w:rPr>
          <w:rFonts w:ascii="Book Antiqua" w:hAnsi="Book Antiqua" w:cs="Arial"/>
        </w:rPr>
        <w:t>s</w:t>
      </w:r>
      <w:r w:rsidR="00200D18">
        <w:rPr>
          <w:rFonts w:ascii="Book Antiqua" w:hAnsi="Book Antiqua" w:cs="Arial"/>
        </w:rPr>
        <w:t>)</w:t>
      </w:r>
      <w:r>
        <w:rPr>
          <w:rFonts w:ascii="Book Antiqua" w:hAnsi="Book Antiqua" w:cs="Arial"/>
        </w:rPr>
        <w:t xml:space="preserve"> of the First-tier Tribunal chosen to consider the case are not </w:t>
      </w:r>
      <w:r w:rsidR="00801DCD">
        <w:rPr>
          <w:rFonts w:ascii="Book Antiqua" w:hAnsi="Book Antiqua" w:cs="Arial"/>
        </w:rPr>
        <w:t>to include Judge Suffield-Thompson</w:t>
      </w:r>
      <w:r>
        <w:rPr>
          <w:rFonts w:ascii="Book Antiqua" w:hAnsi="Book Antiqua" w:cs="Arial"/>
        </w:rPr>
        <w:t>.</w:t>
      </w:r>
    </w:p>
    <w:p w:rsidR="00637B70" w:rsidRDefault="00637B70" w:rsidP="00637B70">
      <w:pPr>
        <w:jc w:val="both"/>
        <w:rPr>
          <w:rFonts w:ascii="Book Antiqua" w:hAnsi="Book Antiqua" w:cs="Arial"/>
        </w:rPr>
      </w:pPr>
    </w:p>
    <w:p w:rsidR="00637B70" w:rsidRDefault="00637B70" w:rsidP="00637B70">
      <w:pPr>
        <w:jc w:val="both"/>
        <w:rPr>
          <w:rFonts w:ascii="Book Antiqua" w:hAnsi="Book Antiqua" w:cs="Arial"/>
        </w:rPr>
      </w:pPr>
      <w:r>
        <w:rPr>
          <w:rFonts w:ascii="Book Antiqua" w:hAnsi="Book Antiqua" w:cs="Arial"/>
        </w:rPr>
        <w:t>No anonymity order made.</w:t>
      </w:r>
    </w:p>
    <w:p w:rsidR="00637B70" w:rsidRDefault="00637B70" w:rsidP="00637B70">
      <w:pPr>
        <w:jc w:val="both"/>
        <w:rPr>
          <w:rFonts w:ascii="Book Antiqua" w:hAnsi="Book Antiqua" w:cs="Arial"/>
        </w:rPr>
      </w:pPr>
    </w:p>
    <w:p w:rsidR="002C07F1" w:rsidRPr="00F97703" w:rsidRDefault="002C07F1" w:rsidP="00637B70">
      <w:pPr>
        <w:jc w:val="both"/>
        <w:rPr>
          <w:rFonts w:ascii="Book Antiqua" w:hAnsi="Book Antiqua" w:cs="Arial"/>
        </w:rPr>
      </w:pPr>
      <w:r>
        <w:rPr>
          <w:rFonts w:ascii="Book Antiqua" w:hAnsi="Book Antiqua" w:cs="Arial"/>
        </w:rPr>
        <w:t xml:space="preserve"> </w:t>
      </w: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637B70" w:rsidRDefault="00637B70" w:rsidP="0034540B">
      <w:pPr>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243433">
        <w:rPr>
          <w:rFonts w:ascii="Book Antiqua" w:hAnsi="Book Antiqua" w:cs="Arial"/>
        </w:rPr>
        <w:t xml:space="preserve">d </w:t>
      </w:r>
      <w:r w:rsidR="00243433" w:rsidRPr="00243433">
        <w:rPr>
          <w:rFonts w:ascii="Book Antiqua" w:hAnsi="Book Antiqua" w:cs="Arial"/>
        </w:rPr>
        <w:t>03 July 2018</w:t>
      </w:r>
    </w:p>
    <w:p w:rsidR="0034540B" w:rsidRDefault="0034540B" w:rsidP="0034540B">
      <w:pPr>
        <w:tabs>
          <w:tab w:val="left" w:pos="2520"/>
        </w:tabs>
        <w:rPr>
          <w:rFonts w:ascii="Book Antiqua" w:hAnsi="Book Antiqua" w:cs="Arial"/>
          <w:color w:val="000000"/>
        </w:rPr>
      </w:pPr>
    </w:p>
    <w:p w:rsidR="00933B65" w:rsidRPr="00F97703" w:rsidRDefault="00933B65" w:rsidP="0034540B">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BF2ED8" w:rsidRPr="000619F9" w:rsidRDefault="00243433" w:rsidP="00243433">
      <w:pPr>
        <w:rPr>
          <w:rFonts w:ascii="Book Antiqua" w:hAnsi="Book Antiqua" w:cs="Arial"/>
        </w:rPr>
      </w:pPr>
      <w:r w:rsidRPr="000619F9">
        <w:rPr>
          <w:rFonts w:ascii="Book Antiqua" w:hAnsi="Book Antiqua" w:cs="Arial"/>
        </w:rPr>
        <w:t xml:space="preserve"> </w:t>
      </w:r>
    </w:p>
    <w:p w:rsidR="00BF2ED8" w:rsidRPr="000619F9" w:rsidRDefault="00BF2ED8" w:rsidP="00BF2ED8">
      <w:pPr>
        <w:tabs>
          <w:tab w:val="left" w:pos="2520"/>
        </w:tabs>
        <w:ind w:left="540" w:hanging="540"/>
        <w:jc w:val="both"/>
        <w:rPr>
          <w:rFonts w:ascii="Book Antiqua" w:hAnsi="Book Antiqua" w:cs="Arial"/>
        </w:rPr>
      </w:pPr>
    </w:p>
    <w:p w:rsidR="00BF2ED8" w:rsidRPr="000619F9" w:rsidRDefault="00BF2ED8" w:rsidP="00BF2ED8">
      <w:pPr>
        <w:tabs>
          <w:tab w:val="left" w:pos="2520"/>
        </w:tabs>
        <w:jc w:val="both"/>
        <w:rPr>
          <w:rFonts w:ascii="Book Antiqua" w:hAnsi="Book Antiqua" w:cs="Arial"/>
        </w:rPr>
      </w:pPr>
    </w:p>
    <w:p w:rsidR="00BF2ED8" w:rsidRPr="000619F9" w:rsidRDefault="00BF2ED8" w:rsidP="00BF2ED8">
      <w:pPr>
        <w:tabs>
          <w:tab w:val="left" w:pos="2520"/>
        </w:tabs>
        <w:ind w:left="4508" w:hanging="539"/>
        <w:rPr>
          <w:rFonts w:ascii="Book Antiqua" w:hAnsi="Book Antiqua" w:cs="Arial"/>
          <w:color w:val="000000"/>
        </w:rPr>
      </w:pPr>
    </w:p>
    <w:p w:rsidR="00266FFE" w:rsidRDefault="00266FFE"/>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90D" w:rsidRDefault="005D090D">
      <w:r>
        <w:separator/>
      </w:r>
    </w:p>
  </w:endnote>
  <w:endnote w:type="continuationSeparator" w:id="0">
    <w:p w:rsidR="005D090D" w:rsidRDefault="005D090D">
      <w:r>
        <w:continuationSeparator/>
      </w:r>
    </w:p>
  </w:endnote>
  <w:endnote w:type="continuationNotice" w:id="1">
    <w:p w:rsidR="005D090D" w:rsidRDefault="005D0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F70" w:rsidRPr="00593795" w:rsidRDefault="00FC6F70"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D2047">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F70" w:rsidRPr="00090CF9" w:rsidRDefault="00FC6F70"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90D" w:rsidRDefault="005D090D">
      <w:r>
        <w:separator/>
      </w:r>
    </w:p>
  </w:footnote>
  <w:footnote w:type="continuationSeparator" w:id="0">
    <w:p w:rsidR="005D090D" w:rsidRDefault="005D090D">
      <w:r>
        <w:continuationSeparator/>
      </w:r>
    </w:p>
  </w:footnote>
  <w:footnote w:type="continuationNotice" w:id="1">
    <w:p w:rsidR="005D090D" w:rsidRDefault="005D09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F70" w:rsidRPr="003A42D4" w:rsidRDefault="00FC6F70" w:rsidP="00614E94">
    <w:pPr>
      <w:pStyle w:val="Header"/>
      <w:jc w:val="right"/>
      <w:rPr>
        <w:rFonts w:ascii="Book Antiqua" w:hAnsi="Book Antiqua" w:cs="Arial"/>
        <w:sz w:val="16"/>
        <w:szCs w:val="16"/>
      </w:rPr>
    </w:pPr>
    <w:r w:rsidRPr="003A42D4">
      <w:rPr>
        <w:rFonts w:ascii="Book Antiqua" w:hAnsi="Book Antiqua" w:cs="Arial"/>
        <w:sz w:val="16"/>
        <w:szCs w:val="16"/>
      </w:rPr>
      <w:t xml:space="preserve">Appeal Number: </w:t>
    </w:r>
    <w:r w:rsidRPr="003A42D4">
      <w:rPr>
        <w:rFonts w:ascii="Book Antiqua" w:hAnsi="Book Antiqua" w:cs="Arial"/>
        <w:color w:val="000000"/>
        <w:sz w:val="16"/>
        <w:szCs w:val="16"/>
      </w:rPr>
      <w:t>HU/14860/2016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F4F4DDD"/>
    <w:multiLevelType w:val="hybridMultilevel"/>
    <w:tmpl w:val="2F4AA252"/>
    <w:lvl w:ilvl="0" w:tplc="2092FD76">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5F0F"/>
    <w:rsid w:val="00033686"/>
    <w:rsid w:val="00042283"/>
    <w:rsid w:val="00091185"/>
    <w:rsid w:val="0009651B"/>
    <w:rsid w:val="000B5D22"/>
    <w:rsid w:val="00112B05"/>
    <w:rsid w:val="00126DF1"/>
    <w:rsid w:val="0017612F"/>
    <w:rsid w:val="001770ED"/>
    <w:rsid w:val="00181DDC"/>
    <w:rsid w:val="001832F8"/>
    <w:rsid w:val="001975A3"/>
    <w:rsid w:val="00200D18"/>
    <w:rsid w:val="002137C8"/>
    <w:rsid w:val="0022452C"/>
    <w:rsid w:val="00243433"/>
    <w:rsid w:val="00266FFE"/>
    <w:rsid w:val="002B3AC8"/>
    <w:rsid w:val="002C07F1"/>
    <w:rsid w:val="002E4878"/>
    <w:rsid w:val="002F3BEB"/>
    <w:rsid w:val="00306A8F"/>
    <w:rsid w:val="00332DFB"/>
    <w:rsid w:val="0034540B"/>
    <w:rsid w:val="003642C1"/>
    <w:rsid w:val="003A42D4"/>
    <w:rsid w:val="003D7DC1"/>
    <w:rsid w:val="00404806"/>
    <w:rsid w:val="004171D0"/>
    <w:rsid w:val="00433BB9"/>
    <w:rsid w:val="00465526"/>
    <w:rsid w:val="0047063F"/>
    <w:rsid w:val="00470937"/>
    <w:rsid w:val="00490793"/>
    <w:rsid w:val="004A012D"/>
    <w:rsid w:val="004A289F"/>
    <w:rsid w:val="004C5989"/>
    <w:rsid w:val="004F3024"/>
    <w:rsid w:val="00504349"/>
    <w:rsid w:val="00507461"/>
    <w:rsid w:val="00557976"/>
    <w:rsid w:val="005647D3"/>
    <w:rsid w:val="0057020B"/>
    <w:rsid w:val="0059772F"/>
    <w:rsid w:val="005B30CF"/>
    <w:rsid w:val="005D090D"/>
    <w:rsid w:val="00614B1E"/>
    <w:rsid w:val="00614E94"/>
    <w:rsid w:val="00631E82"/>
    <w:rsid w:val="00637B70"/>
    <w:rsid w:val="006748D6"/>
    <w:rsid w:val="00674AA5"/>
    <w:rsid w:val="00675DDF"/>
    <w:rsid w:val="00680A32"/>
    <w:rsid w:val="0069096D"/>
    <w:rsid w:val="006B3731"/>
    <w:rsid w:val="006B765F"/>
    <w:rsid w:val="006C495F"/>
    <w:rsid w:val="006C73CE"/>
    <w:rsid w:val="00701AAE"/>
    <w:rsid w:val="00714BC3"/>
    <w:rsid w:val="00762E63"/>
    <w:rsid w:val="0076419F"/>
    <w:rsid w:val="007926AD"/>
    <w:rsid w:val="007A633A"/>
    <w:rsid w:val="007A7333"/>
    <w:rsid w:val="007D2047"/>
    <w:rsid w:val="007E4478"/>
    <w:rsid w:val="007F0995"/>
    <w:rsid w:val="007F2D17"/>
    <w:rsid w:val="00801DCD"/>
    <w:rsid w:val="00823A6A"/>
    <w:rsid w:val="00841BE5"/>
    <w:rsid w:val="008832E8"/>
    <w:rsid w:val="008F2835"/>
    <w:rsid w:val="008F5C36"/>
    <w:rsid w:val="009067F6"/>
    <w:rsid w:val="00933B65"/>
    <w:rsid w:val="00942951"/>
    <w:rsid w:val="009701EB"/>
    <w:rsid w:val="009A7216"/>
    <w:rsid w:val="009B3C51"/>
    <w:rsid w:val="009C723E"/>
    <w:rsid w:val="009D328D"/>
    <w:rsid w:val="00A42B65"/>
    <w:rsid w:val="00A63678"/>
    <w:rsid w:val="00A86A8D"/>
    <w:rsid w:val="00A86B80"/>
    <w:rsid w:val="00AB4644"/>
    <w:rsid w:val="00AC5C04"/>
    <w:rsid w:val="00AF37C0"/>
    <w:rsid w:val="00B402A2"/>
    <w:rsid w:val="00B41EC2"/>
    <w:rsid w:val="00B45EC9"/>
    <w:rsid w:val="00B50AD4"/>
    <w:rsid w:val="00B50C2E"/>
    <w:rsid w:val="00B66E20"/>
    <w:rsid w:val="00B94499"/>
    <w:rsid w:val="00BA2622"/>
    <w:rsid w:val="00BE796B"/>
    <w:rsid w:val="00BF2ED8"/>
    <w:rsid w:val="00C31AFF"/>
    <w:rsid w:val="00C52169"/>
    <w:rsid w:val="00C875BE"/>
    <w:rsid w:val="00C92745"/>
    <w:rsid w:val="00CA66F8"/>
    <w:rsid w:val="00D44A14"/>
    <w:rsid w:val="00D86162"/>
    <w:rsid w:val="00DE58CA"/>
    <w:rsid w:val="00EB3636"/>
    <w:rsid w:val="00EF0FBA"/>
    <w:rsid w:val="00F14E14"/>
    <w:rsid w:val="00F57B4F"/>
    <w:rsid w:val="00F648C0"/>
    <w:rsid w:val="00F864AE"/>
    <w:rsid w:val="00F907A2"/>
    <w:rsid w:val="00F954A5"/>
    <w:rsid w:val="00FA0A2E"/>
    <w:rsid w:val="00FB0516"/>
    <w:rsid w:val="00FC4FA4"/>
    <w:rsid w:val="00FC6F70"/>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42CD2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7A633A"/>
    <w:pPr>
      <w:ind w:left="720"/>
    </w:pPr>
  </w:style>
  <w:style w:type="paragraph" w:styleId="BalloonText">
    <w:name w:val="Balloon Text"/>
    <w:basedOn w:val="Normal"/>
    <w:link w:val="BalloonTextChar"/>
    <w:rsid w:val="00EB3636"/>
    <w:rPr>
      <w:rFonts w:ascii="Segoe UI" w:hAnsi="Segoe UI" w:cs="Segoe UI"/>
      <w:sz w:val="18"/>
      <w:szCs w:val="18"/>
    </w:rPr>
  </w:style>
  <w:style w:type="character" w:customStyle="1" w:styleId="BalloonTextChar">
    <w:name w:val="Balloon Text Char"/>
    <w:link w:val="BalloonText"/>
    <w:rsid w:val="00EB36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1690</Words>
  <Characters>8248</Characters>
  <Application>Microsoft Office Word</Application>
  <DocSecurity>0</DocSecurity>
  <Lines>68</Lines>
  <Paragraphs>19</Paragraphs>
  <ScaleCrop>false</ScaleCrop>
  <Company/>
  <LinksUpToDate>false</LinksUpToDate>
  <CharactersWithSpaces>9919</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2018-07-19T15:03:00Z</dcterms:created>
  <dcterms:modified xsi:type="dcterms:W3CDTF">2018-07-19T15:04:00Z</dcterms:modified>
</cp:coreProperties>
</file>