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5D0" w:rsidRPr="00BC59DF" w:rsidRDefault="00982041" w:rsidP="004435D0">
      <w:pPr>
        <w:jc w:val="center"/>
        <w:rPr>
          <w:rFonts w:ascii="Book Antiqua" w:hAnsi="Book Antiqua" w:cs="Arial"/>
          <w:caps/>
          <w:color w:val="000000"/>
          <w:sz w:val="16"/>
          <w:szCs w:val="16"/>
        </w:rPr>
      </w:pPr>
      <w:r w:rsidRPr="00BC59DF">
        <w:rPr>
          <w:noProof/>
          <w:sz w:val="16"/>
          <w:szCs w:val="16"/>
        </w:rPr>
        <w:drawing>
          <wp:inline distT="0" distB="0" distL="0" distR="0" wp14:anchorId="751F279C" wp14:editId="02EA4FF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4435D0" w:rsidRPr="00BC59DF" w:rsidRDefault="004435D0" w:rsidP="004435D0">
      <w:pPr>
        <w:rPr>
          <w:rFonts w:ascii="Book Antiqua" w:hAnsi="Book Antiqua" w:cs="Arial"/>
          <w:color w:val="000000"/>
          <w:sz w:val="16"/>
          <w:szCs w:val="16"/>
        </w:rPr>
      </w:pPr>
    </w:p>
    <w:p w:rsidR="004435D0" w:rsidRPr="009B7433" w:rsidRDefault="004435D0" w:rsidP="004435D0">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4435D0" w:rsidRPr="009B7433" w:rsidRDefault="004435D0" w:rsidP="004435D0">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00FA5268">
        <w:rPr>
          <w:rFonts w:ascii="Book Antiqua" w:hAnsi="Book Antiqua" w:cs="Arial"/>
          <w:caps/>
          <w:color w:val="000000"/>
        </w:rPr>
        <w:t>HU/</w:t>
      </w:r>
      <w:r w:rsidR="00982041">
        <w:rPr>
          <w:rFonts w:ascii="Book Antiqua" w:hAnsi="Book Antiqua" w:cs="Arial"/>
          <w:caps/>
          <w:color w:val="000000"/>
        </w:rPr>
        <w:t>14900/</w:t>
      </w:r>
      <w:r w:rsidR="00FA5268">
        <w:rPr>
          <w:rFonts w:ascii="Book Antiqua" w:hAnsi="Book Antiqua" w:cs="Arial"/>
          <w:caps/>
          <w:color w:val="000000"/>
        </w:rPr>
        <w:t>2016</w:t>
      </w:r>
      <w:bookmarkEnd w:id="0"/>
    </w:p>
    <w:p w:rsidR="004435D0" w:rsidRDefault="004435D0" w:rsidP="004435D0">
      <w:pPr>
        <w:jc w:val="center"/>
        <w:rPr>
          <w:rFonts w:ascii="Book Antiqua" w:hAnsi="Book Antiqua" w:cs="Arial"/>
          <w:color w:val="000000"/>
        </w:rPr>
      </w:pPr>
    </w:p>
    <w:p w:rsidR="00BC59DF" w:rsidRPr="009B7433" w:rsidRDefault="00BC59DF" w:rsidP="004435D0">
      <w:pPr>
        <w:jc w:val="center"/>
        <w:rPr>
          <w:rFonts w:ascii="Book Antiqua" w:hAnsi="Book Antiqua" w:cs="Arial"/>
          <w:color w:val="000000"/>
        </w:rPr>
      </w:pPr>
    </w:p>
    <w:p w:rsidR="004435D0" w:rsidRPr="009B7433" w:rsidRDefault="004435D0" w:rsidP="004435D0">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4435D0" w:rsidRDefault="004435D0" w:rsidP="004435D0">
      <w:pPr>
        <w:jc w:val="center"/>
        <w:rPr>
          <w:rFonts w:ascii="Book Antiqua" w:hAnsi="Book Antiqua" w:cs="Arial"/>
          <w:b/>
          <w:u w:val="single"/>
        </w:rPr>
      </w:pPr>
    </w:p>
    <w:p w:rsidR="00BC59DF" w:rsidRPr="009B7433" w:rsidRDefault="00BC59DF" w:rsidP="004435D0">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4435D0" w:rsidRPr="009B7433" w:rsidTr="00AF52D8">
        <w:tc>
          <w:tcPr>
            <w:tcW w:w="6048" w:type="dxa"/>
          </w:tcPr>
          <w:p w:rsidR="004435D0" w:rsidRPr="009B7433" w:rsidRDefault="004435D0" w:rsidP="00AF52D8">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Field House</w:t>
            </w:r>
          </w:p>
        </w:tc>
        <w:tc>
          <w:tcPr>
            <w:tcW w:w="3960" w:type="dxa"/>
          </w:tcPr>
          <w:p w:rsidR="004435D0" w:rsidRPr="009B7433" w:rsidRDefault="004435D0" w:rsidP="00AF52D8">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4435D0" w:rsidRPr="009B7433" w:rsidTr="00AF52D8">
        <w:tc>
          <w:tcPr>
            <w:tcW w:w="6048" w:type="dxa"/>
          </w:tcPr>
          <w:p w:rsidR="004435D0" w:rsidRPr="009B7433" w:rsidRDefault="004435D0" w:rsidP="00AF52D8">
            <w:pPr>
              <w:jc w:val="both"/>
              <w:rPr>
                <w:rFonts w:ascii="Book Antiqua" w:hAnsi="Book Antiqua" w:cs="Arial"/>
                <w:b/>
              </w:rPr>
            </w:pPr>
            <w:r>
              <w:rPr>
                <w:rFonts w:ascii="Book Antiqua" w:hAnsi="Book Antiqua" w:cs="Arial"/>
                <w:b/>
              </w:rPr>
              <w:t>On 22 May 2018</w:t>
            </w:r>
          </w:p>
        </w:tc>
        <w:tc>
          <w:tcPr>
            <w:tcW w:w="3960" w:type="dxa"/>
          </w:tcPr>
          <w:p w:rsidR="004435D0" w:rsidRPr="009B7433" w:rsidRDefault="003C0543" w:rsidP="00AF52D8">
            <w:pPr>
              <w:jc w:val="both"/>
              <w:rPr>
                <w:rFonts w:ascii="Book Antiqua" w:hAnsi="Book Antiqua" w:cs="Arial"/>
                <w:b/>
              </w:rPr>
            </w:pPr>
            <w:r>
              <w:rPr>
                <w:rFonts w:ascii="Book Antiqua" w:hAnsi="Book Antiqua" w:cs="Arial"/>
                <w:b/>
              </w:rPr>
              <w:t>On 09 July 2018</w:t>
            </w:r>
          </w:p>
        </w:tc>
      </w:tr>
    </w:tbl>
    <w:p w:rsidR="004435D0" w:rsidRPr="009B7433" w:rsidRDefault="004435D0" w:rsidP="004435D0">
      <w:pPr>
        <w:jc w:val="center"/>
        <w:rPr>
          <w:rFonts w:ascii="Book Antiqua" w:hAnsi="Book Antiqua" w:cs="Arial"/>
        </w:rPr>
      </w:pPr>
    </w:p>
    <w:p w:rsidR="00A16AA9" w:rsidRDefault="00A16AA9" w:rsidP="004435D0">
      <w:pPr>
        <w:jc w:val="center"/>
        <w:rPr>
          <w:rFonts w:ascii="Book Antiqua" w:hAnsi="Book Antiqua" w:cs="Arial"/>
          <w:b/>
        </w:rPr>
      </w:pPr>
    </w:p>
    <w:p w:rsidR="004435D0" w:rsidRPr="009B7433" w:rsidRDefault="004435D0" w:rsidP="004435D0">
      <w:pPr>
        <w:jc w:val="center"/>
        <w:rPr>
          <w:rFonts w:ascii="Book Antiqua" w:hAnsi="Book Antiqua" w:cs="Arial"/>
          <w:b/>
        </w:rPr>
      </w:pPr>
      <w:r w:rsidRPr="009B7433">
        <w:rPr>
          <w:rFonts w:ascii="Book Antiqua" w:hAnsi="Book Antiqua" w:cs="Arial"/>
          <w:b/>
        </w:rPr>
        <w:t>Before</w:t>
      </w:r>
    </w:p>
    <w:p w:rsidR="004435D0" w:rsidRPr="009B7433" w:rsidRDefault="004435D0" w:rsidP="004435D0">
      <w:pPr>
        <w:jc w:val="center"/>
        <w:rPr>
          <w:rFonts w:ascii="Book Antiqua" w:hAnsi="Book Antiqua" w:cs="Arial"/>
          <w:b/>
        </w:rPr>
      </w:pPr>
    </w:p>
    <w:p w:rsidR="00D23A20" w:rsidRPr="00FC74FB" w:rsidRDefault="00D23A20" w:rsidP="00D23A20">
      <w:pPr>
        <w:jc w:val="center"/>
        <w:rPr>
          <w:rFonts w:ascii="Book Antiqua" w:hAnsi="Book Antiqua"/>
          <w:b/>
        </w:rPr>
      </w:pPr>
      <w:r w:rsidRPr="00FC74FB">
        <w:rPr>
          <w:rFonts w:ascii="Book Antiqua" w:hAnsi="Book Antiqua"/>
          <w:b/>
        </w:rPr>
        <w:t>THE HONOURABLE MR JUSTICE GARNHAM</w:t>
      </w:r>
    </w:p>
    <w:p w:rsidR="00D23A20" w:rsidRPr="00A16AA9" w:rsidRDefault="00D23A20" w:rsidP="00D23A20">
      <w:pPr>
        <w:jc w:val="center"/>
        <w:rPr>
          <w:rFonts w:ascii="Book Antiqua" w:hAnsi="Book Antiqua"/>
          <w:b/>
          <w:sz w:val="22"/>
        </w:rPr>
      </w:pPr>
      <w:r w:rsidRPr="00A16AA9">
        <w:rPr>
          <w:rFonts w:ascii="Book Antiqua" w:hAnsi="Book Antiqua"/>
          <w:b/>
          <w:sz w:val="22"/>
        </w:rPr>
        <w:t>SITTING AS A JUDGE OF THE UPPER TRIBUNAL</w:t>
      </w:r>
    </w:p>
    <w:p w:rsidR="00D23A20" w:rsidRPr="00FC74FB" w:rsidRDefault="00D23A20" w:rsidP="00D23A20">
      <w:pPr>
        <w:jc w:val="center"/>
        <w:rPr>
          <w:rFonts w:ascii="Book Antiqua" w:hAnsi="Book Antiqua"/>
          <w:b/>
        </w:rPr>
      </w:pPr>
      <w:r w:rsidRPr="00FC74FB">
        <w:rPr>
          <w:rFonts w:ascii="Book Antiqua" w:hAnsi="Book Antiqua"/>
          <w:b/>
        </w:rPr>
        <w:t>UPPER TRIBUNAL JUDGE RINTOUL</w:t>
      </w:r>
    </w:p>
    <w:p w:rsidR="00D23A20" w:rsidRDefault="00D23A20" w:rsidP="00D23A20">
      <w:pPr>
        <w:jc w:val="center"/>
        <w:rPr>
          <w:rFonts w:ascii="Book Antiqua" w:hAnsi="Book Antiqua"/>
          <w:b/>
        </w:rPr>
      </w:pPr>
    </w:p>
    <w:p w:rsidR="00A16AA9" w:rsidRPr="00FC74FB" w:rsidRDefault="00A16AA9" w:rsidP="00D23A20">
      <w:pPr>
        <w:jc w:val="center"/>
        <w:rPr>
          <w:rFonts w:ascii="Book Antiqua" w:hAnsi="Book Antiqua"/>
          <w:b/>
        </w:rPr>
      </w:pPr>
    </w:p>
    <w:p w:rsidR="00D23A20" w:rsidRPr="00FC74FB" w:rsidRDefault="00D23A20" w:rsidP="00A16AA9">
      <w:pPr>
        <w:jc w:val="center"/>
        <w:rPr>
          <w:rFonts w:ascii="Book Antiqua" w:hAnsi="Book Antiqua"/>
          <w:b/>
        </w:rPr>
      </w:pPr>
      <w:r w:rsidRPr="00FC74FB">
        <w:rPr>
          <w:rFonts w:ascii="Book Antiqua" w:hAnsi="Book Antiqua"/>
          <w:b/>
        </w:rPr>
        <w:t>Between</w:t>
      </w:r>
    </w:p>
    <w:p w:rsidR="00D23A20" w:rsidRPr="00FC74FB" w:rsidRDefault="00D23A20" w:rsidP="00D23A20">
      <w:pPr>
        <w:jc w:val="center"/>
        <w:rPr>
          <w:rFonts w:ascii="Book Antiqua" w:hAnsi="Book Antiqua"/>
          <w:b/>
        </w:rPr>
      </w:pPr>
    </w:p>
    <w:p w:rsidR="00D23A20" w:rsidRPr="00FC74FB" w:rsidRDefault="00D23A20" w:rsidP="00D23A20">
      <w:pPr>
        <w:jc w:val="center"/>
        <w:rPr>
          <w:rFonts w:ascii="Book Antiqua" w:hAnsi="Book Antiqua"/>
          <w:b/>
        </w:rPr>
      </w:pPr>
      <w:r w:rsidRPr="00FC74FB">
        <w:rPr>
          <w:rFonts w:ascii="Book Antiqua" w:hAnsi="Book Antiqua"/>
          <w:b/>
        </w:rPr>
        <w:t>THE SECRETARY OF STATE FOR THE HOME DEPARTMENT</w:t>
      </w:r>
    </w:p>
    <w:p w:rsidR="00D23A20" w:rsidRPr="00FC74FB" w:rsidRDefault="00D23A20" w:rsidP="00D23A20">
      <w:pPr>
        <w:jc w:val="right"/>
        <w:rPr>
          <w:rFonts w:ascii="Book Antiqua" w:hAnsi="Book Antiqua"/>
          <w:b/>
          <w:u w:val="single"/>
        </w:rPr>
      </w:pPr>
      <w:r w:rsidRPr="00FC74FB">
        <w:rPr>
          <w:rFonts w:ascii="Book Antiqua" w:hAnsi="Book Antiqua"/>
          <w:b/>
          <w:u w:val="single"/>
        </w:rPr>
        <w:t>Appellant</w:t>
      </w:r>
    </w:p>
    <w:p w:rsidR="00D23A20" w:rsidRPr="00FC74FB" w:rsidRDefault="00D23A20" w:rsidP="00D23A20">
      <w:pPr>
        <w:jc w:val="center"/>
        <w:rPr>
          <w:rFonts w:ascii="Book Antiqua" w:hAnsi="Book Antiqua"/>
          <w:b/>
        </w:rPr>
      </w:pPr>
      <w:r w:rsidRPr="00FC74FB">
        <w:rPr>
          <w:rFonts w:ascii="Book Antiqua" w:hAnsi="Book Antiqua"/>
          <w:b/>
        </w:rPr>
        <w:t>and</w:t>
      </w:r>
    </w:p>
    <w:p w:rsidR="00D23A20" w:rsidRDefault="00D23A20" w:rsidP="00D23A20">
      <w:pPr>
        <w:jc w:val="center"/>
        <w:rPr>
          <w:rFonts w:ascii="Book Antiqua" w:hAnsi="Book Antiqua"/>
          <w:b/>
        </w:rPr>
      </w:pPr>
    </w:p>
    <w:p w:rsidR="00D23A20" w:rsidRPr="00FC74FB" w:rsidRDefault="00D23A20" w:rsidP="00D23A20">
      <w:pPr>
        <w:jc w:val="center"/>
        <w:rPr>
          <w:rFonts w:ascii="Book Antiqua" w:hAnsi="Book Antiqua"/>
          <w:b/>
        </w:rPr>
      </w:pPr>
      <w:r w:rsidRPr="00FC74FB">
        <w:rPr>
          <w:rFonts w:ascii="Book Antiqua" w:hAnsi="Book Antiqua"/>
          <w:b/>
        </w:rPr>
        <w:t>MR MOHAMMED KHURAN SHEZAD</w:t>
      </w:r>
    </w:p>
    <w:p w:rsidR="00D23A20" w:rsidRPr="00A16AA9" w:rsidRDefault="00D23A20" w:rsidP="00D23A20">
      <w:pPr>
        <w:jc w:val="center"/>
        <w:rPr>
          <w:rFonts w:ascii="Book Antiqua" w:hAnsi="Book Antiqua"/>
          <w:b/>
          <w:sz w:val="22"/>
        </w:rPr>
      </w:pPr>
      <w:r w:rsidRPr="00A16AA9">
        <w:rPr>
          <w:rFonts w:ascii="Book Antiqua" w:hAnsi="Book Antiqua"/>
          <w:b/>
          <w:sz w:val="22"/>
        </w:rPr>
        <w:t>(ANONYMITY DIRECTION NOT MADE)</w:t>
      </w:r>
    </w:p>
    <w:p w:rsidR="00D23A20" w:rsidRPr="00FC74FB" w:rsidRDefault="00D23A20" w:rsidP="00D23A20">
      <w:pPr>
        <w:jc w:val="right"/>
        <w:rPr>
          <w:rFonts w:ascii="Book Antiqua" w:hAnsi="Book Antiqua"/>
          <w:b/>
        </w:rPr>
      </w:pPr>
      <w:r w:rsidRPr="00FC74FB">
        <w:rPr>
          <w:rFonts w:ascii="Book Antiqua" w:hAnsi="Book Antiqua"/>
          <w:b/>
        </w:rPr>
        <w:t>Respondent</w:t>
      </w:r>
    </w:p>
    <w:p w:rsidR="00A16AA9" w:rsidRDefault="00A16AA9" w:rsidP="00D23A20">
      <w:pPr>
        <w:rPr>
          <w:rFonts w:ascii="Book Antiqua" w:hAnsi="Book Antiqua"/>
          <w:b/>
          <w:u w:val="single"/>
        </w:rPr>
      </w:pPr>
    </w:p>
    <w:p w:rsidR="00A16AA9" w:rsidRDefault="00A16AA9" w:rsidP="00D23A20">
      <w:pPr>
        <w:rPr>
          <w:rFonts w:ascii="Book Antiqua" w:hAnsi="Book Antiqua"/>
          <w:b/>
          <w:u w:val="single"/>
        </w:rPr>
      </w:pPr>
    </w:p>
    <w:p w:rsidR="00D23A20" w:rsidRPr="00FC74FB" w:rsidRDefault="00D23A20" w:rsidP="00D23A20">
      <w:pPr>
        <w:rPr>
          <w:rFonts w:ascii="Book Antiqua" w:hAnsi="Book Antiqua"/>
          <w:b/>
        </w:rPr>
      </w:pPr>
      <w:r w:rsidRPr="00FC74FB">
        <w:rPr>
          <w:rFonts w:ascii="Book Antiqua" w:hAnsi="Book Antiqua"/>
          <w:b/>
          <w:u w:val="single"/>
        </w:rPr>
        <w:t>Representation</w:t>
      </w:r>
      <w:r w:rsidRPr="00FC74FB">
        <w:rPr>
          <w:rFonts w:ascii="Book Antiqua" w:hAnsi="Book Antiqua"/>
          <w:b/>
        </w:rPr>
        <w:t>:</w:t>
      </w:r>
    </w:p>
    <w:p w:rsidR="00D23A20" w:rsidRPr="00FC74FB" w:rsidRDefault="00D23A20" w:rsidP="00A16AA9">
      <w:pPr>
        <w:tabs>
          <w:tab w:val="left" w:pos="2552"/>
        </w:tabs>
        <w:rPr>
          <w:rFonts w:ascii="Book Antiqua" w:hAnsi="Book Antiqua"/>
        </w:rPr>
      </w:pPr>
      <w:r w:rsidRPr="00FC74FB">
        <w:rPr>
          <w:rFonts w:ascii="Book Antiqua" w:hAnsi="Book Antiqua"/>
        </w:rPr>
        <w:t xml:space="preserve">For the Appellant: </w:t>
      </w:r>
      <w:r w:rsidR="00A16AA9">
        <w:rPr>
          <w:rFonts w:ascii="Book Antiqua" w:hAnsi="Book Antiqua"/>
        </w:rPr>
        <w:tab/>
      </w:r>
      <w:r w:rsidRPr="00FC74FB">
        <w:rPr>
          <w:rFonts w:ascii="Book Antiqua" w:hAnsi="Book Antiqua"/>
        </w:rPr>
        <w:t xml:space="preserve">Mr S </w:t>
      </w:r>
      <w:proofErr w:type="spellStart"/>
      <w:r w:rsidRPr="00FC74FB">
        <w:rPr>
          <w:rFonts w:ascii="Book Antiqua" w:hAnsi="Book Antiqua"/>
        </w:rPr>
        <w:t>Kotas</w:t>
      </w:r>
      <w:proofErr w:type="spellEnd"/>
      <w:r w:rsidRPr="00FC74FB">
        <w:rPr>
          <w:rFonts w:ascii="Book Antiqua" w:hAnsi="Book Antiqua"/>
        </w:rPr>
        <w:t xml:space="preserve">, Senior Home Office Presenting Officer </w:t>
      </w:r>
    </w:p>
    <w:p w:rsidR="00D23A20" w:rsidRPr="00FC74FB" w:rsidRDefault="00D23A20" w:rsidP="00A16AA9">
      <w:pPr>
        <w:tabs>
          <w:tab w:val="left" w:pos="2552"/>
        </w:tabs>
        <w:rPr>
          <w:rFonts w:ascii="Book Antiqua" w:hAnsi="Book Antiqua"/>
        </w:rPr>
      </w:pPr>
      <w:r w:rsidRPr="00FC74FB">
        <w:rPr>
          <w:rFonts w:ascii="Book Antiqua" w:hAnsi="Book Antiqua"/>
        </w:rPr>
        <w:t xml:space="preserve">For the Respondent: </w:t>
      </w:r>
      <w:r w:rsidR="00A16AA9">
        <w:rPr>
          <w:rFonts w:ascii="Book Antiqua" w:hAnsi="Book Antiqua"/>
        </w:rPr>
        <w:tab/>
      </w:r>
      <w:r w:rsidR="002D4AD1">
        <w:rPr>
          <w:rFonts w:ascii="Book Antiqua" w:hAnsi="Book Antiqua"/>
        </w:rPr>
        <w:t xml:space="preserve">Mr </w:t>
      </w:r>
      <w:r w:rsidRPr="00FC74FB">
        <w:rPr>
          <w:rFonts w:ascii="Book Antiqua" w:hAnsi="Book Antiqua"/>
        </w:rPr>
        <w:t>Abid Mahmood</w:t>
      </w:r>
      <w:r w:rsidR="002D4AD1">
        <w:rPr>
          <w:rFonts w:ascii="Book Antiqua" w:hAnsi="Book Antiqua"/>
        </w:rPr>
        <w:t>, instructed by M J Immigration</w:t>
      </w:r>
    </w:p>
    <w:p w:rsidR="00D23A20" w:rsidRPr="00FC74FB" w:rsidRDefault="00D23A20" w:rsidP="00D23A20">
      <w:pPr>
        <w:jc w:val="center"/>
        <w:rPr>
          <w:rFonts w:ascii="Book Antiqua" w:hAnsi="Book Antiqua"/>
          <w:b/>
          <w:u w:val="single"/>
        </w:rPr>
      </w:pPr>
    </w:p>
    <w:p w:rsidR="00A16AA9" w:rsidRDefault="00A16AA9" w:rsidP="00D23A20">
      <w:pPr>
        <w:jc w:val="center"/>
        <w:rPr>
          <w:rFonts w:ascii="Book Antiqua" w:hAnsi="Book Antiqua"/>
          <w:b/>
          <w:u w:val="single"/>
        </w:rPr>
      </w:pPr>
    </w:p>
    <w:p w:rsidR="004426F3" w:rsidRPr="00FC74FB" w:rsidRDefault="00D23A20" w:rsidP="00D23A20">
      <w:pPr>
        <w:jc w:val="center"/>
        <w:rPr>
          <w:rFonts w:ascii="Book Antiqua" w:hAnsi="Book Antiqua"/>
          <w:b/>
          <w:u w:val="single"/>
        </w:rPr>
      </w:pPr>
      <w:r w:rsidRPr="00FC74FB">
        <w:rPr>
          <w:rFonts w:ascii="Book Antiqua" w:hAnsi="Book Antiqua"/>
          <w:b/>
          <w:u w:val="single"/>
        </w:rPr>
        <w:t>DECISION AND REASONS</w:t>
      </w:r>
    </w:p>
    <w:p w:rsidR="004426F3" w:rsidRPr="00FC74FB" w:rsidRDefault="004426F3" w:rsidP="00D23A20">
      <w:pPr>
        <w:jc w:val="center"/>
        <w:rPr>
          <w:rFonts w:ascii="Book Antiqua" w:hAnsi="Book Antiqua"/>
        </w:rPr>
      </w:pPr>
    </w:p>
    <w:p w:rsidR="004426F3" w:rsidRPr="00FC74FB" w:rsidRDefault="004426F3" w:rsidP="00D23A20">
      <w:pPr>
        <w:rPr>
          <w:rFonts w:ascii="Book Antiqua" w:hAnsi="Book Antiqua"/>
          <w:u w:val="single"/>
        </w:rPr>
      </w:pPr>
      <w:r w:rsidRPr="00FC74FB">
        <w:rPr>
          <w:rFonts w:ascii="Book Antiqua" w:hAnsi="Book Antiqua"/>
          <w:u w:val="single"/>
        </w:rPr>
        <w:t>Introduction</w:t>
      </w:r>
    </w:p>
    <w:p w:rsidR="00BF591C" w:rsidRPr="00FC74FB" w:rsidRDefault="004426F3" w:rsidP="00D23A20">
      <w:pPr>
        <w:pStyle w:val="ParaLevel1"/>
        <w:spacing w:line="240" w:lineRule="auto"/>
        <w:rPr>
          <w:rFonts w:ascii="Book Antiqua" w:hAnsi="Book Antiqua"/>
          <w:szCs w:val="24"/>
        </w:rPr>
      </w:pPr>
      <w:r w:rsidRPr="00FC74FB">
        <w:rPr>
          <w:rFonts w:ascii="Book Antiqua" w:hAnsi="Book Antiqua"/>
          <w:szCs w:val="24"/>
        </w:rPr>
        <w:t xml:space="preserve">The Secretary of State appeals against a decision of </w:t>
      </w:r>
      <w:r w:rsidR="00D86EB3" w:rsidRPr="00FC74FB">
        <w:rPr>
          <w:rFonts w:ascii="Book Antiqua" w:hAnsi="Book Antiqua"/>
          <w:szCs w:val="24"/>
        </w:rPr>
        <w:t>First</w:t>
      </w:r>
      <w:r w:rsidRPr="00FC74FB">
        <w:rPr>
          <w:rFonts w:ascii="Book Antiqua" w:hAnsi="Book Antiqua"/>
          <w:szCs w:val="24"/>
        </w:rPr>
        <w:t xml:space="preserve"> Tier Tribunal Judge Parkes</w:t>
      </w:r>
      <w:r w:rsidR="00D86EB3" w:rsidRPr="00FC74FB">
        <w:rPr>
          <w:rFonts w:ascii="Book Antiqua" w:hAnsi="Book Antiqua"/>
          <w:szCs w:val="24"/>
        </w:rPr>
        <w:t>,</w:t>
      </w:r>
      <w:r w:rsidRPr="00FC74FB">
        <w:rPr>
          <w:rFonts w:ascii="Book Antiqua" w:hAnsi="Book Antiqua"/>
          <w:szCs w:val="24"/>
        </w:rPr>
        <w:t xml:space="preserve"> who by a decision promulgated 23 November 2017 allowed an appeal by </w:t>
      </w:r>
      <w:r w:rsidR="00BF591C" w:rsidRPr="00FC74FB">
        <w:rPr>
          <w:rFonts w:ascii="Book Antiqua" w:hAnsi="Book Antiqua"/>
          <w:szCs w:val="24"/>
        </w:rPr>
        <w:t xml:space="preserve">Mr </w:t>
      </w:r>
      <w:r w:rsidRPr="00FC74FB">
        <w:rPr>
          <w:rFonts w:ascii="Book Antiqua" w:hAnsi="Book Antiqua"/>
          <w:szCs w:val="24"/>
        </w:rPr>
        <w:t xml:space="preserve">Mohammed </w:t>
      </w:r>
      <w:proofErr w:type="spellStart"/>
      <w:r w:rsidRPr="00FC74FB">
        <w:rPr>
          <w:rFonts w:ascii="Book Antiqua" w:hAnsi="Book Antiqua"/>
          <w:szCs w:val="24"/>
        </w:rPr>
        <w:t>Shezad</w:t>
      </w:r>
      <w:proofErr w:type="spellEnd"/>
      <w:r w:rsidRPr="00FC74FB">
        <w:rPr>
          <w:rFonts w:ascii="Book Antiqua" w:hAnsi="Book Antiqua"/>
          <w:szCs w:val="24"/>
        </w:rPr>
        <w:t xml:space="preserve"> against a decision of the Secretary of State</w:t>
      </w:r>
      <w:r w:rsidR="00D86EB3" w:rsidRPr="00FC74FB">
        <w:rPr>
          <w:rFonts w:ascii="Book Antiqua" w:hAnsi="Book Antiqua"/>
          <w:szCs w:val="24"/>
        </w:rPr>
        <w:t>,</w:t>
      </w:r>
      <w:r w:rsidRPr="00FC74FB">
        <w:rPr>
          <w:rFonts w:ascii="Book Antiqua" w:hAnsi="Book Antiqua"/>
          <w:szCs w:val="24"/>
        </w:rPr>
        <w:t xml:space="preserve"> </w:t>
      </w:r>
      <w:r w:rsidR="00D86EB3" w:rsidRPr="00FC74FB">
        <w:rPr>
          <w:rFonts w:ascii="Book Antiqua" w:hAnsi="Book Antiqua"/>
          <w:szCs w:val="24"/>
        </w:rPr>
        <w:t xml:space="preserve">taken on 20 December 2015, </w:t>
      </w:r>
      <w:r w:rsidRPr="00FC74FB">
        <w:rPr>
          <w:rFonts w:ascii="Book Antiqua" w:hAnsi="Book Antiqua"/>
          <w:szCs w:val="24"/>
        </w:rPr>
        <w:t xml:space="preserve">to deport him.  The basis of the Secretary of State’s decision was that his presence in the UK was not conducive to the public good.  The basis of his successful </w:t>
      </w:r>
      <w:r w:rsidRPr="00FC74FB">
        <w:rPr>
          <w:rFonts w:ascii="Book Antiqua" w:hAnsi="Book Antiqua"/>
          <w:szCs w:val="24"/>
        </w:rPr>
        <w:lastRenderedPageBreak/>
        <w:t xml:space="preserve">appeal </w:t>
      </w:r>
      <w:r w:rsidR="00D86EB3" w:rsidRPr="00FC74FB">
        <w:rPr>
          <w:rFonts w:ascii="Book Antiqua" w:hAnsi="Book Antiqua"/>
          <w:szCs w:val="24"/>
        </w:rPr>
        <w:t>to the</w:t>
      </w:r>
      <w:r w:rsidRPr="00FC74FB">
        <w:rPr>
          <w:rFonts w:ascii="Book Antiqua" w:hAnsi="Book Antiqua"/>
          <w:szCs w:val="24"/>
        </w:rPr>
        <w:t xml:space="preserve"> </w:t>
      </w:r>
      <w:r w:rsidR="00D86EB3" w:rsidRPr="00FC74FB">
        <w:rPr>
          <w:rFonts w:ascii="Book Antiqua" w:hAnsi="Book Antiqua"/>
          <w:szCs w:val="24"/>
        </w:rPr>
        <w:t>First</w:t>
      </w:r>
      <w:r w:rsidRPr="00FC74FB">
        <w:rPr>
          <w:rFonts w:ascii="Book Antiqua" w:hAnsi="Book Antiqua"/>
          <w:szCs w:val="24"/>
        </w:rPr>
        <w:t xml:space="preserve"> Tier Tribunal was that his deportation would breach his human rights.  </w:t>
      </w:r>
    </w:p>
    <w:p w:rsidR="004426F3" w:rsidRPr="00FC74FB" w:rsidRDefault="004426F3" w:rsidP="00D23A20">
      <w:pPr>
        <w:pStyle w:val="ParaLevel1"/>
        <w:spacing w:line="240" w:lineRule="auto"/>
        <w:rPr>
          <w:rFonts w:ascii="Book Antiqua" w:hAnsi="Book Antiqua"/>
          <w:szCs w:val="24"/>
        </w:rPr>
      </w:pPr>
      <w:r w:rsidRPr="00FC74FB">
        <w:rPr>
          <w:rFonts w:ascii="Book Antiqua" w:hAnsi="Book Antiqua"/>
          <w:szCs w:val="24"/>
        </w:rPr>
        <w:t xml:space="preserve">The Secretary of State appeals by permission of the designated judge of the First Tier Tribunal, Judge Woodcraft, dated 12 December 2017. The Secretary of State was represented on this appeal by </w:t>
      </w:r>
      <w:r w:rsidR="00D86EB3" w:rsidRPr="00FC74FB">
        <w:rPr>
          <w:rFonts w:ascii="Book Antiqua" w:hAnsi="Book Antiqua"/>
          <w:szCs w:val="24"/>
        </w:rPr>
        <w:t xml:space="preserve">Stefan </w:t>
      </w:r>
      <w:proofErr w:type="spellStart"/>
      <w:r w:rsidR="00D86EB3" w:rsidRPr="00FC74FB">
        <w:rPr>
          <w:rFonts w:ascii="Book Antiqua" w:hAnsi="Book Antiqua"/>
          <w:szCs w:val="24"/>
        </w:rPr>
        <w:t>Kotas</w:t>
      </w:r>
      <w:proofErr w:type="spellEnd"/>
      <w:r w:rsidRPr="00FC74FB">
        <w:rPr>
          <w:rFonts w:ascii="Book Antiqua" w:hAnsi="Book Antiqua"/>
          <w:szCs w:val="24"/>
        </w:rPr>
        <w:t xml:space="preserve">; the </w:t>
      </w:r>
      <w:r w:rsidR="00D86EB3" w:rsidRPr="00FC74FB">
        <w:rPr>
          <w:rFonts w:ascii="Book Antiqua" w:hAnsi="Book Antiqua"/>
          <w:szCs w:val="24"/>
        </w:rPr>
        <w:t>Respondent</w:t>
      </w:r>
      <w:r w:rsidRPr="00FC74FB">
        <w:rPr>
          <w:rFonts w:ascii="Book Antiqua" w:hAnsi="Book Antiqua"/>
          <w:szCs w:val="24"/>
        </w:rPr>
        <w:t xml:space="preserve"> by </w:t>
      </w:r>
      <w:r w:rsidR="00D86EB3" w:rsidRPr="00FC74FB">
        <w:rPr>
          <w:rFonts w:ascii="Book Antiqua" w:hAnsi="Book Antiqua"/>
          <w:szCs w:val="24"/>
        </w:rPr>
        <w:t>Abid Mahmood</w:t>
      </w:r>
      <w:r w:rsidRPr="00FC74FB">
        <w:rPr>
          <w:rFonts w:ascii="Book Antiqua" w:hAnsi="Book Antiqua"/>
          <w:szCs w:val="24"/>
        </w:rPr>
        <w:t>.  We are grateful to both for their submissions.</w:t>
      </w:r>
    </w:p>
    <w:p w:rsidR="004426F3" w:rsidRPr="00FC74FB" w:rsidRDefault="004426F3" w:rsidP="00D23A20">
      <w:pPr>
        <w:pStyle w:val="ParaLevel1"/>
        <w:numPr>
          <w:ilvl w:val="0"/>
          <w:numId w:val="0"/>
        </w:numPr>
        <w:spacing w:line="240" w:lineRule="auto"/>
        <w:rPr>
          <w:rFonts w:ascii="Book Antiqua" w:hAnsi="Book Antiqua"/>
          <w:szCs w:val="24"/>
          <w:u w:val="single"/>
        </w:rPr>
      </w:pPr>
      <w:r w:rsidRPr="00FC74FB">
        <w:rPr>
          <w:rFonts w:ascii="Book Antiqua" w:hAnsi="Book Antiqua"/>
          <w:szCs w:val="24"/>
          <w:u w:val="single"/>
        </w:rPr>
        <w:t>The Factual Background</w:t>
      </w:r>
    </w:p>
    <w:p w:rsidR="004426F3" w:rsidRPr="00FC74FB" w:rsidRDefault="004426F3" w:rsidP="00D23A20">
      <w:pPr>
        <w:pStyle w:val="ParaLevel1"/>
        <w:spacing w:line="240" w:lineRule="auto"/>
        <w:rPr>
          <w:rFonts w:ascii="Book Antiqua" w:hAnsi="Book Antiqua"/>
          <w:szCs w:val="24"/>
        </w:rPr>
      </w:pPr>
      <w:r w:rsidRPr="00FC74FB">
        <w:rPr>
          <w:rFonts w:ascii="Book Antiqua" w:hAnsi="Book Antiqua"/>
          <w:szCs w:val="24"/>
        </w:rPr>
        <w:t xml:space="preserve">The factual background in this case is not in dispute between the parties.  It is common ground that Mr </w:t>
      </w:r>
      <w:proofErr w:type="spellStart"/>
      <w:r w:rsidRPr="00FC74FB">
        <w:rPr>
          <w:rFonts w:ascii="Book Antiqua" w:hAnsi="Book Antiqua"/>
          <w:szCs w:val="24"/>
        </w:rPr>
        <w:t>Shezad</w:t>
      </w:r>
      <w:proofErr w:type="spellEnd"/>
      <w:r w:rsidRPr="00FC74FB">
        <w:rPr>
          <w:rFonts w:ascii="Book Antiqua" w:hAnsi="Book Antiqua"/>
          <w:szCs w:val="24"/>
        </w:rPr>
        <w:t xml:space="preserve"> arrived in the UK on 8 December </w:t>
      </w:r>
      <w:r w:rsidR="005C708E" w:rsidRPr="00FC74FB">
        <w:rPr>
          <w:rFonts w:ascii="Book Antiqua" w:hAnsi="Book Antiqua"/>
          <w:szCs w:val="24"/>
        </w:rPr>
        <w:t>1996 to join his B</w:t>
      </w:r>
      <w:r w:rsidRPr="00FC74FB">
        <w:rPr>
          <w:rFonts w:ascii="Book Antiqua" w:hAnsi="Book Antiqua"/>
          <w:szCs w:val="24"/>
        </w:rPr>
        <w:t>ritish spouse.  He was granted indefinite leave to remain on 3 December 1997 on the basis of marri</w:t>
      </w:r>
      <w:r w:rsidR="00D86EB3" w:rsidRPr="00FC74FB">
        <w:rPr>
          <w:rFonts w:ascii="Book Antiqua" w:hAnsi="Book Antiqua"/>
          <w:szCs w:val="24"/>
        </w:rPr>
        <w:t>age.  He and his wife now have four</w:t>
      </w:r>
      <w:r w:rsidRPr="00FC74FB">
        <w:rPr>
          <w:rFonts w:ascii="Book Antiqua" w:hAnsi="Book Antiqua"/>
          <w:szCs w:val="24"/>
        </w:rPr>
        <w:t xml:space="preserve"> children, the older two</w:t>
      </w:r>
      <w:r w:rsidR="00D86EB3" w:rsidRPr="00FC74FB">
        <w:rPr>
          <w:rFonts w:ascii="Book Antiqua" w:hAnsi="Book Antiqua"/>
          <w:szCs w:val="24"/>
        </w:rPr>
        <w:t xml:space="preserve"> </w:t>
      </w:r>
      <w:r w:rsidR="00247589" w:rsidRPr="00FC74FB">
        <w:rPr>
          <w:rFonts w:ascii="Book Antiqua" w:hAnsi="Book Antiqua"/>
          <w:szCs w:val="24"/>
        </w:rPr>
        <w:t>of whom</w:t>
      </w:r>
      <w:r w:rsidRPr="00FC74FB">
        <w:rPr>
          <w:rFonts w:ascii="Book Antiqua" w:hAnsi="Book Antiqua"/>
          <w:szCs w:val="24"/>
        </w:rPr>
        <w:t xml:space="preserve"> are adults.  </w:t>
      </w:r>
    </w:p>
    <w:p w:rsidR="00D57DDD" w:rsidRPr="00FC74FB" w:rsidRDefault="004426F3" w:rsidP="00D23A20">
      <w:pPr>
        <w:pStyle w:val="ParaLevel1"/>
        <w:spacing w:line="240" w:lineRule="auto"/>
        <w:rPr>
          <w:rFonts w:ascii="Book Antiqua" w:hAnsi="Book Antiqua"/>
          <w:szCs w:val="24"/>
        </w:rPr>
      </w:pPr>
      <w:r w:rsidRPr="00FC74FB">
        <w:rPr>
          <w:rFonts w:ascii="Book Antiqua" w:hAnsi="Book Antiqua"/>
          <w:szCs w:val="24"/>
        </w:rPr>
        <w:t xml:space="preserve">The Secretary of State’s decision to make a deportation follows the conviction of Mr </w:t>
      </w:r>
      <w:proofErr w:type="spellStart"/>
      <w:r w:rsidRPr="00FC74FB">
        <w:rPr>
          <w:rFonts w:ascii="Book Antiqua" w:hAnsi="Book Antiqua"/>
          <w:szCs w:val="24"/>
        </w:rPr>
        <w:t>Shezad</w:t>
      </w:r>
      <w:proofErr w:type="spellEnd"/>
      <w:r w:rsidRPr="00FC74FB">
        <w:rPr>
          <w:rFonts w:ascii="Book Antiqua" w:hAnsi="Book Antiqua"/>
          <w:szCs w:val="24"/>
        </w:rPr>
        <w:t xml:space="preserve"> in the Crown Court at Peterborough</w:t>
      </w:r>
      <w:r w:rsidR="00D86EB3" w:rsidRPr="00FC74FB">
        <w:rPr>
          <w:rFonts w:ascii="Book Antiqua" w:hAnsi="Book Antiqua"/>
          <w:szCs w:val="24"/>
        </w:rPr>
        <w:t xml:space="preserve"> on 9 November 2017 on a </w:t>
      </w:r>
      <w:r w:rsidRPr="00FC74FB">
        <w:rPr>
          <w:rFonts w:ascii="Book Antiqua" w:hAnsi="Book Antiqua"/>
          <w:szCs w:val="24"/>
        </w:rPr>
        <w:t xml:space="preserve">count of theft.  On 30 November 2015, he was sentenced to 8 months imprisonment.  </w:t>
      </w:r>
      <w:r w:rsidR="00D57DDD" w:rsidRPr="00FC74FB">
        <w:rPr>
          <w:rFonts w:ascii="Book Antiqua" w:hAnsi="Book Antiqua"/>
          <w:szCs w:val="24"/>
        </w:rPr>
        <w:t xml:space="preserve">In her sentencing remarks, Judge Langdale, said this; </w:t>
      </w:r>
    </w:p>
    <w:p w:rsidR="00D57DDD" w:rsidRPr="00FC74FB" w:rsidRDefault="00D57DDD" w:rsidP="00A16AA9">
      <w:pPr>
        <w:pStyle w:val="ParaLevel1"/>
        <w:numPr>
          <w:ilvl w:val="0"/>
          <w:numId w:val="0"/>
        </w:numPr>
        <w:spacing w:before="120" w:after="120" w:line="240" w:lineRule="auto"/>
        <w:ind w:left="1440"/>
        <w:rPr>
          <w:rFonts w:ascii="Book Antiqua" w:hAnsi="Book Antiqua"/>
          <w:szCs w:val="24"/>
        </w:rPr>
      </w:pPr>
      <w:r w:rsidRPr="00FC74FB">
        <w:rPr>
          <w:rFonts w:ascii="Book Antiqua" w:hAnsi="Book Antiqua"/>
          <w:szCs w:val="24"/>
        </w:rPr>
        <w:t xml:space="preserve">“You had a relationship with (the victim) that was steeped in trust.  You met him when you were a </w:t>
      </w:r>
      <w:proofErr w:type="spellStart"/>
      <w:r w:rsidRPr="00FC74FB">
        <w:rPr>
          <w:rFonts w:ascii="Book Antiqua" w:hAnsi="Book Antiqua"/>
          <w:szCs w:val="24"/>
        </w:rPr>
        <w:t>carer</w:t>
      </w:r>
      <w:proofErr w:type="spellEnd"/>
      <w:r w:rsidRPr="00FC74FB">
        <w:rPr>
          <w:rFonts w:ascii="Book Antiqua" w:hAnsi="Book Antiqua"/>
          <w:szCs w:val="24"/>
        </w:rPr>
        <w:t xml:space="preserve"> and you were employed to care for him for a period of time.  You became friends…</w:t>
      </w:r>
      <w:r w:rsidR="00A16AA9">
        <w:rPr>
          <w:rFonts w:ascii="Book Antiqua" w:hAnsi="Book Antiqua"/>
          <w:szCs w:val="24"/>
        </w:rPr>
        <w:t xml:space="preserve"> </w:t>
      </w:r>
      <w:r w:rsidRPr="00FC74FB">
        <w:rPr>
          <w:rFonts w:ascii="Book Antiqua" w:hAnsi="Book Antiqua"/>
          <w:szCs w:val="24"/>
        </w:rPr>
        <w:t>At the end of that time you exploited his loyalty and friendship.</w:t>
      </w:r>
    </w:p>
    <w:p w:rsidR="00D57DDD" w:rsidRPr="00FC74FB" w:rsidRDefault="00D57DDD" w:rsidP="00A16AA9">
      <w:pPr>
        <w:pStyle w:val="ParaLevel1"/>
        <w:numPr>
          <w:ilvl w:val="0"/>
          <w:numId w:val="0"/>
        </w:numPr>
        <w:spacing w:before="120" w:after="120" w:line="240" w:lineRule="auto"/>
        <w:ind w:left="1440"/>
        <w:rPr>
          <w:rFonts w:ascii="Book Antiqua" w:hAnsi="Book Antiqua"/>
          <w:szCs w:val="24"/>
        </w:rPr>
      </w:pPr>
      <w:r w:rsidRPr="00FC74FB">
        <w:rPr>
          <w:rFonts w:ascii="Book Antiqua" w:hAnsi="Book Antiqua"/>
          <w:szCs w:val="24"/>
        </w:rPr>
        <w:t>You earned debt with a severe gambling habit.  You knew that he had savings and you deceived him into giving you his bank card…</w:t>
      </w:r>
      <w:r w:rsidR="00A16AA9">
        <w:rPr>
          <w:rFonts w:ascii="Book Antiqua" w:hAnsi="Book Antiqua"/>
          <w:szCs w:val="24"/>
        </w:rPr>
        <w:t xml:space="preserve"> </w:t>
      </w:r>
      <w:r w:rsidRPr="00FC74FB">
        <w:rPr>
          <w:rFonts w:ascii="Book Antiqua" w:hAnsi="Book Antiqua"/>
          <w:szCs w:val="24"/>
        </w:rPr>
        <w:t xml:space="preserve">When he trusted you and gave you his card and his pin number, you set about </w:t>
      </w:r>
      <w:proofErr w:type="spellStart"/>
      <w:r w:rsidRPr="00FC74FB">
        <w:rPr>
          <w:rFonts w:ascii="Book Antiqua" w:hAnsi="Book Antiqua"/>
          <w:szCs w:val="24"/>
        </w:rPr>
        <w:t>milching</w:t>
      </w:r>
      <w:proofErr w:type="spellEnd"/>
      <w:r w:rsidRPr="00FC74FB">
        <w:rPr>
          <w:rFonts w:ascii="Book Antiqua" w:hAnsi="Book Antiqua"/>
          <w:szCs w:val="24"/>
        </w:rPr>
        <w:t xml:space="preserve"> his account and when he found out that he was overdrawn he did not even have enough money to buy food.  You accompanied him to the bank to top-up his current account from his savings so that you could continue to </w:t>
      </w:r>
      <w:proofErr w:type="spellStart"/>
      <w:r w:rsidRPr="00FC74FB">
        <w:rPr>
          <w:rFonts w:ascii="Book Antiqua" w:hAnsi="Book Antiqua"/>
          <w:szCs w:val="24"/>
        </w:rPr>
        <w:t>milch</w:t>
      </w:r>
      <w:proofErr w:type="spellEnd"/>
      <w:r w:rsidRPr="00FC74FB">
        <w:rPr>
          <w:rFonts w:ascii="Book Antiqua" w:hAnsi="Book Antiqua"/>
          <w:szCs w:val="24"/>
        </w:rPr>
        <w:t xml:space="preserve"> his account.  In the </w:t>
      </w:r>
      <w:proofErr w:type="gramStart"/>
      <w:r w:rsidRPr="00FC74FB">
        <w:rPr>
          <w:rFonts w:ascii="Book Antiqua" w:hAnsi="Book Antiqua"/>
          <w:szCs w:val="24"/>
        </w:rPr>
        <w:t>meantime</w:t>
      </w:r>
      <w:proofErr w:type="gramEnd"/>
      <w:r w:rsidRPr="00FC74FB">
        <w:rPr>
          <w:rFonts w:ascii="Book Antiqua" w:hAnsi="Book Antiqua"/>
          <w:szCs w:val="24"/>
        </w:rPr>
        <w:t xml:space="preserve"> you were spending his money on scratch cards, while he was reliant on you for handouts to buy food.  </w:t>
      </w:r>
    </w:p>
    <w:p w:rsidR="00D57DDD" w:rsidRPr="00FC74FB" w:rsidRDefault="00D57DDD" w:rsidP="00A16AA9">
      <w:pPr>
        <w:pStyle w:val="ParaLevel1"/>
        <w:numPr>
          <w:ilvl w:val="0"/>
          <w:numId w:val="0"/>
        </w:numPr>
        <w:spacing w:before="120" w:after="120" w:line="240" w:lineRule="auto"/>
        <w:ind w:left="1440"/>
        <w:rPr>
          <w:rFonts w:ascii="Book Antiqua" w:hAnsi="Book Antiqua"/>
          <w:szCs w:val="24"/>
        </w:rPr>
      </w:pPr>
      <w:r w:rsidRPr="00FC74FB">
        <w:rPr>
          <w:rFonts w:ascii="Book Antiqua" w:hAnsi="Book Antiqua"/>
          <w:szCs w:val="24"/>
        </w:rPr>
        <w:t>In my judgment, this was a gross breach of trust, even though you were no longer employed to care for him.  You carried on stealing his money for a period of 6 weeks.  In my judgment, you have shown no remorse but you tried to manipulate (the victim) into not reporting the matter by offering to repay the money…</w:t>
      </w:r>
      <w:r w:rsidR="00A16AA9">
        <w:rPr>
          <w:rFonts w:ascii="Book Antiqua" w:hAnsi="Book Antiqua"/>
          <w:szCs w:val="24"/>
        </w:rPr>
        <w:t xml:space="preserve"> </w:t>
      </w:r>
      <w:r w:rsidRPr="00FC74FB">
        <w:rPr>
          <w:rFonts w:ascii="Book Antiqua" w:hAnsi="Book Antiqua"/>
          <w:szCs w:val="24"/>
        </w:rPr>
        <w:t>(The victim) who was blind from birth, the most vulnerable of men, was caused real distress.  Indeed, it was clear to me that he found the trial process very intimidating and distressing.</w:t>
      </w:r>
      <w:r w:rsidR="00BF591C" w:rsidRPr="00FC74FB">
        <w:rPr>
          <w:rFonts w:ascii="Book Antiqua" w:hAnsi="Book Antiqua"/>
          <w:szCs w:val="24"/>
        </w:rPr>
        <w:t>”</w:t>
      </w:r>
      <w:r w:rsidRPr="00FC74FB">
        <w:rPr>
          <w:rFonts w:ascii="Book Antiqua" w:hAnsi="Book Antiqua"/>
          <w:szCs w:val="24"/>
        </w:rPr>
        <w:t xml:space="preserve">  </w:t>
      </w:r>
    </w:p>
    <w:p w:rsidR="00FE596C" w:rsidRPr="00FC74FB" w:rsidRDefault="00FE596C" w:rsidP="00D23A20">
      <w:pPr>
        <w:pStyle w:val="ParaLevel1"/>
        <w:spacing w:line="240" w:lineRule="auto"/>
        <w:rPr>
          <w:rFonts w:ascii="Book Antiqua" w:hAnsi="Book Antiqua"/>
          <w:szCs w:val="24"/>
        </w:rPr>
      </w:pPr>
      <w:r w:rsidRPr="00FC74FB">
        <w:rPr>
          <w:rFonts w:ascii="Book Antiqua" w:hAnsi="Book Antiqua"/>
          <w:szCs w:val="24"/>
        </w:rPr>
        <w:t>On 17 December 2015</w:t>
      </w:r>
      <w:r w:rsidR="00301FC1" w:rsidRPr="00FC74FB">
        <w:rPr>
          <w:rFonts w:ascii="Book Antiqua" w:hAnsi="Book Antiqua"/>
          <w:szCs w:val="24"/>
        </w:rPr>
        <w:t>,</w:t>
      </w:r>
      <w:r w:rsidRPr="00FC74FB">
        <w:rPr>
          <w:rFonts w:ascii="Book Antiqua" w:hAnsi="Book Antiqua"/>
          <w:szCs w:val="24"/>
        </w:rPr>
        <w:t xml:space="preserve"> the Secretary of State wrote to Mr </w:t>
      </w:r>
      <w:proofErr w:type="spellStart"/>
      <w:r w:rsidRPr="00FC74FB">
        <w:rPr>
          <w:rFonts w:ascii="Book Antiqua" w:hAnsi="Book Antiqua"/>
          <w:szCs w:val="24"/>
        </w:rPr>
        <w:t>Shezad</w:t>
      </w:r>
      <w:proofErr w:type="spellEnd"/>
      <w:r w:rsidRPr="00FC74FB">
        <w:rPr>
          <w:rFonts w:ascii="Book Antiqua" w:hAnsi="Book Antiqua"/>
          <w:szCs w:val="24"/>
        </w:rPr>
        <w:t xml:space="preserve"> notifying him that because of that criminal conviction </w:t>
      </w:r>
      <w:r w:rsidR="00BF591C" w:rsidRPr="00FC74FB">
        <w:rPr>
          <w:rFonts w:ascii="Book Antiqua" w:hAnsi="Book Antiqua"/>
          <w:szCs w:val="24"/>
        </w:rPr>
        <w:t>she</w:t>
      </w:r>
      <w:r w:rsidRPr="00FC74FB">
        <w:rPr>
          <w:rFonts w:ascii="Book Antiqua" w:hAnsi="Book Antiqua"/>
          <w:szCs w:val="24"/>
        </w:rPr>
        <w:t xml:space="preserve"> had decided</w:t>
      </w:r>
      <w:r w:rsidR="00D86EB3" w:rsidRPr="00FC74FB">
        <w:rPr>
          <w:rFonts w:ascii="Book Antiqua" w:hAnsi="Book Antiqua"/>
          <w:szCs w:val="24"/>
        </w:rPr>
        <w:t xml:space="preserve"> to make a deportation order</w:t>
      </w:r>
      <w:r w:rsidR="00301FC1" w:rsidRPr="00FC74FB">
        <w:rPr>
          <w:rFonts w:ascii="Book Antiqua" w:hAnsi="Book Antiqua"/>
          <w:szCs w:val="24"/>
        </w:rPr>
        <w:t xml:space="preserve">.  In response, Mr </w:t>
      </w:r>
      <w:proofErr w:type="spellStart"/>
      <w:r w:rsidR="00301FC1" w:rsidRPr="00FC74FB">
        <w:rPr>
          <w:rFonts w:ascii="Book Antiqua" w:hAnsi="Book Antiqua"/>
          <w:szCs w:val="24"/>
        </w:rPr>
        <w:t>Shezad’s</w:t>
      </w:r>
      <w:proofErr w:type="spellEnd"/>
      <w:r w:rsidR="00301FC1" w:rsidRPr="00FC74FB">
        <w:rPr>
          <w:rFonts w:ascii="Book Antiqua" w:hAnsi="Book Antiqua"/>
          <w:szCs w:val="24"/>
        </w:rPr>
        <w:t xml:space="preserve"> </w:t>
      </w:r>
      <w:r w:rsidR="00247589" w:rsidRPr="00FC74FB">
        <w:rPr>
          <w:rFonts w:ascii="Book Antiqua" w:hAnsi="Book Antiqua"/>
          <w:szCs w:val="24"/>
        </w:rPr>
        <w:t>solicitors</w:t>
      </w:r>
      <w:r w:rsidR="00301FC1" w:rsidRPr="00FC74FB">
        <w:rPr>
          <w:rFonts w:ascii="Book Antiqua" w:hAnsi="Book Antiqua"/>
          <w:szCs w:val="24"/>
        </w:rPr>
        <w:t xml:space="preserve"> submitted representations dated 21 January 2016 setting out their case as to why he should not be deported.  By letter dated 2</w:t>
      </w:r>
      <w:r w:rsidR="007C71EA" w:rsidRPr="00FC74FB">
        <w:rPr>
          <w:rFonts w:ascii="Book Antiqua" w:hAnsi="Book Antiqua"/>
          <w:szCs w:val="24"/>
        </w:rPr>
        <w:t>3</w:t>
      </w:r>
      <w:r w:rsidR="00301FC1" w:rsidRPr="00FC74FB">
        <w:rPr>
          <w:rFonts w:ascii="Book Antiqua" w:hAnsi="Book Antiqua"/>
          <w:szCs w:val="24"/>
        </w:rPr>
        <w:t xml:space="preserve"> May 2016 the Secretary of State responded to those representations.  The Secretary of State asserted that Mr </w:t>
      </w:r>
      <w:proofErr w:type="spellStart"/>
      <w:r w:rsidR="00301FC1" w:rsidRPr="00FC74FB">
        <w:rPr>
          <w:rFonts w:ascii="Book Antiqua" w:hAnsi="Book Antiqua"/>
          <w:szCs w:val="24"/>
        </w:rPr>
        <w:t>Shezad’s</w:t>
      </w:r>
      <w:proofErr w:type="spellEnd"/>
      <w:r w:rsidR="00301FC1" w:rsidRPr="00FC74FB">
        <w:rPr>
          <w:rFonts w:ascii="Book Antiqua" w:hAnsi="Book Antiqua"/>
          <w:szCs w:val="24"/>
        </w:rPr>
        <w:t xml:space="preserve"> deportation;</w:t>
      </w:r>
    </w:p>
    <w:p w:rsidR="00301FC1" w:rsidRPr="00FC74FB" w:rsidRDefault="007D3641" w:rsidP="00A16AA9">
      <w:pPr>
        <w:pStyle w:val="Quote"/>
        <w:spacing w:before="120" w:after="120"/>
        <w:ind w:right="0"/>
        <w:rPr>
          <w:rFonts w:ascii="Book Antiqua" w:hAnsi="Book Antiqua"/>
          <w:szCs w:val="24"/>
        </w:rPr>
      </w:pPr>
      <w:r w:rsidRPr="00FC74FB">
        <w:rPr>
          <w:rFonts w:ascii="Book Antiqua" w:hAnsi="Book Antiqua"/>
          <w:szCs w:val="24"/>
        </w:rPr>
        <w:lastRenderedPageBreak/>
        <w:t>“</w:t>
      </w:r>
      <w:r w:rsidR="00301FC1" w:rsidRPr="00FC74FB">
        <w:rPr>
          <w:rFonts w:ascii="Book Antiqua" w:hAnsi="Book Antiqua"/>
          <w:szCs w:val="24"/>
        </w:rPr>
        <w:t xml:space="preserve">is conducive to the public good and in the public interest </w:t>
      </w:r>
      <w:r w:rsidR="00301FC1" w:rsidRPr="00FC74FB">
        <w:rPr>
          <w:rFonts w:ascii="Book Antiqua" w:hAnsi="Book Antiqua"/>
          <w:szCs w:val="24"/>
          <w:u w:val="single"/>
        </w:rPr>
        <w:t>because you have been convicted of an offence which has caused serious harm</w:t>
      </w:r>
      <w:r w:rsidR="00301FC1" w:rsidRPr="00FC74FB">
        <w:rPr>
          <w:rFonts w:ascii="Book Antiqua" w:hAnsi="Book Antiqua"/>
          <w:szCs w:val="24"/>
        </w:rPr>
        <w:t xml:space="preserve">.  This is because you have convicted of the serious offence of theft from a person, for which you were sentenced to 8 months imprisonment.  </w:t>
      </w:r>
      <w:proofErr w:type="gramStart"/>
      <w:r w:rsidR="00301FC1" w:rsidRPr="00FC74FB">
        <w:rPr>
          <w:rFonts w:ascii="Book Antiqua" w:hAnsi="Book Antiqua"/>
          <w:szCs w:val="24"/>
        </w:rPr>
        <w:t>Therefore</w:t>
      </w:r>
      <w:proofErr w:type="gramEnd"/>
      <w:r w:rsidR="00301FC1" w:rsidRPr="00FC74FB">
        <w:rPr>
          <w:rFonts w:ascii="Book Antiqua" w:hAnsi="Book Antiqua"/>
          <w:szCs w:val="24"/>
        </w:rPr>
        <w:t xml:space="preserve"> and in </w:t>
      </w:r>
      <w:r w:rsidR="003D08FD" w:rsidRPr="00FC74FB">
        <w:rPr>
          <w:rFonts w:ascii="Book Antiqua" w:hAnsi="Book Antiqua"/>
          <w:szCs w:val="24"/>
        </w:rPr>
        <w:t>accordance with paragraph 398 of the</w:t>
      </w:r>
      <w:r w:rsidR="00301FC1" w:rsidRPr="00FC74FB">
        <w:rPr>
          <w:rFonts w:ascii="Book Antiqua" w:hAnsi="Book Antiqua"/>
          <w:szCs w:val="24"/>
        </w:rPr>
        <w:t xml:space="preserve"> </w:t>
      </w:r>
      <w:r w:rsidRPr="00FC74FB">
        <w:rPr>
          <w:rFonts w:ascii="Book Antiqua" w:hAnsi="Book Antiqua"/>
          <w:szCs w:val="24"/>
        </w:rPr>
        <w:t>immigration rul</w:t>
      </w:r>
      <w:r w:rsidR="003D08FD" w:rsidRPr="00FC74FB">
        <w:rPr>
          <w:rFonts w:ascii="Book Antiqua" w:hAnsi="Book Antiqua"/>
          <w:szCs w:val="24"/>
        </w:rPr>
        <w:t>es, the public interest requires</w:t>
      </w:r>
      <w:r w:rsidRPr="00FC74FB">
        <w:rPr>
          <w:rFonts w:ascii="Book Antiqua" w:hAnsi="Book Antiqua"/>
          <w:szCs w:val="24"/>
        </w:rPr>
        <w:t xml:space="preserve"> you</w:t>
      </w:r>
      <w:r w:rsidR="003D08FD" w:rsidRPr="00FC74FB">
        <w:rPr>
          <w:rFonts w:ascii="Book Antiqua" w:hAnsi="Book Antiqua"/>
          <w:szCs w:val="24"/>
        </w:rPr>
        <w:t>r</w:t>
      </w:r>
      <w:r w:rsidRPr="00FC74FB">
        <w:rPr>
          <w:rFonts w:ascii="Book Antiqua" w:hAnsi="Book Antiqua"/>
          <w:szCs w:val="24"/>
        </w:rPr>
        <w:t xml:space="preserve"> deportation unless </w:t>
      </w:r>
      <w:r w:rsidR="003D08FD" w:rsidRPr="00FC74FB">
        <w:rPr>
          <w:rFonts w:ascii="Book Antiqua" w:hAnsi="Book Antiqua"/>
          <w:szCs w:val="24"/>
        </w:rPr>
        <w:t>an exception to deportation applies</w:t>
      </w:r>
      <w:r w:rsidRPr="00FC74FB">
        <w:rPr>
          <w:rFonts w:ascii="Book Antiqua" w:hAnsi="Book Antiqua"/>
          <w:szCs w:val="24"/>
        </w:rPr>
        <w:t>.  The exceptions are set out in paragraph 3</w:t>
      </w:r>
      <w:r w:rsidR="003D08FD" w:rsidRPr="00FC74FB">
        <w:rPr>
          <w:rFonts w:ascii="Book Antiqua" w:hAnsi="Book Antiqua"/>
          <w:szCs w:val="24"/>
        </w:rPr>
        <w:t>99 and 399A of the</w:t>
      </w:r>
      <w:r w:rsidR="00247589" w:rsidRPr="00FC74FB">
        <w:rPr>
          <w:rFonts w:ascii="Book Antiqua" w:hAnsi="Book Antiqua"/>
          <w:szCs w:val="24"/>
        </w:rPr>
        <w:t xml:space="preserve"> immigration rules</w:t>
      </w:r>
      <w:r w:rsidRPr="00FC74FB">
        <w:rPr>
          <w:rFonts w:ascii="Book Antiqua" w:hAnsi="Book Antiqua"/>
          <w:szCs w:val="24"/>
        </w:rPr>
        <w:t>”</w:t>
      </w:r>
      <w:r w:rsidR="00247589" w:rsidRPr="00FC74FB">
        <w:rPr>
          <w:rFonts w:ascii="Book Antiqua" w:hAnsi="Book Antiqua"/>
          <w:szCs w:val="24"/>
        </w:rPr>
        <w:t xml:space="preserve"> (emphasis added).</w:t>
      </w:r>
    </w:p>
    <w:p w:rsidR="003D08FD" w:rsidRPr="00FC74FB" w:rsidRDefault="007D3641" w:rsidP="00D23A20">
      <w:pPr>
        <w:pStyle w:val="ParaLevel1"/>
        <w:spacing w:line="240" w:lineRule="auto"/>
        <w:rPr>
          <w:rFonts w:ascii="Book Antiqua" w:hAnsi="Book Antiqua"/>
          <w:szCs w:val="24"/>
        </w:rPr>
      </w:pPr>
      <w:r w:rsidRPr="00FC74FB">
        <w:rPr>
          <w:rFonts w:ascii="Book Antiqua" w:hAnsi="Book Antiqua"/>
          <w:szCs w:val="24"/>
        </w:rPr>
        <w:t>The letter then set out and addressed the relevant provisions of the immigration rules.  The Secret</w:t>
      </w:r>
      <w:r w:rsidR="003D08FD" w:rsidRPr="00FC74FB">
        <w:rPr>
          <w:rFonts w:ascii="Book Antiqua" w:hAnsi="Book Antiqua"/>
          <w:szCs w:val="24"/>
        </w:rPr>
        <w:t>ary of State acknowledged that three</w:t>
      </w:r>
      <w:r w:rsidRPr="00FC74FB">
        <w:rPr>
          <w:rFonts w:ascii="Book Antiqua" w:hAnsi="Book Antiqua"/>
          <w:szCs w:val="24"/>
        </w:rPr>
        <w:t xml:space="preserve"> of Mr </w:t>
      </w:r>
      <w:proofErr w:type="spellStart"/>
      <w:r w:rsidRPr="00FC74FB">
        <w:rPr>
          <w:rFonts w:ascii="Book Antiqua" w:hAnsi="Book Antiqua"/>
          <w:szCs w:val="24"/>
        </w:rPr>
        <w:t>Shezad’s</w:t>
      </w:r>
      <w:proofErr w:type="spellEnd"/>
      <w:r w:rsidRPr="00FC74FB">
        <w:rPr>
          <w:rFonts w:ascii="Book Antiqua" w:hAnsi="Book Antiqua"/>
          <w:szCs w:val="24"/>
        </w:rPr>
        <w:t xml:space="preserve"> children are under the age of 18 and are British citizens. It was accepted that Mr </w:t>
      </w:r>
      <w:proofErr w:type="spellStart"/>
      <w:r w:rsidRPr="00FC74FB">
        <w:rPr>
          <w:rFonts w:ascii="Book Antiqua" w:hAnsi="Book Antiqua"/>
          <w:szCs w:val="24"/>
        </w:rPr>
        <w:t>Shezad</w:t>
      </w:r>
      <w:proofErr w:type="spellEnd"/>
      <w:r w:rsidRPr="00FC74FB">
        <w:rPr>
          <w:rFonts w:ascii="Book Antiqua" w:hAnsi="Book Antiqua"/>
          <w:szCs w:val="24"/>
        </w:rPr>
        <w:t xml:space="preserve"> had a genuine and pers</w:t>
      </w:r>
      <w:r w:rsidR="003D08FD" w:rsidRPr="00FC74FB">
        <w:rPr>
          <w:rFonts w:ascii="Book Antiqua" w:hAnsi="Book Antiqua"/>
          <w:szCs w:val="24"/>
        </w:rPr>
        <w:t>isting relationship with those three</w:t>
      </w:r>
      <w:r w:rsidRPr="00FC74FB">
        <w:rPr>
          <w:rFonts w:ascii="Book Antiqua" w:hAnsi="Book Antiqua"/>
          <w:szCs w:val="24"/>
        </w:rPr>
        <w:t xml:space="preserve"> children. It was not</w:t>
      </w:r>
      <w:r w:rsidR="003D08FD" w:rsidRPr="00FC74FB">
        <w:rPr>
          <w:rFonts w:ascii="Book Antiqua" w:hAnsi="Book Antiqua"/>
          <w:szCs w:val="24"/>
        </w:rPr>
        <w:t xml:space="preserve"> accepted</w:t>
      </w:r>
      <w:r w:rsidRPr="00FC74FB">
        <w:rPr>
          <w:rFonts w:ascii="Book Antiqua" w:hAnsi="Book Antiqua"/>
          <w:szCs w:val="24"/>
        </w:rPr>
        <w:t xml:space="preserve">, however, that it would be unduly harsh for those children to live in Pakistan with Mr </w:t>
      </w:r>
      <w:proofErr w:type="spellStart"/>
      <w:r w:rsidRPr="00FC74FB">
        <w:rPr>
          <w:rFonts w:ascii="Book Antiqua" w:hAnsi="Book Antiqua"/>
          <w:szCs w:val="24"/>
        </w:rPr>
        <w:t>Shezad</w:t>
      </w:r>
      <w:proofErr w:type="spellEnd"/>
      <w:r w:rsidRPr="00FC74FB">
        <w:rPr>
          <w:rFonts w:ascii="Book Antiqua" w:hAnsi="Book Antiqua"/>
          <w:szCs w:val="24"/>
        </w:rPr>
        <w:t xml:space="preserve">, were he to be deported.  It was pointed out that they had been raised from birth </w:t>
      </w:r>
      <w:r w:rsidR="00B612C2" w:rsidRPr="00FC74FB">
        <w:rPr>
          <w:rFonts w:ascii="Book Antiqua" w:hAnsi="Book Antiqua"/>
          <w:szCs w:val="24"/>
        </w:rPr>
        <w:t>with</w:t>
      </w:r>
      <w:r w:rsidRPr="00FC74FB">
        <w:rPr>
          <w:rFonts w:ascii="Book Antiqua" w:hAnsi="Book Antiqua"/>
          <w:szCs w:val="24"/>
        </w:rPr>
        <w:t xml:space="preserve">in a Pakistani household and therefore would be familiar with the culture and customs of that country.  </w:t>
      </w:r>
      <w:r w:rsidR="00B612C2" w:rsidRPr="00FC74FB">
        <w:rPr>
          <w:rFonts w:ascii="Book Antiqua" w:hAnsi="Book Antiqua"/>
          <w:szCs w:val="24"/>
        </w:rPr>
        <w:t xml:space="preserve">They were of a Pakistani descent and were young enough to adapt to living in Pakistan with the support of their parents if that was what Mr and Mrs </w:t>
      </w:r>
      <w:proofErr w:type="spellStart"/>
      <w:r w:rsidR="00B612C2" w:rsidRPr="00FC74FB">
        <w:rPr>
          <w:rFonts w:ascii="Book Antiqua" w:hAnsi="Book Antiqua"/>
          <w:szCs w:val="24"/>
        </w:rPr>
        <w:t>Shezad</w:t>
      </w:r>
      <w:proofErr w:type="spellEnd"/>
      <w:r w:rsidR="00B612C2" w:rsidRPr="00FC74FB">
        <w:rPr>
          <w:rFonts w:ascii="Book Antiqua" w:hAnsi="Book Antiqua"/>
          <w:szCs w:val="24"/>
        </w:rPr>
        <w:t xml:space="preserve"> decided. </w:t>
      </w:r>
    </w:p>
    <w:p w:rsidR="007D3641" w:rsidRPr="00FC74FB" w:rsidRDefault="00B612C2" w:rsidP="00D23A20">
      <w:pPr>
        <w:pStyle w:val="ParaLevel1"/>
        <w:spacing w:line="240" w:lineRule="auto"/>
        <w:rPr>
          <w:rFonts w:ascii="Book Antiqua" w:hAnsi="Book Antiqua"/>
          <w:szCs w:val="24"/>
        </w:rPr>
      </w:pPr>
      <w:r w:rsidRPr="00FC74FB">
        <w:rPr>
          <w:rFonts w:ascii="Book Antiqua" w:hAnsi="Book Antiqua"/>
          <w:szCs w:val="24"/>
        </w:rPr>
        <w:t xml:space="preserve">It was also not accepted that it would not be unduly harsh for the children to remain in the UK if Mr </w:t>
      </w:r>
      <w:proofErr w:type="spellStart"/>
      <w:r w:rsidRPr="00FC74FB">
        <w:rPr>
          <w:rFonts w:ascii="Book Antiqua" w:hAnsi="Book Antiqua"/>
          <w:szCs w:val="24"/>
        </w:rPr>
        <w:t>Shezad</w:t>
      </w:r>
      <w:proofErr w:type="spellEnd"/>
      <w:r w:rsidRPr="00FC74FB">
        <w:rPr>
          <w:rFonts w:ascii="Book Antiqua" w:hAnsi="Book Antiqua"/>
          <w:szCs w:val="24"/>
        </w:rPr>
        <w:t xml:space="preserve"> were to be deported.  Accordingly, it was not accepted that Mr </w:t>
      </w:r>
      <w:proofErr w:type="spellStart"/>
      <w:r w:rsidRPr="00FC74FB">
        <w:rPr>
          <w:rFonts w:ascii="Book Antiqua" w:hAnsi="Book Antiqua"/>
          <w:szCs w:val="24"/>
        </w:rPr>
        <w:t>Shezad</w:t>
      </w:r>
      <w:proofErr w:type="spellEnd"/>
      <w:r w:rsidRPr="00FC74FB">
        <w:rPr>
          <w:rFonts w:ascii="Book Antiqua" w:hAnsi="Book Antiqua"/>
          <w:szCs w:val="24"/>
        </w:rPr>
        <w:t xml:space="preserve"> met the requirements of the exception to deportation on the basis of family life of the child.  </w:t>
      </w:r>
    </w:p>
    <w:p w:rsidR="00B612C2" w:rsidRPr="00FC74FB" w:rsidRDefault="00B612C2" w:rsidP="00D23A20">
      <w:pPr>
        <w:pStyle w:val="ParaLevel1"/>
        <w:spacing w:line="240" w:lineRule="auto"/>
        <w:rPr>
          <w:rFonts w:ascii="Book Antiqua" w:hAnsi="Book Antiqua"/>
          <w:szCs w:val="24"/>
        </w:rPr>
      </w:pPr>
      <w:r w:rsidRPr="00FC74FB">
        <w:rPr>
          <w:rFonts w:ascii="Book Antiqua" w:hAnsi="Book Antiqua"/>
          <w:szCs w:val="24"/>
        </w:rPr>
        <w:t xml:space="preserve">The claim was also considered on the basis of </w:t>
      </w:r>
      <w:r w:rsidR="003D08FD" w:rsidRPr="00FC74FB">
        <w:rPr>
          <w:rFonts w:ascii="Book Antiqua" w:hAnsi="Book Antiqua"/>
          <w:szCs w:val="24"/>
        </w:rPr>
        <w:t xml:space="preserve">the Respondent’s </w:t>
      </w:r>
      <w:r w:rsidRPr="00FC74FB">
        <w:rPr>
          <w:rFonts w:ascii="Book Antiqua" w:hAnsi="Book Antiqua"/>
          <w:szCs w:val="24"/>
        </w:rPr>
        <w:t xml:space="preserve">family life in the UK with </w:t>
      </w:r>
      <w:r w:rsidR="003D08FD" w:rsidRPr="00FC74FB">
        <w:rPr>
          <w:rFonts w:ascii="Book Antiqua" w:hAnsi="Book Antiqua"/>
          <w:szCs w:val="24"/>
        </w:rPr>
        <w:t>his</w:t>
      </w:r>
      <w:r w:rsidR="00B8555F" w:rsidRPr="00FC74FB">
        <w:rPr>
          <w:rFonts w:ascii="Book Antiqua" w:hAnsi="Book Antiqua"/>
          <w:szCs w:val="24"/>
        </w:rPr>
        <w:t xml:space="preserve"> wife, </w:t>
      </w:r>
      <w:proofErr w:type="spellStart"/>
      <w:r w:rsidR="00B8555F" w:rsidRPr="00FC74FB">
        <w:rPr>
          <w:rFonts w:ascii="Book Antiqua" w:hAnsi="Book Antiqua"/>
          <w:szCs w:val="24"/>
        </w:rPr>
        <w:t>Zela</w:t>
      </w:r>
      <w:r w:rsidRPr="00FC74FB">
        <w:rPr>
          <w:rFonts w:ascii="Book Antiqua" w:hAnsi="Book Antiqua"/>
          <w:szCs w:val="24"/>
        </w:rPr>
        <w:t>y</w:t>
      </w:r>
      <w:proofErr w:type="spellEnd"/>
      <w:r w:rsidR="00B8555F" w:rsidRPr="00FC74FB">
        <w:rPr>
          <w:rFonts w:ascii="Book Antiqua" w:hAnsi="Book Antiqua"/>
          <w:szCs w:val="24"/>
        </w:rPr>
        <w:t xml:space="preserve">.  It was accepted that </w:t>
      </w:r>
      <w:proofErr w:type="spellStart"/>
      <w:r w:rsidR="00B8555F" w:rsidRPr="00FC74FB">
        <w:rPr>
          <w:rFonts w:ascii="Book Antiqua" w:hAnsi="Book Antiqua"/>
          <w:szCs w:val="24"/>
        </w:rPr>
        <w:t>Zelay</w:t>
      </w:r>
      <w:proofErr w:type="spellEnd"/>
      <w:r w:rsidR="00B8555F" w:rsidRPr="00FC74FB">
        <w:rPr>
          <w:rFonts w:ascii="Book Antiqua" w:hAnsi="Book Antiqua"/>
          <w:szCs w:val="24"/>
        </w:rPr>
        <w:t xml:space="preserve"> was a British citizen with whom Mr </w:t>
      </w:r>
      <w:proofErr w:type="spellStart"/>
      <w:r w:rsidR="00B8555F" w:rsidRPr="00FC74FB">
        <w:rPr>
          <w:rFonts w:ascii="Book Antiqua" w:hAnsi="Book Antiqua"/>
          <w:szCs w:val="24"/>
        </w:rPr>
        <w:t>Shezad</w:t>
      </w:r>
      <w:proofErr w:type="spellEnd"/>
      <w:r w:rsidR="00B8555F" w:rsidRPr="00FC74FB">
        <w:rPr>
          <w:rFonts w:ascii="Book Antiqua" w:hAnsi="Book Antiqua"/>
          <w:szCs w:val="24"/>
        </w:rPr>
        <w:t xml:space="preserve"> had a genuine and subsisting relationship.  But it was not accepted that it would be unduly harsh </w:t>
      </w:r>
      <w:r w:rsidR="003D08FD" w:rsidRPr="00FC74FB">
        <w:rPr>
          <w:rFonts w:ascii="Book Antiqua" w:hAnsi="Book Antiqua"/>
          <w:szCs w:val="24"/>
        </w:rPr>
        <w:t xml:space="preserve">either </w:t>
      </w:r>
      <w:r w:rsidR="00B8555F" w:rsidRPr="00FC74FB">
        <w:rPr>
          <w:rFonts w:ascii="Book Antiqua" w:hAnsi="Book Antiqua"/>
          <w:szCs w:val="24"/>
        </w:rPr>
        <w:t xml:space="preserve">for </w:t>
      </w:r>
      <w:proofErr w:type="spellStart"/>
      <w:r w:rsidR="00B8555F" w:rsidRPr="00FC74FB">
        <w:rPr>
          <w:rFonts w:ascii="Book Antiqua" w:hAnsi="Book Antiqua"/>
          <w:szCs w:val="24"/>
        </w:rPr>
        <w:t>Zelay</w:t>
      </w:r>
      <w:proofErr w:type="spellEnd"/>
      <w:r w:rsidR="00B8555F" w:rsidRPr="00FC74FB">
        <w:rPr>
          <w:rFonts w:ascii="Book Antiqua" w:hAnsi="Book Antiqua"/>
          <w:szCs w:val="24"/>
        </w:rPr>
        <w:t xml:space="preserve"> to live in </w:t>
      </w:r>
      <w:proofErr w:type="spellStart"/>
      <w:r w:rsidR="00B8555F" w:rsidRPr="00FC74FB">
        <w:rPr>
          <w:rFonts w:ascii="Book Antiqua" w:hAnsi="Book Antiqua"/>
          <w:szCs w:val="24"/>
        </w:rPr>
        <w:t>Parkistan</w:t>
      </w:r>
      <w:proofErr w:type="spellEnd"/>
      <w:r w:rsidR="00B8555F" w:rsidRPr="00FC74FB">
        <w:rPr>
          <w:rFonts w:ascii="Book Antiqua" w:hAnsi="Book Antiqua"/>
          <w:szCs w:val="24"/>
        </w:rPr>
        <w:t xml:space="preserve"> or for her to remain in the UK if he were deported.  </w:t>
      </w:r>
    </w:p>
    <w:p w:rsidR="003D08FD" w:rsidRPr="00FC74FB" w:rsidRDefault="00B8555F" w:rsidP="00D23A20">
      <w:pPr>
        <w:pStyle w:val="ParaLevel1"/>
        <w:spacing w:line="240" w:lineRule="auto"/>
        <w:rPr>
          <w:rFonts w:ascii="Book Antiqua" w:hAnsi="Book Antiqua"/>
          <w:szCs w:val="24"/>
        </w:rPr>
      </w:pPr>
      <w:r w:rsidRPr="00FC74FB">
        <w:rPr>
          <w:rFonts w:ascii="Book Antiqua" w:hAnsi="Book Antiqua"/>
          <w:szCs w:val="24"/>
        </w:rPr>
        <w:t>Consideration was also given, pursuant to paragraph 399A</w:t>
      </w:r>
      <w:r w:rsidR="003D08FD" w:rsidRPr="00FC74FB">
        <w:rPr>
          <w:rFonts w:ascii="Book Antiqua" w:hAnsi="Book Antiqua"/>
          <w:szCs w:val="24"/>
        </w:rPr>
        <w:t>, as to</w:t>
      </w:r>
      <w:r w:rsidRPr="00FC74FB">
        <w:rPr>
          <w:rFonts w:ascii="Book Antiqua" w:hAnsi="Book Antiqua"/>
          <w:szCs w:val="24"/>
        </w:rPr>
        <w:t xml:space="preserve"> whether </w:t>
      </w:r>
      <w:r w:rsidR="003D08FD" w:rsidRPr="00FC74FB">
        <w:rPr>
          <w:rFonts w:ascii="Book Antiqua" w:hAnsi="Book Antiqua"/>
          <w:szCs w:val="24"/>
        </w:rPr>
        <w:t>t</w:t>
      </w:r>
      <w:r w:rsidRPr="00FC74FB">
        <w:rPr>
          <w:rFonts w:ascii="Book Antiqua" w:hAnsi="Book Antiqua"/>
          <w:szCs w:val="24"/>
        </w:rPr>
        <w:t xml:space="preserve">he </w:t>
      </w:r>
      <w:r w:rsidR="003D08FD" w:rsidRPr="00FC74FB">
        <w:rPr>
          <w:rFonts w:ascii="Book Antiqua" w:hAnsi="Book Antiqua"/>
          <w:szCs w:val="24"/>
        </w:rPr>
        <w:t xml:space="preserve">Respondent </w:t>
      </w:r>
      <w:r w:rsidRPr="00FC74FB">
        <w:rPr>
          <w:rFonts w:ascii="Book Antiqua" w:hAnsi="Book Antiqua"/>
          <w:szCs w:val="24"/>
        </w:rPr>
        <w:t>met the private life exception.  It was not accepted that he had been lawfully resident in the UK for most of his life given that he had spent almost 23yrs in Pakistan before arriving in the UK.  It was not accepted that there would be significant obstacles to his integration into Pakistan.  Furthermore</w:t>
      </w:r>
      <w:r w:rsidR="003D08FD" w:rsidRPr="00FC74FB">
        <w:rPr>
          <w:rFonts w:ascii="Book Antiqua" w:hAnsi="Book Antiqua"/>
          <w:szCs w:val="24"/>
        </w:rPr>
        <w:t>,</w:t>
      </w:r>
      <w:r w:rsidRPr="00FC74FB">
        <w:rPr>
          <w:rFonts w:ascii="Book Antiqua" w:hAnsi="Book Antiqua"/>
          <w:szCs w:val="24"/>
        </w:rPr>
        <w:t xml:space="preserve"> it was not accepted that there were other very compelling circumstances which led to a conclusion that he should not be deported.  </w:t>
      </w:r>
    </w:p>
    <w:p w:rsidR="00B8555F" w:rsidRPr="00FC74FB" w:rsidRDefault="003D08FD" w:rsidP="00D23A20">
      <w:pPr>
        <w:pStyle w:val="ParaLevel1"/>
        <w:spacing w:line="240" w:lineRule="auto"/>
        <w:rPr>
          <w:rFonts w:ascii="Book Antiqua" w:hAnsi="Book Antiqua"/>
          <w:szCs w:val="24"/>
        </w:rPr>
      </w:pPr>
      <w:r w:rsidRPr="00FC74FB">
        <w:rPr>
          <w:rFonts w:ascii="Book Antiqua" w:hAnsi="Book Antiqua"/>
          <w:szCs w:val="24"/>
        </w:rPr>
        <w:t>I</w:t>
      </w:r>
      <w:r w:rsidR="00B8555F" w:rsidRPr="00FC74FB">
        <w:rPr>
          <w:rFonts w:ascii="Book Antiqua" w:hAnsi="Book Antiqua"/>
          <w:szCs w:val="24"/>
        </w:rPr>
        <w:t xml:space="preserve">t was noted that there was a significant public interest in deporting Mr </w:t>
      </w:r>
      <w:proofErr w:type="spellStart"/>
      <w:r w:rsidR="00B8555F" w:rsidRPr="00FC74FB">
        <w:rPr>
          <w:rFonts w:ascii="Book Antiqua" w:hAnsi="Book Antiqua"/>
          <w:szCs w:val="24"/>
        </w:rPr>
        <w:t>Shezad</w:t>
      </w:r>
      <w:proofErr w:type="spellEnd"/>
      <w:r w:rsidR="00B8555F" w:rsidRPr="00FC74FB">
        <w:rPr>
          <w:rFonts w:ascii="Book Antiqua" w:hAnsi="Book Antiqua"/>
          <w:szCs w:val="24"/>
        </w:rPr>
        <w:t xml:space="preserve">.  The Secretary of State noted that the sentencing judge had highlighted the fact that Mr </w:t>
      </w:r>
      <w:proofErr w:type="spellStart"/>
      <w:r w:rsidR="00B8555F" w:rsidRPr="00FC74FB">
        <w:rPr>
          <w:rFonts w:ascii="Book Antiqua" w:hAnsi="Book Antiqua"/>
          <w:szCs w:val="24"/>
        </w:rPr>
        <w:t>Shezad</w:t>
      </w:r>
      <w:proofErr w:type="spellEnd"/>
      <w:r w:rsidR="00B8555F" w:rsidRPr="00FC74FB">
        <w:rPr>
          <w:rFonts w:ascii="Book Antiqua" w:hAnsi="Book Antiqua"/>
          <w:szCs w:val="24"/>
        </w:rPr>
        <w:t xml:space="preserve"> had shown no remorse for his offence and tried to manipulate his victim into not reporting the matter.  The Secretary of State said that his actions demonstrated “a complete lack of respect” for his victim and UK law.  In those circumstances, the human rights claim was refused and a decision to deport was maintained.  </w:t>
      </w:r>
    </w:p>
    <w:p w:rsidR="003D08FD" w:rsidRPr="00FC74FB" w:rsidRDefault="003D08FD" w:rsidP="00D23A20">
      <w:pPr>
        <w:pStyle w:val="ParaLevel1"/>
        <w:spacing w:line="240" w:lineRule="auto"/>
        <w:rPr>
          <w:rFonts w:ascii="Book Antiqua" w:hAnsi="Book Antiqua"/>
          <w:szCs w:val="24"/>
        </w:rPr>
      </w:pPr>
      <w:r w:rsidRPr="00FC74FB">
        <w:rPr>
          <w:rFonts w:ascii="Book Antiqua" w:hAnsi="Book Antiqua"/>
          <w:szCs w:val="24"/>
        </w:rPr>
        <w:t xml:space="preserve">Mr </w:t>
      </w:r>
      <w:proofErr w:type="spellStart"/>
      <w:r w:rsidRPr="00FC74FB">
        <w:rPr>
          <w:rFonts w:ascii="Book Antiqua" w:hAnsi="Book Antiqua"/>
          <w:szCs w:val="24"/>
        </w:rPr>
        <w:t>Shezad</w:t>
      </w:r>
      <w:proofErr w:type="spellEnd"/>
      <w:r w:rsidRPr="00FC74FB">
        <w:rPr>
          <w:rFonts w:ascii="Book Antiqua" w:hAnsi="Book Antiqua"/>
          <w:szCs w:val="24"/>
        </w:rPr>
        <w:t xml:space="preserve"> appealed</w:t>
      </w:r>
      <w:r w:rsidR="00B8555F" w:rsidRPr="00FC74FB">
        <w:rPr>
          <w:rFonts w:ascii="Book Antiqua" w:hAnsi="Book Antiqua"/>
          <w:szCs w:val="24"/>
        </w:rPr>
        <w:t xml:space="preserve"> to the </w:t>
      </w:r>
      <w:r w:rsidR="00D86EB3" w:rsidRPr="00FC74FB">
        <w:rPr>
          <w:rFonts w:ascii="Book Antiqua" w:hAnsi="Book Antiqua"/>
          <w:szCs w:val="24"/>
        </w:rPr>
        <w:t>First</w:t>
      </w:r>
      <w:r w:rsidR="00B8555F" w:rsidRPr="00FC74FB">
        <w:rPr>
          <w:rFonts w:ascii="Book Antiqua" w:hAnsi="Book Antiqua"/>
          <w:szCs w:val="24"/>
        </w:rPr>
        <w:t xml:space="preserve"> Tier Tribunal whose initial decision was promulgated on 14 December 2016.</w:t>
      </w:r>
      <w:r w:rsidR="007930EE" w:rsidRPr="00FC74FB">
        <w:rPr>
          <w:rFonts w:ascii="Book Antiqua" w:hAnsi="Book Antiqua"/>
          <w:szCs w:val="24"/>
        </w:rPr>
        <w:t xml:space="preserve">  </w:t>
      </w:r>
      <w:r w:rsidR="00D86EB3" w:rsidRPr="00FC74FB">
        <w:rPr>
          <w:rFonts w:ascii="Book Antiqua" w:hAnsi="Book Antiqua"/>
          <w:szCs w:val="24"/>
        </w:rPr>
        <w:t>First</w:t>
      </w:r>
      <w:r w:rsidR="007930EE" w:rsidRPr="00FC74FB">
        <w:rPr>
          <w:rFonts w:ascii="Book Antiqua" w:hAnsi="Book Antiqua"/>
          <w:szCs w:val="24"/>
        </w:rPr>
        <w:t xml:space="preserve"> Tier Tribunal Judge Robertson allowed the </w:t>
      </w:r>
      <w:r w:rsidR="007930EE" w:rsidRPr="00FC74FB">
        <w:rPr>
          <w:rFonts w:ascii="Book Antiqua" w:hAnsi="Book Antiqua"/>
          <w:szCs w:val="24"/>
        </w:rPr>
        <w:lastRenderedPageBreak/>
        <w:t>ap</w:t>
      </w:r>
      <w:r w:rsidR="005C708E" w:rsidRPr="00FC74FB">
        <w:rPr>
          <w:rFonts w:ascii="Book Antiqua" w:hAnsi="Book Antiqua"/>
          <w:szCs w:val="24"/>
        </w:rPr>
        <w:t>peal, concluding that paragraph</w:t>
      </w:r>
      <w:r w:rsidR="007930EE" w:rsidRPr="00FC74FB">
        <w:rPr>
          <w:rFonts w:ascii="Book Antiqua" w:hAnsi="Book Antiqua"/>
          <w:szCs w:val="24"/>
        </w:rPr>
        <w:t xml:space="preserve"> 399 was applicable because the effect of deportation would be unduly harsh on Mr </w:t>
      </w:r>
      <w:proofErr w:type="spellStart"/>
      <w:r w:rsidR="007930EE" w:rsidRPr="00FC74FB">
        <w:rPr>
          <w:rFonts w:ascii="Book Antiqua" w:hAnsi="Book Antiqua"/>
          <w:szCs w:val="24"/>
        </w:rPr>
        <w:t>Shezad’s</w:t>
      </w:r>
      <w:proofErr w:type="spellEnd"/>
      <w:r w:rsidR="007930EE" w:rsidRPr="00FC74FB">
        <w:rPr>
          <w:rFonts w:ascii="Book Antiqua" w:hAnsi="Book Antiqua"/>
          <w:szCs w:val="24"/>
        </w:rPr>
        <w:t xml:space="preserve"> children.  She said that the Appellant’s family life out</w:t>
      </w:r>
      <w:r w:rsidR="005C708E" w:rsidRPr="00FC74FB">
        <w:rPr>
          <w:rFonts w:ascii="Book Antiqua" w:hAnsi="Book Antiqua"/>
          <w:szCs w:val="24"/>
        </w:rPr>
        <w:t>-</w:t>
      </w:r>
      <w:r w:rsidR="007930EE" w:rsidRPr="00FC74FB">
        <w:rPr>
          <w:rFonts w:ascii="Book Antiqua" w:hAnsi="Book Antiqua"/>
          <w:szCs w:val="24"/>
        </w:rPr>
        <w:t>weighted the public interest</w:t>
      </w:r>
      <w:r w:rsidRPr="00FC74FB">
        <w:rPr>
          <w:rFonts w:ascii="Book Antiqua" w:hAnsi="Book Antiqua"/>
          <w:szCs w:val="24"/>
        </w:rPr>
        <w:t xml:space="preserve"> in deportation</w:t>
      </w:r>
      <w:r w:rsidR="007930EE" w:rsidRPr="00FC74FB">
        <w:rPr>
          <w:rFonts w:ascii="Book Antiqua" w:hAnsi="Book Antiqua"/>
          <w:szCs w:val="24"/>
        </w:rPr>
        <w:t xml:space="preserve">. The Secretary of State sought permission to appeal.  Permission was granted on 6 June 2017 when it was held that it was arguable that the judge failed properly to conduct the “unduly harsh” test in paragraph 399 and failed to comply with the guidance in </w:t>
      </w:r>
      <w:r w:rsidR="00CE27AA" w:rsidRPr="00FC74FB">
        <w:rPr>
          <w:rFonts w:ascii="Book Antiqua" w:hAnsi="Book Antiqua"/>
          <w:i/>
          <w:szCs w:val="24"/>
        </w:rPr>
        <w:t>MN Uganda</w:t>
      </w:r>
      <w:r w:rsidR="00CE27AA" w:rsidRPr="00FC74FB">
        <w:rPr>
          <w:rFonts w:ascii="Book Antiqua" w:hAnsi="Book Antiqua"/>
          <w:szCs w:val="24"/>
        </w:rPr>
        <w:t xml:space="preserve"> [2016] EWCA </w:t>
      </w:r>
      <w:proofErr w:type="spellStart"/>
      <w:r w:rsidR="00CE27AA" w:rsidRPr="00FC74FB">
        <w:rPr>
          <w:rFonts w:ascii="Book Antiqua" w:hAnsi="Book Antiqua"/>
          <w:szCs w:val="24"/>
        </w:rPr>
        <w:t>Civ</w:t>
      </w:r>
      <w:proofErr w:type="spellEnd"/>
      <w:r w:rsidR="00CE27AA" w:rsidRPr="00FC74FB">
        <w:rPr>
          <w:rFonts w:ascii="Book Antiqua" w:hAnsi="Book Antiqua"/>
          <w:szCs w:val="24"/>
        </w:rPr>
        <w:t xml:space="preserve"> 617.  </w:t>
      </w:r>
    </w:p>
    <w:p w:rsidR="00B8555F" w:rsidRPr="00FC74FB" w:rsidRDefault="00CE27AA" w:rsidP="00D23A20">
      <w:pPr>
        <w:pStyle w:val="ParaLevel1"/>
        <w:spacing w:line="240" w:lineRule="auto"/>
        <w:rPr>
          <w:rFonts w:ascii="Book Antiqua" w:hAnsi="Book Antiqua"/>
          <w:szCs w:val="24"/>
        </w:rPr>
      </w:pPr>
      <w:r w:rsidRPr="00FC74FB">
        <w:rPr>
          <w:rFonts w:ascii="Book Antiqua" w:hAnsi="Book Antiqua"/>
          <w:szCs w:val="24"/>
        </w:rPr>
        <w:t>That appeal was heard in July 2017 by Upper Tribunal Judge Kekic.  He noted, in particular, that there was no explanation for why the factors pleaded for the appellant were so exceptional and compelling as to out</w:t>
      </w:r>
      <w:r w:rsidR="005C708E" w:rsidRPr="00FC74FB">
        <w:rPr>
          <w:rFonts w:ascii="Book Antiqua" w:hAnsi="Book Antiqua"/>
          <w:szCs w:val="24"/>
        </w:rPr>
        <w:t>-</w:t>
      </w:r>
      <w:r w:rsidRPr="00FC74FB">
        <w:rPr>
          <w:rFonts w:ascii="Book Antiqua" w:hAnsi="Book Antiqua"/>
          <w:szCs w:val="24"/>
        </w:rPr>
        <w:t>weight the public interest, particularly when</w:t>
      </w:r>
      <w:r w:rsidR="003D08FD" w:rsidRPr="00FC74FB">
        <w:rPr>
          <w:rFonts w:ascii="Book Antiqua" w:hAnsi="Book Antiqua"/>
          <w:szCs w:val="24"/>
        </w:rPr>
        <w:t xml:space="preserve"> t</w:t>
      </w:r>
      <w:r w:rsidRPr="00FC74FB">
        <w:rPr>
          <w:rFonts w:ascii="Book Antiqua" w:hAnsi="Book Antiqua"/>
          <w:szCs w:val="24"/>
        </w:rPr>
        <w:t xml:space="preserve">here </w:t>
      </w:r>
      <w:r w:rsidR="00B16DFB" w:rsidRPr="00FC74FB">
        <w:rPr>
          <w:rFonts w:ascii="Book Antiqua" w:hAnsi="Book Antiqua"/>
          <w:szCs w:val="24"/>
        </w:rPr>
        <w:t>was a wealth</w:t>
      </w:r>
      <w:r w:rsidRPr="00FC74FB">
        <w:rPr>
          <w:rFonts w:ascii="Book Antiqua" w:hAnsi="Book Antiqua"/>
          <w:szCs w:val="24"/>
        </w:rPr>
        <w:t xml:space="preserve"> of factors against him.  In those circumstances, Judge Kekic held that the </w:t>
      </w:r>
      <w:r w:rsidR="00D86EB3" w:rsidRPr="00FC74FB">
        <w:rPr>
          <w:rFonts w:ascii="Book Antiqua" w:hAnsi="Book Antiqua"/>
          <w:szCs w:val="24"/>
        </w:rPr>
        <w:t>First</w:t>
      </w:r>
      <w:r w:rsidRPr="00FC74FB">
        <w:rPr>
          <w:rFonts w:ascii="Book Antiqua" w:hAnsi="Book Antiqua"/>
          <w:szCs w:val="24"/>
        </w:rPr>
        <w:t xml:space="preserve"> Tier Tribunal’s decision was flawed by error of law.  He set aside the decision and directed the matter by re-listed for a different judge.</w:t>
      </w:r>
    </w:p>
    <w:p w:rsidR="00C56EF2" w:rsidRPr="00FC74FB" w:rsidRDefault="00CE27AA" w:rsidP="00D23A20">
      <w:pPr>
        <w:pStyle w:val="ParaLevel1"/>
        <w:spacing w:line="240" w:lineRule="auto"/>
        <w:rPr>
          <w:rFonts w:ascii="Book Antiqua" w:hAnsi="Book Antiqua"/>
          <w:szCs w:val="24"/>
        </w:rPr>
      </w:pPr>
      <w:r w:rsidRPr="00FC74FB">
        <w:rPr>
          <w:rFonts w:ascii="Book Antiqua" w:hAnsi="Book Antiqua"/>
          <w:szCs w:val="24"/>
        </w:rPr>
        <w:t xml:space="preserve">It was against that background that this case came on for hearing before </w:t>
      </w:r>
      <w:r w:rsidR="00D86EB3" w:rsidRPr="00FC74FB">
        <w:rPr>
          <w:rFonts w:ascii="Book Antiqua" w:hAnsi="Book Antiqua"/>
          <w:szCs w:val="24"/>
        </w:rPr>
        <w:t>First</w:t>
      </w:r>
      <w:r w:rsidR="00C56EF2" w:rsidRPr="00FC74FB">
        <w:rPr>
          <w:rFonts w:ascii="Book Antiqua" w:hAnsi="Book Antiqua"/>
          <w:szCs w:val="24"/>
        </w:rPr>
        <w:t xml:space="preserve"> Tribunal Judge Parkes i</w:t>
      </w:r>
      <w:r w:rsidRPr="00FC74FB">
        <w:rPr>
          <w:rFonts w:ascii="Book Antiqua" w:hAnsi="Book Antiqua"/>
          <w:szCs w:val="24"/>
        </w:rPr>
        <w:t>n November 2017</w:t>
      </w:r>
      <w:r w:rsidR="00C56EF2" w:rsidRPr="00FC74FB">
        <w:rPr>
          <w:rFonts w:ascii="Book Antiqua" w:hAnsi="Book Antiqua"/>
          <w:szCs w:val="24"/>
        </w:rPr>
        <w:t>.</w:t>
      </w:r>
      <w:r w:rsidR="00BF591C" w:rsidRPr="00FC74FB">
        <w:rPr>
          <w:rFonts w:ascii="Book Antiqua" w:hAnsi="Book Antiqua"/>
          <w:szCs w:val="24"/>
        </w:rPr>
        <w:t xml:space="preserve">  </w:t>
      </w:r>
      <w:r w:rsidR="003D08FD" w:rsidRPr="00FC74FB">
        <w:rPr>
          <w:rFonts w:ascii="Book Antiqua" w:hAnsi="Book Antiqua"/>
          <w:szCs w:val="24"/>
        </w:rPr>
        <w:t>It is</w:t>
      </w:r>
      <w:r w:rsidR="00C56EF2" w:rsidRPr="00FC74FB">
        <w:rPr>
          <w:rFonts w:ascii="Book Antiqua" w:hAnsi="Book Antiqua"/>
          <w:szCs w:val="24"/>
        </w:rPr>
        <w:t xml:space="preserve"> against his decision </w:t>
      </w:r>
      <w:r w:rsidR="00BF591C" w:rsidRPr="00FC74FB">
        <w:rPr>
          <w:rFonts w:ascii="Book Antiqua" w:hAnsi="Book Antiqua"/>
          <w:szCs w:val="24"/>
        </w:rPr>
        <w:t xml:space="preserve">that </w:t>
      </w:r>
      <w:r w:rsidR="00C56EF2" w:rsidRPr="00FC74FB">
        <w:rPr>
          <w:rFonts w:ascii="Book Antiqua" w:hAnsi="Book Antiqua"/>
          <w:szCs w:val="24"/>
        </w:rPr>
        <w:t xml:space="preserve">the Secretary of State now appeals. </w:t>
      </w:r>
    </w:p>
    <w:p w:rsidR="00C56EF2" w:rsidRPr="00FC74FB" w:rsidRDefault="00C56EF2" w:rsidP="00D23A20">
      <w:pPr>
        <w:pStyle w:val="ParaLevel1"/>
        <w:numPr>
          <w:ilvl w:val="0"/>
          <w:numId w:val="0"/>
        </w:numPr>
        <w:spacing w:line="240" w:lineRule="auto"/>
        <w:rPr>
          <w:rFonts w:ascii="Book Antiqua" w:hAnsi="Book Antiqua"/>
          <w:szCs w:val="24"/>
          <w:u w:val="single"/>
        </w:rPr>
      </w:pPr>
      <w:r w:rsidRPr="00FC74FB">
        <w:rPr>
          <w:rFonts w:ascii="Book Antiqua" w:hAnsi="Book Antiqua"/>
          <w:szCs w:val="24"/>
          <w:u w:val="single"/>
        </w:rPr>
        <w:t xml:space="preserve">The </w:t>
      </w:r>
      <w:r w:rsidR="002E7271" w:rsidRPr="00FC74FB">
        <w:rPr>
          <w:rFonts w:ascii="Book Antiqua" w:hAnsi="Book Antiqua"/>
          <w:szCs w:val="24"/>
          <w:u w:val="single"/>
        </w:rPr>
        <w:t>Statutory Scheme</w:t>
      </w:r>
    </w:p>
    <w:p w:rsidR="004549C6" w:rsidRPr="00FC74FB" w:rsidRDefault="004549C6" w:rsidP="00D23A20">
      <w:pPr>
        <w:pStyle w:val="ParaLevel1"/>
        <w:spacing w:line="240" w:lineRule="auto"/>
        <w:rPr>
          <w:rFonts w:ascii="Book Antiqua" w:hAnsi="Book Antiqua"/>
          <w:szCs w:val="24"/>
        </w:rPr>
      </w:pPr>
      <w:r w:rsidRPr="00FC74FB">
        <w:rPr>
          <w:rFonts w:ascii="Book Antiqua" w:hAnsi="Book Antiqua"/>
          <w:szCs w:val="24"/>
        </w:rPr>
        <w:t xml:space="preserve">By s3(5) of the Immigration Act 1971 a person who is not a British citizen is liable to </w:t>
      </w:r>
      <w:proofErr w:type="gramStart"/>
      <w:r w:rsidRPr="00FC74FB">
        <w:rPr>
          <w:rFonts w:ascii="Book Antiqua" w:hAnsi="Book Antiqua"/>
          <w:szCs w:val="24"/>
        </w:rPr>
        <w:t>deportation  if</w:t>
      </w:r>
      <w:proofErr w:type="gramEnd"/>
      <w:r w:rsidRPr="00FC74FB">
        <w:rPr>
          <w:rFonts w:ascii="Book Antiqua" w:hAnsi="Book Antiqua"/>
          <w:szCs w:val="24"/>
        </w:rPr>
        <w:t xml:space="preserve"> “…the Secretary of State deems his deportation to be conducive to the public good”.  Under paragraph 396 of the Immigration Rules there is a presumption that a person liable to deportation should be deported.</w:t>
      </w:r>
    </w:p>
    <w:p w:rsidR="004549C6" w:rsidRPr="00FC74FB" w:rsidRDefault="004549C6" w:rsidP="00D23A20">
      <w:pPr>
        <w:pStyle w:val="ParaLevel1"/>
        <w:spacing w:line="240" w:lineRule="auto"/>
        <w:rPr>
          <w:rFonts w:ascii="Book Antiqua" w:hAnsi="Book Antiqua"/>
          <w:szCs w:val="24"/>
        </w:rPr>
      </w:pPr>
      <w:r w:rsidRPr="00FC74FB">
        <w:rPr>
          <w:rFonts w:ascii="Book Antiqua" w:hAnsi="Book Antiqua"/>
          <w:szCs w:val="24"/>
        </w:rPr>
        <w:t>s117</w:t>
      </w:r>
      <w:r w:rsidR="00891711" w:rsidRPr="00FC74FB">
        <w:rPr>
          <w:rFonts w:ascii="Book Antiqua" w:hAnsi="Book Antiqua"/>
          <w:szCs w:val="24"/>
        </w:rPr>
        <w:t>D</w:t>
      </w:r>
      <w:r w:rsidRPr="00FC74FB">
        <w:rPr>
          <w:rFonts w:ascii="Book Antiqua" w:hAnsi="Book Antiqua"/>
          <w:szCs w:val="24"/>
        </w:rPr>
        <w:t xml:space="preserve"> of the Immigration, Nationality and Asylum Act 2002, as amended, defines “foreign criminal”:</w:t>
      </w:r>
    </w:p>
    <w:p w:rsidR="004549C6" w:rsidRPr="00A16AA9" w:rsidRDefault="004549C6"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A16AA9">
        <w:rPr>
          <w:rFonts w:ascii="Book Antiqua" w:hAnsi="Book Antiqua"/>
          <w:sz w:val="22"/>
          <w:szCs w:val="22"/>
        </w:rPr>
        <w:t>“(2)</w:t>
      </w:r>
      <w:r w:rsidR="00A16AA9">
        <w:rPr>
          <w:rFonts w:ascii="Book Antiqua" w:hAnsi="Book Antiqua"/>
          <w:sz w:val="22"/>
          <w:szCs w:val="22"/>
        </w:rPr>
        <w:tab/>
      </w:r>
      <w:r w:rsidRPr="00A16AA9">
        <w:rPr>
          <w:rFonts w:ascii="Book Antiqua" w:hAnsi="Book Antiqua"/>
          <w:sz w:val="22"/>
          <w:szCs w:val="22"/>
        </w:rPr>
        <w:t>In this Part, “foreign criminal” means a person—</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(a) </w:t>
      </w:r>
      <w:r w:rsidR="00A16AA9">
        <w:rPr>
          <w:rFonts w:ascii="Book Antiqua" w:hAnsi="Book Antiqua"/>
          <w:sz w:val="22"/>
          <w:szCs w:val="22"/>
        </w:rPr>
        <w:tab/>
      </w:r>
      <w:r w:rsidRPr="00FA5268">
        <w:rPr>
          <w:rFonts w:ascii="Book Antiqua" w:hAnsi="Book Antiqua"/>
          <w:sz w:val="22"/>
          <w:szCs w:val="22"/>
        </w:rPr>
        <w:t>who is not a British citizen,</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(b) </w:t>
      </w:r>
      <w:r w:rsidR="00A16AA9">
        <w:rPr>
          <w:rFonts w:ascii="Book Antiqua" w:hAnsi="Book Antiqua"/>
          <w:sz w:val="22"/>
          <w:szCs w:val="22"/>
        </w:rPr>
        <w:tab/>
      </w:r>
      <w:r w:rsidRPr="00FA5268">
        <w:rPr>
          <w:rFonts w:ascii="Book Antiqua" w:hAnsi="Book Antiqua"/>
          <w:sz w:val="22"/>
          <w:szCs w:val="22"/>
        </w:rPr>
        <w:t>who has been convicted in the United Kingdom of an offence, and</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(c) </w:t>
      </w:r>
      <w:r w:rsidR="00A16AA9">
        <w:rPr>
          <w:rFonts w:ascii="Book Antiqua" w:hAnsi="Book Antiqua"/>
          <w:sz w:val="22"/>
          <w:szCs w:val="22"/>
        </w:rPr>
        <w:tab/>
      </w:r>
      <w:r w:rsidRPr="00FA5268">
        <w:rPr>
          <w:rFonts w:ascii="Book Antiqua" w:hAnsi="Book Antiqua"/>
          <w:sz w:val="22"/>
          <w:szCs w:val="22"/>
        </w:rPr>
        <w:t xml:space="preserve">who </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t>(</w:t>
      </w:r>
      <w:proofErr w:type="spellStart"/>
      <w:r w:rsidRPr="00FA5268">
        <w:rPr>
          <w:rFonts w:ascii="Book Antiqua" w:hAnsi="Book Antiqua"/>
          <w:sz w:val="22"/>
          <w:szCs w:val="22"/>
        </w:rPr>
        <w:t>i</w:t>
      </w:r>
      <w:proofErr w:type="spellEnd"/>
      <w:r w:rsidRPr="00FA5268">
        <w:rPr>
          <w:rFonts w:ascii="Book Antiqua" w:hAnsi="Book Antiqua"/>
          <w:sz w:val="22"/>
          <w:szCs w:val="22"/>
        </w:rPr>
        <w:t xml:space="preserve">) </w:t>
      </w:r>
      <w:r w:rsidR="00A16AA9">
        <w:rPr>
          <w:rFonts w:ascii="Book Antiqua" w:hAnsi="Book Antiqua"/>
          <w:sz w:val="22"/>
          <w:szCs w:val="22"/>
        </w:rPr>
        <w:tab/>
      </w:r>
      <w:r w:rsidRPr="00FA5268">
        <w:rPr>
          <w:rFonts w:ascii="Book Antiqua" w:hAnsi="Book Antiqua"/>
          <w:sz w:val="22"/>
          <w:szCs w:val="22"/>
        </w:rPr>
        <w:t>has been sentenced to a period of imprisonment of at least 12 months,</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t xml:space="preserve">(ii) </w:t>
      </w:r>
      <w:r w:rsidR="00A16AA9">
        <w:rPr>
          <w:rFonts w:ascii="Book Antiqua" w:hAnsi="Book Antiqua"/>
          <w:sz w:val="22"/>
          <w:szCs w:val="22"/>
        </w:rPr>
        <w:tab/>
      </w:r>
      <w:r w:rsidRPr="00FA5268">
        <w:rPr>
          <w:rFonts w:ascii="Book Antiqua" w:hAnsi="Book Antiqua"/>
          <w:sz w:val="22"/>
          <w:szCs w:val="22"/>
        </w:rPr>
        <w:t>has been convicted of an offence that has caused serious harm, or</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t xml:space="preserve">(iii) </w:t>
      </w:r>
      <w:r w:rsidR="00A16AA9">
        <w:rPr>
          <w:rFonts w:ascii="Book Antiqua" w:hAnsi="Book Antiqua"/>
          <w:sz w:val="22"/>
          <w:szCs w:val="22"/>
        </w:rPr>
        <w:tab/>
      </w:r>
      <w:r w:rsidRPr="00FA5268">
        <w:rPr>
          <w:rFonts w:ascii="Book Antiqua" w:hAnsi="Book Antiqua"/>
          <w:sz w:val="22"/>
          <w:szCs w:val="22"/>
        </w:rPr>
        <w:t>is a persistent offender.”</w:t>
      </w:r>
    </w:p>
    <w:p w:rsidR="004549C6" w:rsidRPr="00FC74FB" w:rsidRDefault="004549C6" w:rsidP="00D23A20">
      <w:pPr>
        <w:pStyle w:val="ParaLevel1"/>
        <w:spacing w:line="240" w:lineRule="auto"/>
        <w:rPr>
          <w:rFonts w:ascii="Book Antiqua" w:hAnsi="Book Antiqua"/>
          <w:szCs w:val="24"/>
        </w:rPr>
      </w:pPr>
      <w:r w:rsidRPr="00FC74FB">
        <w:rPr>
          <w:rFonts w:ascii="Book Antiqua" w:hAnsi="Book Antiqua"/>
          <w:szCs w:val="24"/>
        </w:rPr>
        <w:t>Paragraphs 398 of the Rules provide as follows:</w:t>
      </w:r>
    </w:p>
    <w:p w:rsidR="004549C6" w:rsidRPr="00A16AA9" w:rsidRDefault="004549C6"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A16AA9">
        <w:rPr>
          <w:rFonts w:ascii="Book Antiqua" w:hAnsi="Book Antiqua"/>
          <w:sz w:val="22"/>
          <w:szCs w:val="22"/>
        </w:rPr>
        <w:t xml:space="preserve">A398. </w:t>
      </w:r>
      <w:r w:rsidR="00A16AA9">
        <w:rPr>
          <w:rFonts w:ascii="Book Antiqua" w:hAnsi="Book Antiqua"/>
          <w:sz w:val="22"/>
          <w:szCs w:val="22"/>
        </w:rPr>
        <w:tab/>
      </w:r>
      <w:r w:rsidRPr="00A16AA9">
        <w:rPr>
          <w:rFonts w:ascii="Book Antiqua" w:hAnsi="Book Antiqua"/>
          <w:sz w:val="22"/>
          <w:szCs w:val="22"/>
        </w:rPr>
        <w:t>These rules apply where:</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(a) </w:t>
      </w:r>
      <w:r w:rsidR="00A16AA9">
        <w:rPr>
          <w:rFonts w:ascii="Book Antiqua" w:hAnsi="Book Antiqua"/>
          <w:sz w:val="22"/>
          <w:szCs w:val="22"/>
        </w:rPr>
        <w:tab/>
      </w:r>
      <w:r w:rsidRPr="00FA5268">
        <w:rPr>
          <w:rFonts w:ascii="Book Antiqua" w:hAnsi="Book Antiqua"/>
          <w:sz w:val="22"/>
          <w:szCs w:val="22"/>
        </w:rPr>
        <w:t>a foreign criminal liable to deportation claims that his deportation would be contrary to the United Kingdom’s obligations under Article 8 of the Human Rights Convention;</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lastRenderedPageBreak/>
        <w:t xml:space="preserve">(b) </w:t>
      </w:r>
      <w:r w:rsidR="00A16AA9">
        <w:rPr>
          <w:rFonts w:ascii="Book Antiqua" w:hAnsi="Book Antiqua"/>
          <w:sz w:val="22"/>
          <w:szCs w:val="22"/>
        </w:rPr>
        <w:tab/>
      </w:r>
      <w:r w:rsidRPr="00FA5268">
        <w:rPr>
          <w:rFonts w:ascii="Book Antiqua" w:hAnsi="Book Antiqua"/>
          <w:sz w:val="22"/>
          <w:szCs w:val="22"/>
        </w:rPr>
        <w:t>a foreign criminal applies for a deportation order made against him to be revoked.</w:t>
      </w:r>
    </w:p>
    <w:p w:rsidR="004549C6" w:rsidRPr="00A16AA9" w:rsidRDefault="004549C6"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A16AA9">
        <w:rPr>
          <w:rFonts w:ascii="Book Antiqua" w:hAnsi="Book Antiqua"/>
          <w:sz w:val="22"/>
          <w:szCs w:val="22"/>
        </w:rPr>
        <w:t xml:space="preserve">398. </w:t>
      </w:r>
      <w:r w:rsidR="00A16AA9">
        <w:rPr>
          <w:rFonts w:ascii="Book Antiqua" w:hAnsi="Book Antiqua"/>
          <w:sz w:val="22"/>
          <w:szCs w:val="22"/>
        </w:rPr>
        <w:tab/>
      </w:r>
      <w:r w:rsidRPr="00A16AA9">
        <w:rPr>
          <w:rFonts w:ascii="Book Antiqua" w:hAnsi="Book Antiqua"/>
          <w:sz w:val="22"/>
          <w:szCs w:val="22"/>
        </w:rPr>
        <w:t>Where a person claims that their deportation would be contrary to the UK’s obligations under Article 8 of the Human Rights Convention, and</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(a) </w:t>
      </w:r>
      <w:r w:rsidR="00A16AA9">
        <w:rPr>
          <w:rFonts w:ascii="Book Antiqua" w:hAnsi="Book Antiqua"/>
          <w:sz w:val="22"/>
          <w:szCs w:val="22"/>
        </w:rPr>
        <w:tab/>
      </w:r>
      <w:r w:rsidRPr="00FA5268">
        <w:rPr>
          <w:rFonts w:ascii="Book Antiqua" w:hAnsi="Book Antiqua"/>
          <w:sz w:val="22"/>
          <w:szCs w:val="22"/>
        </w:rPr>
        <w:t>the deportation of the person from the UK is conducive to the public good and in the public interest because they have been convicted of an offence for which they have been sentenced to a period of imprisonment of at least 4 years;</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(b) </w:t>
      </w:r>
      <w:r w:rsidR="00A16AA9">
        <w:rPr>
          <w:rFonts w:ascii="Book Antiqua" w:hAnsi="Book Antiqua"/>
          <w:sz w:val="22"/>
          <w:szCs w:val="22"/>
        </w:rPr>
        <w:tab/>
      </w:r>
      <w:r w:rsidRPr="00FA5268">
        <w:rPr>
          <w:rFonts w:ascii="Book Antiqua" w:hAnsi="Book Antiqua"/>
          <w:sz w:val="22"/>
          <w:szCs w:val="22"/>
        </w:rPr>
        <w:t>the deportation of the person from the UK is conducive to the public good and in the public interest because they have been convicted of an offence for which they have been sentenced to a period of imprisonment of less than 4 years but at least 12 months; or</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(c) </w:t>
      </w:r>
      <w:r w:rsidR="00A16AA9">
        <w:rPr>
          <w:rFonts w:ascii="Book Antiqua" w:hAnsi="Book Antiqua"/>
          <w:sz w:val="22"/>
          <w:szCs w:val="22"/>
        </w:rPr>
        <w:tab/>
      </w:r>
      <w:r w:rsidRPr="00FA5268">
        <w:rPr>
          <w:rFonts w:ascii="Book Antiqua" w:hAnsi="Book Antiqua"/>
          <w:sz w:val="22"/>
          <w:szCs w:val="22"/>
        </w:rPr>
        <w:t xml:space="preserve">the deportation of the person from the UK is conducive to the public good and in the public interest because, in the view of the Secretary of State, their offending has caused serious harm or they are a persistent offender who shows a particular disregard for the law, </w:t>
      </w:r>
    </w:p>
    <w:p w:rsidR="004549C6" w:rsidRPr="00FA5268" w:rsidRDefault="004549C6" w:rsidP="00BC59DF">
      <w:pPr>
        <w:pStyle w:val="ParaLevel1"/>
        <w:numPr>
          <w:ilvl w:val="0"/>
          <w:numId w:val="0"/>
        </w:numPr>
        <w:spacing w:before="0" w:after="0" w:line="240" w:lineRule="auto"/>
        <w:ind w:left="1440"/>
        <w:rPr>
          <w:rFonts w:ascii="Book Antiqua" w:hAnsi="Book Antiqua"/>
          <w:sz w:val="22"/>
          <w:szCs w:val="22"/>
        </w:rPr>
      </w:pPr>
      <w:r w:rsidRPr="00FA5268">
        <w:rPr>
          <w:rFonts w:ascii="Book Antiqua" w:hAnsi="Book Antiqua"/>
          <w:sz w:val="22"/>
          <w:szCs w:val="22"/>
        </w:rPr>
        <w:t>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p>
    <w:p w:rsidR="004549C6" w:rsidRPr="00A16AA9" w:rsidRDefault="004549C6"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A16AA9">
        <w:rPr>
          <w:rFonts w:ascii="Book Antiqua" w:hAnsi="Book Antiqua"/>
          <w:sz w:val="22"/>
          <w:szCs w:val="22"/>
        </w:rPr>
        <w:t xml:space="preserve">399. </w:t>
      </w:r>
      <w:r w:rsidR="005B4B40">
        <w:rPr>
          <w:rFonts w:ascii="Book Antiqua" w:hAnsi="Book Antiqua"/>
          <w:sz w:val="22"/>
          <w:szCs w:val="22"/>
        </w:rPr>
        <w:tab/>
      </w:r>
      <w:r w:rsidRPr="00A16AA9">
        <w:rPr>
          <w:rFonts w:ascii="Book Antiqua" w:hAnsi="Book Antiqua"/>
          <w:sz w:val="22"/>
          <w:szCs w:val="22"/>
        </w:rPr>
        <w:t>Paragraph 399 and 399A provides:</w:t>
      </w:r>
    </w:p>
    <w:p w:rsidR="004549C6" w:rsidRPr="00FA5268" w:rsidRDefault="004549C6" w:rsidP="00BC59DF">
      <w:pPr>
        <w:pStyle w:val="ParaLevel1"/>
        <w:numPr>
          <w:ilvl w:val="0"/>
          <w:numId w:val="0"/>
        </w:numPr>
        <w:spacing w:before="0" w:after="0" w:line="240" w:lineRule="auto"/>
        <w:ind w:left="1440"/>
        <w:rPr>
          <w:rFonts w:ascii="Book Antiqua" w:hAnsi="Book Antiqua"/>
          <w:sz w:val="22"/>
          <w:szCs w:val="22"/>
        </w:rPr>
      </w:pPr>
      <w:r w:rsidRPr="00FA5268">
        <w:rPr>
          <w:rFonts w:ascii="Book Antiqua" w:hAnsi="Book Antiqua"/>
          <w:sz w:val="22"/>
          <w:szCs w:val="22"/>
        </w:rPr>
        <w:t>This paragraph applies where paragraph 398 (b) or (c) applies if –</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(a) </w:t>
      </w:r>
      <w:r w:rsidR="005B4B40">
        <w:rPr>
          <w:rFonts w:ascii="Book Antiqua" w:hAnsi="Book Antiqua"/>
          <w:sz w:val="22"/>
          <w:szCs w:val="22"/>
        </w:rPr>
        <w:tab/>
      </w:r>
      <w:r w:rsidRPr="00FA5268">
        <w:rPr>
          <w:rFonts w:ascii="Book Antiqua" w:hAnsi="Book Antiqua"/>
          <w:sz w:val="22"/>
          <w:szCs w:val="22"/>
        </w:rPr>
        <w:t>the person has a genuine and subsisting parental relationship with a child under the age of 18 years who is in the UK, and</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t>(</w:t>
      </w:r>
      <w:proofErr w:type="spellStart"/>
      <w:r w:rsidRPr="00FA5268">
        <w:rPr>
          <w:rFonts w:ascii="Book Antiqua" w:hAnsi="Book Antiqua"/>
          <w:sz w:val="22"/>
          <w:szCs w:val="22"/>
        </w:rPr>
        <w:t>i</w:t>
      </w:r>
      <w:proofErr w:type="spellEnd"/>
      <w:r w:rsidRPr="00FA5268">
        <w:rPr>
          <w:rFonts w:ascii="Book Antiqua" w:hAnsi="Book Antiqua"/>
          <w:sz w:val="22"/>
          <w:szCs w:val="22"/>
        </w:rPr>
        <w:t xml:space="preserve">) </w:t>
      </w:r>
      <w:r w:rsidR="005B4B40">
        <w:rPr>
          <w:rFonts w:ascii="Book Antiqua" w:hAnsi="Book Antiqua"/>
          <w:sz w:val="22"/>
          <w:szCs w:val="22"/>
        </w:rPr>
        <w:tab/>
      </w:r>
      <w:r w:rsidRPr="00FA5268">
        <w:rPr>
          <w:rFonts w:ascii="Book Antiqua" w:hAnsi="Book Antiqua"/>
          <w:sz w:val="22"/>
          <w:szCs w:val="22"/>
        </w:rPr>
        <w:t>the child is a British Citizen; or</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t xml:space="preserve">(ii) </w:t>
      </w:r>
      <w:r w:rsidR="005B4B40">
        <w:rPr>
          <w:rFonts w:ascii="Book Antiqua" w:hAnsi="Book Antiqua"/>
          <w:sz w:val="22"/>
          <w:szCs w:val="22"/>
        </w:rPr>
        <w:tab/>
      </w:r>
      <w:r w:rsidRPr="00FA5268">
        <w:rPr>
          <w:rFonts w:ascii="Book Antiqua" w:hAnsi="Book Antiqua"/>
          <w:sz w:val="22"/>
          <w:szCs w:val="22"/>
        </w:rPr>
        <w:t xml:space="preserve">the child has lived in the UK continuously for at least the 7 years immediately preceding the date of the immigration decision; </w:t>
      </w:r>
    </w:p>
    <w:p w:rsidR="004549C6" w:rsidRPr="00FA5268" w:rsidRDefault="004549C6" w:rsidP="00BC59DF">
      <w:pPr>
        <w:pStyle w:val="ParaLevel1"/>
        <w:numPr>
          <w:ilvl w:val="0"/>
          <w:numId w:val="0"/>
        </w:numPr>
        <w:spacing w:before="0" w:after="0" w:line="240" w:lineRule="auto"/>
        <w:ind w:left="2880"/>
        <w:rPr>
          <w:rFonts w:ascii="Book Antiqua" w:hAnsi="Book Antiqua"/>
          <w:sz w:val="22"/>
          <w:szCs w:val="22"/>
        </w:rPr>
      </w:pPr>
      <w:r w:rsidRPr="00FA5268">
        <w:rPr>
          <w:rFonts w:ascii="Book Antiqua" w:hAnsi="Book Antiqua"/>
          <w:sz w:val="22"/>
          <w:szCs w:val="22"/>
        </w:rPr>
        <w:t>and in either case</w:t>
      </w:r>
    </w:p>
    <w:p w:rsidR="004549C6" w:rsidRPr="00FA5268" w:rsidRDefault="004549C6" w:rsidP="00BC59DF">
      <w:pPr>
        <w:pStyle w:val="ParaLevel1"/>
        <w:numPr>
          <w:ilvl w:val="0"/>
          <w:numId w:val="0"/>
        </w:numPr>
        <w:tabs>
          <w:tab w:val="left" w:pos="4321"/>
        </w:tabs>
        <w:spacing w:before="0" w:after="0" w:line="240" w:lineRule="auto"/>
        <w:ind w:left="3600"/>
        <w:rPr>
          <w:rFonts w:ascii="Book Antiqua" w:hAnsi="Book Antiqua"/>
          <w:sz w:val="22"/>
          <w:szCs w:val="22"/>
        </w:rPr>
      </w:pPr>
      <w:r w:rsidRPr="00FA5268">
        <w:rPr>
          <w:rFonts w:ascii="Book Antiqua" w:hAnsi="Book Antiqua"/>
          <w:sz w:val="22"/>
          <w:szCs w:val="22"/>
        </w:rPr>
        <w:t xml:space="preserve">(a) </w:t>
      </w:r>
      <w:r w:rsidR="005B4B40">
        <w:rPr>
          <w:rFonts w:ascii="Book Antiqua" w:hAnsi="Book Antiqua"/>
          <w:sz w:val="22"/>
          <w:szCs w:val="22"/>
        </w:rPr>
        <w:tab/>
      </w:r>
      <w:r w:rsidRPr="00FA5268">
        <w:rPr>
          <w:rFonts w:ascii="Book Antiqua" w:hAnsi="Book Antiqua"/>
          <w:sz w:val="22"/>
          <w:szCs w:val="22"/>
        </w:rPr>
        <w:t>it would be unduly harsh for the child to live in the country to which the person is to be deported; and</w:t>
      </w:r>
    </w:p>
    <w:p w:rsidR="004549C6" w:rsidRPr="00FA5268" w:rsidRDefault="004549C6" w:rsidP="00BC59DF">
      <w:pPr>
        <w:pStyle w:val="ParaLevel1"/>
        <w:numPr>
          <w:ilvl w:val="0"/>
          <w:numId w:val="0"/>
        </w:numPr>
        <w:tabs>
          <w:tab w:val="left" w:pos="4321"/>
        </w:tabs>
        <w:spacing w:before="0" w:after="0" w:line="240" w:lineRule="auto"/>
        <w:ind w:left="3600"/>
        <w:rPr>
          <w:rFonts w:ascii="Book Antiqua" w:hAnsi="Book Antiqua"/>
          <w:sz w:val="22"/>
          <w:szCs w:val="22"/>
        </w:rPr>
      </w:pPr>
      <w:r w:rsidRPr="00FA5268">
        <w:rPr>
          <w:rFonts w:ascii="Book Antiqua" w:hAnsi="Book Antiqua"/>
          <w:sz w:val="22"/>
          <w:szCs w:val="22"/>
        </w:rPr>
        <w:t xml:space="preserve">(b) </w:t>
      </w:r>
      <w:r w:rsidR="005B4B40">
        <w:rPr>
          <w:rFonts w:ascii="Book Antiqua" w:hAnsi="Book Antiqua"/>
          <w:sz w:val="22"/>
          <w:szCs w:val="22"/>
        </w:rPr>
        <w:tab/>
      </w:r>
      <w:r w:rsidRPr="00FA5268">
        <w:rPr>
          <w:rFonts w:ascii="Book Antiqua" w:hAnsi="Book Antiqua"/>
          <w:sz w:val="22"/>
          <w:szCs w:val="22"/>
        </w:rPr>
        <w:t xml:space="preserve">it would be unduly harsh for the child to remain in the UK without the person who is to be deported; or </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(b) </w:t>
      </w:r>
      <w:r w:rsidR="005B4B40">
        <w:rPr>
          <w:rFonts w:ascii="Book Antiqua" w:hAnsi="Book Antiqua"/>
          <w:sz w:val="22"/>
          <w:szCs w:val="22"/>
        </w:rPr>
        <w:tab/>
      </w:r>
      <w:r w:rsidRPr="00FA5268">
        <w:rPr>
          <w:rFonts w:ascii="Book Antiqua" w:hAnsi="Book Antiqua"/>
          <w:sz w:val="22"/>
          <w:szCs w:val="22"/>
        </w:rPr>
        <w:t>the person has a genuine and subsisting relationship with a partner who is in the UK and is a British Citizen or settled in the UK, and</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t>(</w:t>
      </w:r>
      <w:proofErr w:type="spellStart"/>
      <w:r w:rsidRPr="00FA5268">
        <w:rPr>
          <w:rFonts w:ascii="Book Antiqua" w:hAnsi="Book Antiqua"/>
          <w:sz w:val="22"/>
          <w:szCs w:val="22"/>
        </w:rPr>
        <w:t>i</w:t>
      </w:r>
      <w:proofErr w:type="spellEnd"/>
      <w:r w:rsidRPr="00FA5268">
        <w:rPr>
          <w:rFonts w:ascii="Book Antiqua" w:hAnsi="Book Antiqua"/>
          <w:sz w:val="22"/>
          <w:szCs w:val="22"/>
        </w:rPr>
        <w:t xml:space="preserve">) </w:t>
      </w:r>
      <w:r w:rsidR="005B4B40">
        <w:rPr>
          <w:rFonts w:ascii="Book Antiqua" w:hAnsi="Book Antiqua"/>
          <w:sz w:val="22"/>
          <w:szCs w:val="22"/>
        </w:rPr>
        <w:tab/>
      </w:r>
      <w:r w:rsidRPr="00FA5268">
        <w:rPr>
          <w:rFonts w:ascii="Book Antiqua" w:hAnsi="Book Antiqua"/>
          <w:sz w:val="22"/>
          <w:szCs w:val="22"/>
        </w:rPr>
        <w:t>the relationship was formed at a time when the person (deportee) was in the UK lawfully and their immigration status was not precarious; and</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lastRenderedPageBreak/>
        <w:t xml:space="preserve">(ii) </w:t>
      </w:r>
      <w:r w:rsidR="005B4B40">
        <w:rPr>
          <w:rFonts w:ascii="Book Antiqua" w:hAnsi="Book Antiqua"/>
          <w:sz w:val="22"/>
          <w:szCs w:val="22"/>
        </w:rPr>
        <w:tab/>
      </w:r>
      <w:r w:rsidRPr="00FA5268">
        <w:rPr>
          <w:rFonts w:ascii="Book Antiqua" w:hAnsi="Book Antiqua"/>
          <w:sz w:val="22"/>
          <w:szCs w:val="22"/>
        </w:rPr>
        <w:t>it would be unduly harsh for that partner to live in the country to which the person is to be deported, because of compelling circumstances over and above those described in paragraph EX.2. of Appendix FM; and</w:t>
      </w:r>
    </w:p>
    <w:p w:rsidR="004549C6" w:rsidRPr="00FA5268" w:rsidRDefault="004549C6" w:rsidP="00BC59DF">
      <w:pPr>
        <w:pStyle w:val="ParaLevel1"/>
        <w:numPr>
          <w:ilvl w:val="0"/>
          <w:numId w:val="0"/>
        </w:numPr>
        <w:tabs>
          <w:tab w:val="left" w:pos="3600"/>
        </w:tabs>
        <w:spacing w:before="0" w:after="0" w:line="240" w:lineRule="auto"/>
        <w:ind w:left="2880"/>
        <w:rPr>
          <w:rFonts w:ascii="Book Antiqua" w:hAnsi="Book Antiqua"/>
          <w:sz w:val="22"/>
          <w:szCs w:val="22"/>
        </w:rPr>
      </w:pPr>
      <w:r w:rsidRPr="00FA5268">
        <w:rPr>
          <w:rFonts w:ascii="Book Antiqua" w:hAnsi="Book Antiqua"/>
          <w:sz w:val="22"/>
          <w:szCs w:val="22"/>
        </w:rPr>
        <w:t xml:space="preserve">(iii) </w:t>
      </w:r>
      <w:r w:rsidR="005B4B40">
        <w:rPr>
          <w:rFonts w:ascii="Book Antiqua" w:hAnsi="Book Antiqua"/>
          <w:sz w:val="22"/>
          <w:szCs w:val="22"/>
        </w:rPr>
        <w:tab/>
      </w:r>
      <w:r w:rsidRPr="00FA5268">
        <w:rPr>
          <w:rFonts w:ascii="Book Antiqua" w:hAnsi="Book Antiqua"/>
          <w:sz w:val="22"/>
          <w:szCs w:val="22"/>
        </w:rPr>
        <w:t>it would be unduly harsh for that partner to remain in the UK without the person who is to be deported.</w:t>
      </w:r>
    </w:p>
    <w:p w:rsidR="004549C6" w:rsidRPr="00A16AA9" w:rsidRDefault="004549C6"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A16AA9">
        <w:rPr>
          <w:rFonts w:ascii="Book Antiqua" w:hAnsi="Book Antiqua"/>
          <w:sz w:val="22"/>
          <w:szCs w:val="22"/>
        </w:rPr>
        <w:t xml:space="preserve">399A. </w:t>
      </w:r>
      <w:r w:rsidR="005B4B40">
        <w:rPr>
          <w:rFonts w:ascii="Book Antiqua" w:hAnsi="Book Antiqua"/>
          <w:sz w:val="22"/>
          <w:szCs w:val="22"/>
        </w:rPr>
        <w:tab/>
      </w:r>
      <w:r w:rsidRPr="00A16AA9">
        <w:rPr>
          <w:rFonts w:ascii="Book Antiqua" w:hAnsi="Book Antiqua"/>
          <w:sz w:val="22"/>
          <w:szCs w:val="22"/>
        </w:rPr>
        <w:t>This paragraph applies where paragraph 398(b) or (c) applies if –</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(a) </w:t>
      </w:r>
      <w:r w:rsidR="005B4B40">
        <w:rPr>
          <w:rFonts w:ascii="Book Antiqua" w:hAnsi="Book Antiqua"/>
          <w:sz w:val="22"/>
          <w:szCs w:val="22"/>
        </w:rPr>
        <w:tab/>
      </w:r>
      <w:r w:rsidRPr="00FA5268">
        <w:rPr>
          <w:rFonts w:ascii="Book Antiqua" w:hAnsi="Book Antiqua"/>
          <w:sz w:val="22"/>
          <w:szCs w:val="22"/>
        </w:rPr>
        <w:t>the person has been lawfully resident in the UK for most of his life; and</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(b) </w:t>
      </w:r>
      <w:r w:rsidR="005B4B40">
        <w:rPr>
          <w:rFonts w:ascii="Book Antiqua" w:hAnsi="Book Antiqua"/>
          <w:sz w:val="22"/>
          <w:szCs w:val="22"/>
        </w:rPr>
        <w:tab/>
      </w:r>
      <w:r w:rsidRPr="00FA5268">
        <w:rPr>
          <w:rFonts w:ascii="Book Antiqua" w:hAnsi="Book Antiqua"/>
          <w:sz w:val="22"/>
          <w:szCs w:val="22"/>
        </w:rPr>
        <w:t xml:space="preserve">he is socially and culturally integrated in the UK; and </w:t>
      </w:r>
    </w:p>
    <w:p w:rsidR="004549C6" w:rsidRPr="00FA5268" w:rsidRDefault="004549C6"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FA5268">
        <w:rPr>
          <w:rFonts w:ascii="Book Antiqua" w:hAnsi="Book Antiqua"/>
          <w:sz w:val="22"/>
          <w:szCs w:val="22"/>
        </w:rPr>
        <w:t xml:space="preserve">(c) </w:t>
      </w:r>
      <w:r w:rsidR="005B4B40">
        <w:rPr>
          <w:rFonts w:ascii="Book Antiqua" w:hAnsi="Book Antiqua"/>
          <w:sz w:val="22"/>
          <w:szCs w:val="22"/>
        </w:rPr>
        <w:tab/>
      </w:r>
      <w:r w:rsidRPr="00FA5268">
        <w:rPr>
          <w:rFonts w:ascii="Book Antiqua" w:hAnsi="Book Antiqua"/>
          <w:sz w:val="22"/>
          <w:szCs w:val="22"/>
        </w:rPr>
        <w:t>there would be very significant obstacles to his integration into the country to which it is proposed he is deported.</w:t>
      </w:r>
    </w:p>
    <w:p w:rsidR="00BF591C" w:rsidRPr="00FC74FB" w:rsidRDefault="00BF591C" w:rsidP="00D23A20">
      <w:pPr>
        <w:pStyle w:val="ParaLevel1"/>
        <w:spacing w:line="240" w:lineRule="auto"/>
        <w:rPr>
          <w:rFonts w:ascii="Book Antiqua" w:hAnsi="Book Antiqua"/>
          <w:szCs w:val="24"/>
        </w:rPr>
      </w:pPr>
      <w:r w:rsidRPr="00FC74FB">
        <w:rPr>
          <w:rFonts w:ascii="Book Antiqua" w:hAnsi="Book Antiqua"/>
          <w:szCs w:val="24"/>
        </w:rPr>
        <w:t>For reasons that will become apparent</w:t>
      </w:r>
      <w:r w:rsidR="00D23A20" w:rsidRPr="00FC74FB">
        <w:rPr>
          <w:rFonts w:ascii="Book Antiqua" w:hAnsi="Book Antiqua"/>
          <w:szCs w:val="24"/>
        </w:rPr>
        <w:t>,</w:t>
      </w:r>
      <w:r w:rsidRPr="00FC74FB">
        <w:rPr>
          <w:rFonts w:ascii="Book Antiqua" w:hAnsi="Book Antiqua"/>
          <w:szCs w:val="24"/>
        </w:rPr>
        <w:t xml:space="preserve"> it is also useful to note here the terms of s117C of the 2002 Act:</w:t>
      </w:r>
    </w:p>
    <w:p w:rsidR="00BF591C" w:rsidRPr="005B4B40" w:rsidRDefault="00BF591C"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5B4B40">
        <w:rPr>
          <w:rFonts w:ascii="Book Antiqua" w:hAnsi="Book Antiqua"/>
          <w:sz w:val="22"/>
          <w:szCs w:val="22"/>
        </w:rPr>
        <w:t xml:space="preserve">(1) </w:t>
      </w:r>
      <w:r w:rsidR="005B4B40">
        <w:rPr>
          <w:rFonts w:ascii="Book Antiqua" w:hAnsi="Book Antiqua"/>
          <w:sz w:val="22"/>
          <w:szCs w:val="22"/>
        </w:rPr>
        <w:tab/>
      </w:r>
      <w:r w:rsidRPr="005B4B40">
        <w:rPr>
          <w:rFonts w:ascii="Book Antiqua" w:hAnsi="Book Antiqua"/>
          <w:sz w:val="22"/>
          <w:szCs w:val="22"/>
        </w:rPr>
        <w:t>The deportation of foreign criminals is in the public interest.</w:t>
      </w:r>
    </w:p>
    <w:p w:rsidR="00BF591C" w:rsidRPr="005B4B40" w:rsidRDefault="00BF591C"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5B4B40">
        <w:rPr>
          <w:rFonts w:ascii="Book Antiqua" w:hAnsi="Book Antiqua"/>
          <w:sz w:val="22"/>
          <w:szCs w:val="22"/>
        </w:rPr>
        <w:t xml:space="preserve">(2) </w:t>
      </w:r>
      <w:r w:rsidR="005B4B40">
        <w:rPr>
          <w:rFonts w:ascii="Book Antiqua" w:hAnsi="Book Antiqua"/>
          <w:sz w:val="22"/>
          <w:szCs w:val="22"/>
        </w:rPr>
        <w:tab/>
      </w:r>
      <w:r w:rsidRPr="005B4B40">
        <w:rPr>
          <w:rFonts w:ascii="Book Antiqua" w:hAnsi="Book Antiqua"/>
          <w:sz w:val="22"/>
          <w:szCs w:val="22"/>
        </w:rPr>
        <w:t>The more serious the offence committed by a foreign criminal, the greater is the public interest in deportation of the criminal.</w:t>
      </w:r>
    </w:p>
    <w:p w:rsidR="00BF591C" w:rsidRPr="005B4B40" w:rsidRDefault="00BF591C"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5B4B40">
        <w:rPr>
          <w:rFonts w:ascii="Book Antiqua" w:hAnsi="Book Antiqua"/>
          <w:sz w:val="22"/>
          <w:szCs w:val="22"/>
        </w:rPr>
        <w:t xml:space="preserve">(3) </w:t>
      </w:r>
      <w:r w:rsidR="005B4B40">
        <w:rPr>
          <w:rFonts w:ascii="Book Antiqua" w:hAnsi="Book Antiqua"/>
          <w:sz w:val="22"/>
          <w:szCs w:val="22"/>
        </w:rPr>
        <w:tab/>
      </w:r>
      <w:r w:rsidRPr="005B4B40">
        <w:rPr>
          <w:rFonts w:ascii="Book Antiqua" w:hAnsi="Book Antiqua"/>
          <w:sz w:val="22"/>
          <w:szCs w:val="22"/>
        </w:rPr>
        <w:t>In the case of a foreign criminal (“C”) who has not been sentenced to a period of imprisonment of four years or more, the public interest requires C's deportation unless Exception 1 or Exception 2 applies.</w:t>
      </w:r>
    </w:p>
    <w:p w:rsidR="00BF591C" w:rsidRPr="005B4B40" w:rsidRDefault="00BF591C"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5B4B40">
        <w:rPr>
          <w:rFonts w:ascii="Book Antiqua" w:hAnsi="Book Antiqua"/>
          <w:sz w:val="22"/>
          <w:szCs w:val="22"/>
        </w:rPr>
        <w:t xml:space="preserve">(4) </w:t>
      </w:r>
      <w:r w:rsidR="005B4B40">
        <w:rPr>
          <w:rFonts w:ascii="Book Antiqua" w:hAnsi="Book Antiqua"/>
          <w:sz w:val="22"/>
          <w:szCs w:val="22"/>
        </w:rPr>
        <w:tab/>
      </w:r>
      <w:r w:rsidRPr="005B4B40">
        <w:rPr>
          <w:rFonts w:ascii="Book Antiqua" w:hAnsi="Book Antiqua"/>
          <w:sz w:val="22"/>
          <w:szCs w:val="22"/>
        </w:rPr>
        <w:t>Exception 1 applies where—</w:t>
      </w:r>
    </w:p>
    <w:p w:rsidR="00BF591C" w:rsidRPr="005B4B40" w:rsidRDefault="00BF591C"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5B4B40">
        <w:rPr>
          <w:rFonts w:ascii="Book Antiqua" w:hAnsi="Book Antiqua"/>
          <w:sz w:val="22"/>
          <w:szCs w:val="22"/>
        </w:rPr>
        <w:t xml:space="preserve">(a) </w:t>
      </w:r>
      <w:r w:rsidR="005B4B40">
        <w:rPr>
          <w:rFonts w:ascii="Book Antiqua" w:hAnsi="Book Antiqua"/>
          <w:sz w:val="22"/>
          <w:szCs w:val="22"/>
        </w:rPr>
        <w:tab/>
      </w:r>
      <w:r w:rsidRPr="005B4B40">
        <w:rPr>
          <w:rFonts w:ascii="Book Antiqua" w:hAnsi="Book Antiqua"/>
          <w:sz w:val="22"/>
          <w:szCs w:val="22"/>
        </w:rPr>
        <w:t>C has been lawfully resident in the United Kingdom for most of C's life,</w:t>
      </w:r>
    </w:p>
    <w:p w:rsidR="00BF591C" w:rsidRPr="005B4B40" w:rsidRDefault="00BF591C"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5B4B40">
        <w:rPr>
          <w:rFonts w:ascii="Book Antiqua" w:hAnsi="Book Antiqua"/>
          <w:sz w:val="22"/>
          <w:szCs w:val="22"/>
        </w:rPr>
        <w:t xml:space="preserve">(b) </w:t>
      </w:r>
      <w:r w:rsidR="005B4B40">
        <w:rPr>
          <w:rFonts w:ascii="Book Antiqua" w:hAnsi="Book Antiqua"/>
          <w:sz w:val="22"/>
          <w:szCs w:val="22"/>
        </w:rPr>
        <w:tab/>
      </w:r>
      <w:r w:rsidRPr="005B4B40">
        <w:rPr>
          <w:rFonts w:ascii="Book Antiqua" w:hAnsi="Book Antiqua"/>
          <w:sz w:val="22"/>
          <w:szCs w:val="22"/>
        </w:rPr>
        <w:t>C is socially and culturally integrated in the United Kingdom, and</w:t>
      </w:r>
    </w:p>
    <w:p w:rsidR="00BF591C" w:rsidRPr="005B4B40" w:rsidRDefault="00BF591C" w:rsidP="00BC59DF">
      <w:pPr>
        <w:pStyle w:val="ParaLevel1"/>
        <w:numPr>
          <w:ilvl w:val="0"/>
          <w:numId w:val="0"/>
        </w:numPr>
        <w:tabs>
          <w:tab w:val="left" w:pos="2880"/>
        </w:tabs>
        <w:spacing w:before="0" w:after="0" w:line="240" w:lineRule="auto"/>
        <w:ind w:left="2160"/>
        <w:rPr>
          <w:rFonts w:ascii="Book Antiqua" w:hAnsi="Book Antiqua"/>
          <w:sz w:val="22"/>
          <w:szCs w:val="22"/>
        </w:rPr>
      </w:pPr>
      <w:r w:rsidRPr="005B4B40">
        <w:rPr>
          <w:rFonts w:ascii="Book Antiqua" w:hAnsi="Book Antiqua"/>
          <w:sz w:val="22"/>
          <w:szCs w:val="22"/>
        </w:rPr>
        <w:t xml:space="preserve">(c) </w:t>
      </w:r>
      <w:r w:rsidR="005B4B40">
        <w:rPr>
          <w:rFonts w:ascii="Book Antiqua" w:hAnsi="Book Antiqua"/>
          <w:sz w:val="22"/>
          <w:szCs w:val="22"/>
        </w:rPr>
        <w:tab/>
      </w:r>
      <w:r w:rsidRPr="005B4B40">
        <w:rPr>
          <w:rFonts w:ascii="Book Antiqua" w:hAnsi="Book Antiqua"/>
          <w:sz w:val="22"/>
          <w:szCs w:val="22"/>
        </w:rPr>
        <w:t>there would be very significant obstacles to C's integration into the country to which C is proposed to be deported.</w:t>
      </w:r>
    </w:p>
    <w:p w:rsidR="00BF591C" w:rsidRPr="005B4B40" w:rsidRDefault="00BF591C" w:rsidP="00BC59DF">
      <w:pPr>
        <w:pStyle w:val="ParaLevel1"/>
        <w:numPr>
          <w:ilvl w:val="0"/>
          <w:numId w:val="0"/>
        </w:numPr>
        <w:tabs>
          <w:tab w:val="left" w:pos="2160"/>
        </w:tabs>
        <w:spacing w:before="0" w:after="0" w:line="240" w:lineRule="auto"/>
        <w:ind w:left="1440"/>
        <w:rPr>
          <w:rFonts w:ascii="Book Antiqua" w:hAnsi="Book Antiqua"/>
          <w:sz w:val="22"/>
          <w:szCs w:val="22"/>
        </w:rPr>
      </w:pPr>
      <w:r w:rsidRPr="005B4B40">
        <w:rPr>
          <w:rFonts w:ascii="Book Antiqua" w:hAnsi="Book Antiqua"/>
          <w:sz w:val="22"/>
          <w:szCs w:val="22"/>
        </w:rPr>
        <w:t xml:space="preserve">(5) </w:t>
      </w:r>
      <w:r w:rsidR="005B4B40">
        <w:rPr>
          <w:rFonts w:ascii="Book Antiqua" w:hAnsi="Book Antiqua"/>
          <w:sz w:val="22"/>
          <w:szCs w:val="22"/>
        </w:rPr>
        <w:tab/>
      </w:r>
      <w:r w:rsidRPr="005B4B40">
        <w:rPr>
          <w:rFonts w:ascii="Book Antiqua" w:hAnsi="Book Antiqua"/>
          <w:sz w:val="22"/>
          <w:szCs w:val="22"/>
        </w:rPr>
        <w:t>Exception 2 applies where C has a genuine and subsisting relationship with a qualifying partner, or a genuine and subsisting parental relationship with a qualifying child, and the effect of C's deportation on the partner or child would be unduly harsh…</w:t>
      </w:r>
    </w:p>
    <w:p w:rsidR="00B16DFB" w:rsidRPr="00FC74FB" w:rsidRDefault="00B16DFB" w:rsidP="00D23A20">
      <w:pPr>
        <w:pStyle w:val="ParaLevel1"/>
        <w:numPr>
          <w:ilvl w:val="0"/>
          <w:numId w:val="0"/>
        </w:numPr>
        <w:spacing w:line="240" w:lineRule="auto"/>
        <w:rPr>
          <w:rFonts w:ascii="Book Antiqua" w:hAnsi="Book Antiqua"/>
          <w:szCs w:val="24"/>
          <w:u w:val="single"/>
        </w:rPr>
      </w:pPr>
      <w:r w:rsidRPr="00FC74FB">
        <w:rPr>
          <w:rFonts w:ascii="Book Antiqua" w:hAnsi="Book Antiqua"/>
          <w:szCs w:val="24"/>
          <w:u w:val="single"/>
        </w:rPr>
        <w:t xml:space="preserve">The Decision of </w:t>
      </w:r>
      <w:r w:rsidR="00BF591C" w:rsidRPr="00FC74FB">
        <w:rPr>
          <w:rFonts w:ascii="Book Antiqua" w:hAnsi="Book Antiqua"/>
          <w:szCs w:val="24"/>
          <w:u w:val="single"/>
        </w:rPr>
        <w:t xml:space="preserve">FTT </w:t>
      </w:r>
      <w:r w:rsidRPr="00FC74FB">
        <w:rPr>
          <w:rFonts w:ascii="Book Antiqua" w:hAnsi="Book Antiqua"/>
          <w:szCs w:val="24"/>
          <w:u w:val="single"/>
        </w:rPr>
        <w:t>Judge Parkes</w:t>
      </w:r>
    </w:p>
    <w:p w:rsidR="00B16DFB" w:rsidRPr="00FC74FB" w:rsidRDefault="00B16DFB" w:rsidP="00D23A20">
      <w:pPr>
        <w:pStyle w:val="ParaLevel1"/>
        <w:spacing w:line="240" w:lineRule="auto"/>
        <w:rPr>
          <w:rFonts w:ascii="Book Antiqua" w:hAnsi="Book Antiqua"/>
          <w:szCs w:val="24"/>
        </w:rPr>
      </w:pPr>
      <w:r w:rsidRPr="00FC74FB">
        <w:rPr>
          <w:rFonts w:ascii="Book Antiqua" w:hAnsi="Book Antiqua"/>
          <w:szCs w:val="24"/>
        </w:rPr>
        <w:t xml:space="preserve">Having accurately set out the legal framework and the factual background, Judge Parkes turned to address the question whether Mr </w:t>
      </w:r>
      <w:proofErr w:type="spellStart"/>
      <w:r w:rsidRPr="00FC74FB">
        <w:rPr>
          <w:rFonts w:ascii="Book Antiqua" w:hAnsi="Book Antiqua"/>
          <w:szCs w:val="24"/>
        </w:rPr>
        <w:t>Shezad</w:t>
      </w:r>
      <w:proofErr w:type="spellEnd"/>
      <w:r w:rsidRPr="00FC74FB">
        <w:rPr>
          <w:rFonts w:ascii="Book Antiqua" w:hAnsi="Book Antiqua"/>
          <w:szCs w:val="24"/>
        </w:rPr>
        <w:t xml:space="preserve"> is to be regarded as a foreign criminal.  He concluded that because he was not a “persistent” offender and had on</w:t>
      </w:r>
      <w:r w:rsidR="00BF591C" w:rsidRPr="00FC74FB">
        <w:rPr>
          <w:rFonts w:ascii="Book Antiqua" w:hAnsi="Book Antiqua"/>
          <w:szCs w:val="24"/>
        </w:rPr>
        <w:t>ly been sentenced to a term of e</w:t>
      </w:r>
      <w:r w:rsidRPr="00FC74FB">
        <w:rPr>
          <w:rFonts w:ascii="Book Antiqua" w:hAnsi="Book Antiqua"/>
          <w:szCs w:val="24"/>
        </w:rPr>
        <w:t>ight months “</w:t>
      </w:r>
      <w:r w:rsidRPr="00FC74FB">
        <w:rPr>
          <w:rFonts w:ascii="Book Antiqua" w:hAnsi="Book Antiqua"/>
          <w:i/>
          <w:szCs w:val="24"/>
        </w:rPr>
        <w:t>the only route by which the Appellant could be regarded as a foreign offender is if his offence caused serious harm</w:t>
      </w:r>
      <w:r w:rsidRPr="00FC74FB">
        <w:rPr>
          <w:rFonts w:ascii="Book Antiqua" w:hAnsi="Book Antiqua"/>
          <w:szCs w:val="24"/>
        </w:rPr>
        <w:t>”.</w:t>
      </w:r>
      <w:r w:rsidR="00BF591C" w:rsidRPr="00FC74FB">
        <w:rPr>
          <w:rFonts w:ascii="Book Antiqua" w:hAnsi="Book Antiqua"/>
          <w:szCs w:val="24"/>
        </w:rPr>
        <w:t xml:space="preserve"> </w:t>
      </w:r>
      <w:r w:rsidRPr="00FC74FB">
        <w:rPr>
          <w:rFonts w:ascii="Book Antiqua" w:hAnsi="Book Antiqua"/>
          <w:szCs w:val="24"/>
        </w:rPr>
        <w:t>We agree.</w:t>
      </w:r>
    </w:p>
    <w:p w:rsidR="007C71EA" w:rsidRPr="00FC74FB" w:rsidRDefault="007C71EA" w:rsidP="00D23A20">
      <w:pPr>
        <w:pStyle w:val="ParaLevel1"/>
        <w:spacing w:line="240" w:lineRule="auto"/>
        <w:rPr>
          <w:rFonts w:ascii="Book Antiqua" w:hAnsi="Book Antiqua"/>
          <w:szCs w:val="24"/>
        </w:rPr>
      </w:pPr>
      <w:r w:rsidRPr="00FC74FB">
        <w:rPr>
          <w:rFonts w:ascii="Book Antiqua" w:hAnsi="Book Antiqua"/>
          <w:szCs w:val="24"/>
        </w:rPr>
        <w:t>At paragraph 19, h</w:t>
      </w:r>
      <w:r w:rsidR="00B16DFB" w:rsidRPr="00FC74FB">
        <w:rPr>
          <w:rFonts w:ascii="Book Antiqua" w:hAnsi="Book Antiqua"/>
          <w:szCs w:val="24"/>
        </w:rPr>
        <w:t>e referred to Home Office guidance “Criminality: Article 8 ECHR cases”</w:t>
      </w:r>
      <w:r w:rsidRPr="00FC74FB">
        <w:rPr>
          <w:rFonts w:ascii="Book Antiqua" w:hAnsi="Book Antiqua"/>
          <w:szCs w:val="24"/>
        </w:rPr>
        <w:t xml:space="preserve"> which defines “serious harm” as serious physical or psychological harm </w:t>
      </w:r>
      <w:r w:rsidR="00BF591C" w:rsidRPr="00FC74FB">
        <w:rPr>
          <w:rFonts w:ascii="Book Antiqua" w:hAnsi="Book Antiqua"/>
          <w:szCs w:val="24"/>
        </w:rPr>
        <w:t>which followed the offence”. Judge Parkes</w:t>
      </w:r>
      <w:r w:rsidRPr="00FC74FB">
        <w:rPr>
          <w:rFonts w:ascii="Book Antiqua" w:hAnsi="Book Antiqua"/>
          <w:szCs w:val="24"/>
        </w:rPr>
        <w:t xml:space="preserve"> said that there was only one victim and the only evidence as to the offence came from the sentenci</w:t>
      </w:r>
      <w:r w:rsidR="00BF591C" w:rsidRPr="00FC74FB">
        <w:rPr>
          <w:rFonts w:ascii="Book Antiqua" w:hAnsi="Book Antiqua"/>
          <w:szCs w:val="24"/>
        </w:rPr>
        <w:t>ng remarks of Judge Langdale.  He noted that t</w:t>
      </w:r>
      <w:r w:rsidRPr="00FC74FB">
        <w:rPr>
          <w:rFonts w:ascii="Book Antiqua" w:hAnsi="Book Antiqua"/>
          <w:szCs w:val="24"/>
        </w:rPr>
        <w:t>here was no physical harm.  There was no medical evidence as to the effect of the offence on the victim.  He went on:</w:t>
      </w:r>
    </w:p>
    <w:p w:rsidR="007C71EA" w:rsidRPr="00BC59DF" w:rsidRDefault="007C71EA" w:rsidP="00BC59DF">
      <w:pPr>
        <w:pStyle w:val="ParaLevel1"/>
        <w:numPr>
          <w:ilvl w:val="0"/>
          <w:numId w:val="0"/>
        </w:numPr>
        <w:spacing w:before="120" w:after="120" w:line="240" w:lineRule="auto"/>
        <w:ind w:left="1440" w:right="720"/>
        <w:rPr>
          <w:rFonts w:ascii="Book Antiqua" w:hAnsi="Book Antiqua"/>
          <w:sz w:val="22"/>
          <w:szCs w:val="24"/>
        </w:rPr>
      </w:pPr>
      <w:r w:rsidRPr="00BC59DF">
        <w:rPr>
          <w:rFonts w:ascii="Book Antiqua" w:hAnsi="Book Antiqua"/>
          <w:sz w:val="22"/>
          <w:szCs w:val="24"/>
        </w:rPr>
        <w:lastRenderedPageBreak/>
        <w:t xml:space="preserve">“The fact that the offence caused him real distress and that he found the trial process intimidating and distressing is hardly surprising and applies to most victims but </w:t>
      </w:r>
      <w:r w:rsidR="00DE1B6E" w:rsidRPr="00BC59DF">
        <w:rPr>
          <w:rFonts w:ascii="Book Antiqua" w:hAnsi="Book Antiqua"/>
          <w:sz w:val="22"/>
          <w:szCs w:val="24"/>
        </w:rPr>
        <w:t>does</w:t>
      </w:r>
      <w:r w:rsidRPr="00BC59DF">
        <w:rPr>
          <w:rFonts w:ascii="Book Antiqua" w:hAnsi="Book Antiqua"/>
          <w:sz w:val="22"/>
          <w:szCs w:val="24"/>
        </w:rPr>
        <w:t xml:space="preserve"> not indicate that it had any </w:t>
      </w:r>
      <w:proofErr w:type="gramStart"/>
      <w:r w:rsidRPr="00BC59DF">
        <w:rPr>
          <w:rFonts w:ascii="Book Antiqua" w:hAnsi="Book Antiqua"/>
          <w:sz w:val="22"/>
          <w:szCs w:val="24"/>
        </w:rPr>
        <w:t>long term</w:t>
      </w:r>
      <w:proofErr w:type="gramEnd"/>
      <w:r w:rsidRPr="00BC59DF">
        <w:rPr>
          <w:rFonts w:ascii="Book Antiqua" w:hAnsi="Book Antiqua"/>
          <w:sz w:val="22"/>
          <w:szCs w:val="24"/>
        </w:rPr>
        <w:t xml:space="preserve"> consequences for him”</w:t>
      </w:r>
    </w:p>
    <w:p w:rsidR="00B16DFB" w:rsidRPr="00FC74FB" w:rsidRDefault="007C71EA" w:rsidP="00D23A20">
      <w:pPr>
        <w:pStyle w:val="ParaLevel1"/>
        <w:spacing w:line="240" w:lineRule="auto"/>
        <w:rPr>
          <w:rFonts w:ascii="Book Antiqua" w:hAnsi="Book Antiqua"/>
          <w:szCs w:val="24"/>
        </w:rPr>
      </w:pPr>
      <w:r w:rsidRPr="00FC74FB">
        <w:rPr>
          <w:rFonts w:ascii="Book Antiqua" w:hAnsi="Book Antiqua"/>
          <w:szCs w:val="24"/>
        </w:rPr>
        <w:t>At paragraph 20 he said, correctly, that the refusal letter of 29 December 2015 makes no reference to serious harm</w:t>
      </w:r>
      <w:r w:rsidR="009650C1" w:rsidRPr="00FC74FB">
        <w:rPr>
          <w:rFonts w:ascii="Book Antiqua" w:hAnsi="Book Antiqua"/>
          <w:szCs w:val="24"/>
        </w:rPr>
        <w:t xml:space="preserve"> but the</w:t>
      </w:r>
      <w:r w:rsidRPr="00FC74FB">
        <w:rPr>
          <w:rFonts w:ascii="Book Antiqua" w:hAnsi="Book Antiqua"/>
          <w:szCs w:val="24"/>
        </w:rPr>
        <w:t xml:space="preserve"> refusal letter of 23 March 2017 </w:t>
      </w:r>
      <w:r w:rsidR="00BF591C" w:rsidRPr="00FC74FB">
        <w:rPr>
          <w:rFonts w:ascii="Book Antiqua" w:hAnsi="Book Antiqua"/>
          <w:szCs w:val="24"/>
        </w:rPr>
        <w:t>did</w:t>
      </w:r>
      <w:r w:rsidR="009650C1" w:rsidRPr="00FC74FB">
        <w:rPr>
          <w:rFonts w:ascii="Book Antiqua" w:hAnsi="Book Antiqua"/>
          <w:szCs w:val="24"/>
        </w:rPr>
        <w:t xml:space="preserve"> refer to it.  As noted above, it </w:t>
      </w:r>
      <w:r w:rsidRPr="00FC74FB">
        <w:rPr>
          <w:rFonts w:ascii="Book Antiqua" w:hAnsi="Book Antiqua"/>
          <w:szCs w:val="24"/>
        </w:rPr>
        <w:t>says</w:t>
      </w:r>
      <w:r w:rsidR="009650C1" w:rsidRPr="00FC74FB">
        <w:rPr>
          <w:rFonts w:ascii="Book Antiqua" w:hAnsi="Book Antiqua"/>
          <w:szCs w:val="24"/>
        </w:rPr>
        <w:t xml:space="preserve"> that deportation</w:t>
      </w:r>
      <w:r w:rsidRPr="00FC74FB">
        <w:rPr>
          <w:rFonts w:ascii="Book Antiqua" w:hAnsi="Book Antiqua"/>
          <w:szCs w:val="24"/>
        </w:rPr>
        <w:t xml:space="preserve"> “</w:t>
      </w:r>
      <w:r w:rsidR="009650C1" w:rsidRPr="00FC74FB">
        <w:rPr>
          <w:rFonts w:ascii="Book Antiqua" w:hAnsi="Book Antiqua"/>
          <w:szCs w:val="24"/>
        </w:rPr>
        <w:t xml:space="preserve">is conducive to the public good </w:t>
      </w:r>
      <w:r w:rsidR="00BF591C" w:rsidRPr="00FC74FB">
        <w:rPr>
          <w:rFonts w:ascii="Book Antiqua" w:hAnsi="Book Antiqua"/>
          <w:szCs w:val="24"/>
        </w:rPr>
        <w:t>…</w:t>
      </w:r>
      <w:r w:rsidR="009650C1" w:rsidRPr="00FC74FB">
        <w:rPr>
          <w:rFonts w:ascii="Book Antiqua" w:hAnsi="Book Antiqua"/>
          <w:szCs w:val="24"/>
        </w:rPr>
        <w:t xml:space="preserve"> because you have convicted of the serious offence of theft from a person, for which you were sentenced to 8 months imprisonment.”</w:t>
      </w:r>
    </w:p>
    <w:p w:rsidR="009650C1" w:rsidRPr="00FC74FB" w:rsidRDefault="009650C1" w:rsidP="00D23A20">
      <w:pPr>
        <w:pStyle w:val="ParaLevel1"/>
        <w:spacing w:line="240" w:lineRule="auto"/>
        <w:rPr>
          <w:rFonts w:ascii="Book Antiqua" w:hAnsi="Book Antiqua"/>
          <w:szCs w:val="24"/>
        </w:rPr>
      </w:pPr>
      <w:r w:rsidRPr="00FC74FB">
        <w:rPr>
          <w:rFonts w:ascii="Book Antiqua" w:hAnsi="Book Antiqua"/>
          <w:szCs w:val="24"/>
        </w:rPr>
        <w:t>The crucial paragraphs are paragraphs 21 and 22.  Judge Parkes says:</w:t>
      </w:r>
    </w:p>
    <w:p w:rsidR="009650C1" w:rsidRPr="00BC59DF" w:rsidRDefault="009650C1" w:rsidP="00BC59DF">
      <w:pPr>
        <w:pStyle w:val="ParaLevel1"/>
        <w:numPr>
          <w:ilvl w:val="0"/>
          <w:numId w:val="0"/>
        </w:numPr>
        <w:spacing w:before="120" w:after="120" w:line="240" w:lineRule="auto"/>
        <w:ind w:left="1440" w:right="720"/>
        <w:rPr>
          <w:rFonts w:ascii="Book Antiqua" w:hAnsi="Book Antiqua"/>
          <w:sz w:val="22"/>
          <w:szCs w:val="24"/>
        </w:rPr>
      </w:pPr>
      <w:r w:rsidRPr="00BC59DF">
        <w:rPr>
          <w:rFonts w:ascii="Book Antiqua" w:hAnsi="Book Antiqua"/>
          <w:sz w:val="22"/>
          <w:szCs w:val="24"/>
        </w:rPr>
        <w:t>“The reasoning applied does not show that the victim …</w:t>
      </w:r>
      <w:r w:rsidR="00BC59DF">
        <w:rPr>
          <w:rFonts w:ascii="Book Antiqua" w:hAnsi="Book Antiqua"/>
          <w:sz w:val="22"/>
          <w:szCs w:val="24"/>
        </w:rPr>
        <w:t xml:space="preserve"> </w:t>
      </w:r>
      <w:r w:rsidRPr="00BC59DF">
        <w:rPr>
          <w:rFonts w:ascii="Book Antiqua" w:hAnsi="Book Antiqua"/>
          <w:sz w:val="22"/>
          <w:szCs w:val="24"/>
        </w:rPr>
        <w:t>suffered serious harm as defined in the guidance and the reasoning appears circular…</w:t>
      </w:r>
      <w:r w:rsidR="00BC59DF">
        <w:rPr>
          <w:rFonts w:ascii="Book Antiqua" w:hAnsi="Book Antiqua"/>
          <w:sz w:val="22"/>
          <w:szCs w:val="24"/>
        </w:rPr>
        <w:t xml:space="preserve"> </w:t>
      </w:r>
      <w:r w:rsidRPr="00BC59DF">
        <w:rPr>
          <w:rFonts w:ascii="Book Antiqua" w:hAnsi="Book Antiqua"/>
          <w:sz w:val="22"/>
          <w:szCs w:val="24"/>
        </w:rPr>
        <w:t xml:space="preserve">evidence would be needed of serious psychological harm and there is no evidence beyond the difficulties he experienced in the immediate aftermath of the offence and in giving evidence.  Both would be expected for a victim of crime and so evidence is required otherwise the exercise is entirely speculative. </w:t>
      </w:r>
    </w:p>
    <w:p w:rsidR="009650C1" w:rsidRPr="00BC59DF" w:rsidRDefault="009650C1" w:rsidP="00BC59DF">
      <w:pPr>
        <w:pStyle w:val="ParaLevel1"/>
        <w:numPr>
          <w:ilvl w:val="0"/>
          <w:numId w:val="0"/>
        </w:numPr>
        <w:spacing w:before="120" w:after="120" w:line="240" w:lineRule="auto"/>
        <w:ind w:left="1440" w:right="720"/>
        <w:rPr>
          <w:rFonts w:ascii="Book Antiqua" w:hAnsi="Book Antiqua"/>
          <w:sz w:val="22"/>
          <w:szCs w:val="24"/>
        </w:rPr>
      </w:pPr>
      <w:r w:rsidRPr="00BC59DF">
        <w:rPr>
          <w:rFonts w:ascii="Book Antiqua" w:hAnsi="Book Antiqua"/>
          <w:sz w:val="22"/>
          <w:szCs w:val="24"/>
        </w:rPr>
        <w:t xml:space="preserve">In the circumstances I cannot find that the consequences of the Appellant’s offending on the victim are such that the victim suffered serious harm and accordingly I cannot find that the Applicant meets the definition of a </w:t>
      </w:r>
      <w:r w:rsidR="00DE1B6E" w:rsidRPr="00BC59DF">
        <w:rPr>
          <w:rFonts w:ascii="Book Antiqua" w:hAnsi="Book Antiqua"/>
          <w:sz w:val="22"/>
          <w:szCs w:val="24"/>
        </w:rPr>
        <w:t>foreign criminal</w:t>
      </w:r>
      <w:r w:rsidRPr="00BC59DF">
        <w:rPr>
          <w:rFonts w:ascii="Book Antiqua" w:hAnsi="Book Antiqua"/>
          <w:sz w:val="22"/>
          <w:szCs w:val="24"/>
        </w:rPr>
        <w:t>…</w:t>
      </w:r>
    </w:p>
    <w:p w:rsidR="00DE1B6E" w:rsidRPr="00FC74FB" w:rsidRDefault="00DE1B6E" w:rsidP="00D23A20">
      <w:pPr>
        <w:pStyle w:val="ParaLevel1"/>
        <w:spacing w:line="240" w:lineRule="auto"/>
        <w:rPr>
          <w:rFonts w:ascii="Book Antiqua" w:hAnsi="Book Antiqua"/>
          <w:szCs w:val="24"/>
        </w:rPr>
      </w:pPr>
      <w:r w:rsidRPr="00FC74FB">
        <w:rPr>
          <w:rFonts w:ascii="Book Antiqua" w:hAnsi="Book Antiqua"/>
          <w:szCs w:val="24"/>
        </w:rPr>
        <w:t>The judge then considered the circumstances of the Appellant and his family and the balancing exercise to be conducted between the public interest in deportation and what he described as the “best interests of the family to remain</w:t>
      </w:r>
      <w:r w:rsidR="002E7271" w:rsidRPr="00FC74FB">
        <w:rPr>
          <w:rFonts w:ascii="Book Antiqua" w:hAnsi="Book Antiqua"/>
          <w:szCs w:val="24"/>
        </w:rPr>
        <w:t xml:space="preserve"> </w:t>
      </w:r>
      <w:r w:rsidRPr="00FC74FB">
        <w:rPr>
          <w:rFonts w:ascii="Book Antiqua" w:hAnsi="Book Antiqua"/>
          <w:szCs w:val="24"/>
        </w:rPr>
        <w:t xml:space="preserve">as a single unit”.  He concluded that deportation would be a disproportionate </w:t>
      </w:r>
      <w:r w:rsidR="002E7271" w:rsidRPr="00FC74FB">
        <w:rPr>
          <w:rFonts w:ascii="Book Antiqua" w:hAnsi="Book Antiqua"/>
          <w:szCs w:val="24"/>
        </w:rPr>
        <w:t>interference</w:t>
      </w:r>
      <w:r w:rsidRPr="00FC74FB">
        <w:rPr>
          <w:rFonts w:ascii="Book Antiqua" w:hAnsi="Book Antiqua"/>
          <w:szCs w:val="24"/>
        </w:rPr>
        <w:t xml:space="preserve"> with the family’s article 8 rights.</w:t>
      </w:r>
    </w:p>
    <w:p w:rsidR="00C56EF2" w:rsidRPr="00FC74FB" w:rsidRDefault="00C56EF2" w:rsidP="00D23A20">
      <w:pPr>
        <w:pStyle w:val="ParaLevel1"/>
        <w:numPr>
          <w:ilvl w:val="0"/>
          <w:numId w:val="0"/>
        </w:numPr>
        <w:spacing w:line="240" w:lineRule="auto"/>
        <w:rPr>
          <w:rFonts w:ascii="Book Antiqua" w:hAnsi="Book Antiqua"/>
          <w:szCs w:val="24"/>
          <w:u w:val="single"/>
        </w:rPr>
      </w:pPr>
      <w:r w:rsidRPr="00FC74FB">
        <w:rPr>
          <w:rFonts w:ascii="Book Antiqua" w:hAnsi="Book Antiqua"/>
          <w:szCs w:val="24"/>
          <w:u w:val="single"/>
        </w:rPr>
        <w:t>The Argument</w:t>
      </w:r>
    </w:p>
    <w:p w:rsidR="00FF778E" w:rsidRPr="00FC74FB" w:rsidRDefault="00C56EF2" w:rsidP="00D23A20">
      <w:pPr>
        <w:pStyle w:val="ParaLevel1"/>
        <w:spacing w:line="240" w:lineRule="auto"/>
        <w:rPr>
          <w:rFonts w:ascii="Book Antiqua" w:hAnsi="Book Antiqua"/>
          <w:szCs w:val="24"/>
        </w:rPr>
      </w:pPr>
      <w:r w:rsidRPr="00FC74FB">
        <w:rPr>
          <w:rFonts w:ascii="Book Antiqua" w:hAnsi="Book Antiqua"/>
          <w:szCs w:val="24"/>
        </w:rPr>
        <w:t>On behalf</w:t>
      </w:r>
      <w:r w:rsidR="00EF299C" w:rsidRPr="00FC74FB">
        <w:rPr>
          <w:rFonts w:ascii="Book Antiqua" w:hAnsi="Book Antiqua"/>
          <w:szCs w:val="24"/>
        </w:rPr>
        <w:t xml:space="preserve"> of the Secretary of State, Mr </w:t>
      </w:r>
      <w:proofErr w:type="spellStart"/>
      <w:r w:rsidR="00EF299C" w:rsidRPr="00FC74FB">
        <w:rPr>
          <w:rFonts w:ascii="Book Antiqua" w:hAnsi="Book Antiqua"/>
          <w:szCs w:val="24"/>
        </w:rPr>
        <w:t>Kotas</w:t>
      </w:r>
      <w:proofErr w:type="spellEnd"/>
      <w:r w:rsidRPr="00FC74FB">
        <w:rPr>
          <w:rFonts w:ascii="Book Antiqua" w:hAnsi="Book Antiqua"/>
          <w:szCs w:val="24"/>
        </w:rPr>
        <w:t xml:space="preserve"> argues that Judge Parkes erred in requiring the Secretary of State to provide reasons for why it was considered that Mr </w:t>
      </w:r>
      <w:proofErr w:type="spellStart"/>
      <w:r w:rsidRPr="00FC74FB">
        <w:rPr>
          <w:rFonts w:ascii="Book Antiqua" w:hAnsi="Book Antiqua"/>
          <w:szCs w:val="24"/>
        </w:rPr>
        <w:t>Shezad</w:t>
      </w:r>
      <w:proofErr w:type="spellEnd"/>
      <w:r w:rsidRPr="00FC74FB">
        <w:rPr>
          <w:rFonts w:ascii="Book Antiqua" w:hAnsi="Book Antiqua"/>
          <w:szCs w:val="24"/>
        </w:rPr>
        <w:t xml:space="preserve"> had been guilty of an offence which caused</w:t>
      </w:r>
      <w:r w:rsidR="00EF299C" w:rsidRPr="00FC74FB">
        <w:rPr>
          <w:rFonts w:ascii="Book Antiqua" w:hAnsi="Book Antiqua"/>
          <w:szCs w:val="24"/>
        </w:rPr>
        <w:t xml:space="preserve"> serious harm.  It was said </w:t>
      </w:r>
      <w:r w:rsidR="00D951DA" w:rsidRPr="00FC74FB">
        <w:rPr>
          <w:rFonts w:ascii="Book Antiqua" w:hAnsi="Book Antiqua"/>
          <w:szCs w:val="24"/>
        </w:rPr>
        <w:t xml:space="preserve">that </w:t>
      </w:r>
      <w:r w:rsidR="00EF299C" w:rsidRPr="00FC74FB">
        <w:rPr>
          <w:rFonts w:ascii="Book Antiqua" w:hAnsi="Book Antiqua"/>
          <w:szCs w:val="24"/>
        </w:rPr>
        <w:t>that</w:t>
      </w:r>
      <w:r w:rsidRPr="00FC74FB">
        <w:rPr>
          <w:rFonts w:ascii="Book Antiqua" w:hAnsi="Book Antiqua"/>
          <w:szCs w:val="24"/>
        </w:rPr>
        <w:t xml:space="preserve"> was inconsistent with the Court of Appeal’s decision in </w:t>
      </w:r>
      <w:r w:rsidRPr="00FC74FB">
        <w:rPr>
          <w:rFonts w:ascii="Book Antiqua" w:hAnsi="Book Antiqua"/>
          <w:i/>
          <w:szCs w:val="24"/>
        </w:rPr>
        <w:t>LT Kosov</w:t>
      </w:r>
      <w:r w:rsidR="00D702CD">
        <w:rPr>
          <w:rFonts w:ascii="Book Antiqua" w:hAnsi="Book Antiqua"/>
          <w:i/>
          <w:szCs w:val="24"/>
        </w:rPr>
        <w:t>o</w:t>
      </w:r>
      <w:r w:rsidRPr="00FC74FB">
        <w:rPr>
          <w:rFonts w:ascii="Book Antiqua" w:hAnsi="Book Antiqua"/>
          <w:szCs w:val="24"/>
        </w:rPr>
        <w:t xml:space="preserve"> [2016] EWCA </w:t>
      </w:r>
      <w:proofErr w:type="spellStart"/>
      <w:r w:rsidRPr="00FC74FB">
        <w:rPr>
          <w:rFonts w:ascii="Book Antiqua" w:hAnsi="Book Antiqua"/>
          <w:szCs w:val="24"/>
        </w:rPr>
        <w:t>Civ</w:t>
      </w:r>
      <w:proofErr w:type="spellEnd"/>
      <w:r w:rsidRPr="00FC74FB">
        <w:rPr>
          <w:rFonts w:ascii="Book Antiqua" w:hAnsi="Book Antiqua"/>
          <w:szCs w:val="24"/>
        </w:rPr>
        <w:t xml:space="preserve"> 1246</w:t>
      </w:r>
      <w:r w:rsidR="00EF299C" w:rsidRPr="00FC74FB">
        <w:rPr>
          <w:rFonts w:ascii="Book Antiqua" w:hAnsi="Book Antiqua"/>
          <w:szCs w:val="24"/>
        </w:rPr>
        <w:t xml:space="preserve">.  </w:t>
      </w:r>
      <w:r w:rsidR="00DE1B6E" w:rsidRPr="00FC74FB">
        <w:rPr>
          <w:rFonts w:ascii="Book Antiqua" w:hAnsi="Book Antiqua"/>
          <w:szCs w:val="24"/>
        </w:rPr>
        <w:t xml:space="preserve">Mr </w:t>
      </w:r>
      <w:proofErr w:type="spellStart"/>
      <w:r w:rsidR="00DE1B6E" w:rsidRPr="00FC74FB">
        <w:rPr>
          <w:rFonts w:ascii="Book Antiqua" w:hAnsi="Book Antiqua"/>
          <w:szCs w:val="24"/>
        </w:rPr>
        <w:t>K</w:t>
      </w:r>
      <w:r w:rsidR="005F6648" w:rsidRPr="00FC74FB">
        <w:rPr>
          <w:rFonts w:ascii="Book Antiqua" w:hAnsi="Book Antiqua"/>
          <w:szCs w:val="24"/>
        </w:rPr>
        <w:t>o</w:t>
      </w:r>
      <w:r w:rsidR="00DE1B6E" w:rsidRPr="00FC74FB">
        <w:rPr>
          <w:rFonts w:ascii="Book Antiqua" w:hAnsi="Book Antiqua"/>
          <w:szCs w:val="24"/>
        </w:rPr>
        <w:t>tas</w:t>
      </w:r>
      <w:proofErr w:type="spellEnd"/>
      <w:r w:rsidR="00DE1B6E" w:rsidRPr="00FC74FB">
        <w:rPr>
          <w:rFonts w:ascii="Book Antiqua" w:hAnsi="Book Antiqua"/>
          <w:szCs w:val="24"/>
        </w:rPr>
        <w:t xml:space="preserve"> said</w:t>
      </w:r>
      <w:r w:rsidR="00FF778E" w:rsidRPr="00FC74FB">
        <w:rPr>
          <w:rFonts w:ascii="Book Antiqua" w:hAnsi="Book Antiqua"/>
          <w:szCs w:val="24"/>
        </w:rPr>
        <w:t xml:space="preserve"> that it was for the Secretary of State to decide whether the relevant offences amounted to serious harm and that the tribunal should a</w:t>
      </w:r>
      <w:r w:rsidR="00DE1B6E" w:rsidRPr="00FC74FB">
        <w:rPr>
          <w:rFonts w:ascii="Book Antiqua" w:hAnsi="Book Antiqua"/>
          <w:szCs w:val="24"/>
        </w:rPr>
        <w:t>ccord significant weight to his view.  It</w:t>
      </w:r>
      <w:r w:rsidR="00FF778E" w:rsidRPr="00FC74FB">
        <w:rPr>
          <w:rFonts w:ascii="Book Antiqua" w:hAnsi="Book Antiqua"/>
          <w:szCs w:val="24"/>
        </w:rPr>
        <w:t xml:space="preserve"> was not for the Secretary of State to justify that conclusion.  In any event, </w:t>
      </w:r>
      <w:r w:rsidR="00DE1B6E" w:rsidRPr="00FC74FB">
        <w:rPr>
          <w:rFonts w:ascii="Book Antiqua" w:hAnsi="Book Antiqua"/>
          <w:szCs w:val="24"/>
        </w:rPr>
        <w:t xml:space="preserve">Mr </w:t>
      </w:r>
      <w:proofErr w:type="spellStart"/>
      <w:r w:rsidR="00DE1B6E" w:rsidRPr="00FC74FB">
        <w:rPr>
          <w:rFonts w:ascii="Book Antiqua" w:hAnsi="Book Antiqua"/>
          <w:szCs w:val="24"/>
        </w:rPr>
        <w:t>Kotas</w:t>
      </w:r>
      <w:proofErr w:type="spellEnd"/>
      <w:r w:rsidR="00DE1B6E" w:rsidRPr="00FC74FB">
        <w:rPr>
          <w:rFonts w:ascii="Book Antiqua" w:hAnsi="Book Antiqua"/>
          <w:szCs w:val="24"/>
        </w:rPr>
        <w:t xml:space="preserve"> </w:t>
      </w:r>
      <w:r w:rsidR="005F6648" w:rsidRPr="00FC74FB">
        <w:rPr>
          <w:rFonts w:ascii="Book Antiqua" w:hAnsi="Book Antiqua"/>
          <w:szCs w:val="24"/>
        </w:rPr>
        <w:t>said that</w:t>
      </w:r>
      <w:r w:rsidR="00FF778E" w:rsidRPr="00FC74FB">
        <w:rPr>
          <w:rFonts w:ascii="Book Antiqua" w:hAnsi="Book Antiqua"/>
          <w:szCs w:val="24"/>
        </w:rPr>
        <w:t xml:space="preserve"> the circumstances of this theft from this vulnerable person should been deemed to have caused serious harm. </w:t>
      </w:r>
    </w:p>
    <w:p w:rsidR="005F6648" w:rsidRPr="00FC74FB" w:rsidRDefault="00FF778E" w:rsidP="00D23A20">
      <w:pPr>
        <w:pStyle w:val="ParaLevel1"/>
        <w:spacing w:line="240" w:lineRule="auto"/>
        <w:rPr>
          <w:rFonts w:ascii="Book Antiqua" w:hAnsi="Book Antiqua"/>
          <w:szCs w:val="24"/>
          <w:u w:val="single"/>
        </w:rPr>
      </w:pPr>
      <w:r w:rsidRPr="00FC74FB">
        <w:rPr>
          <w:rFonts w:ascii="Book Antiqua" w:hAnsi="Book Antiqua"/>
          <w:szCs w:val="24"/>
        </w:rPr>
        <w:t xml:space="preserve">In response Mr </w:t>
      </w:r>
      <w:r w:rsidR="00DE1B6E" w:rsidRPr="00FC74FB">
        <w:rPr>
          <w:rFonts w:ascii="Book Antiqua" w:hAnsi="Book Antiqua"/>
          <w:szCs w:val="24"/>
        </w:rPr>
        <w:t>Mahmood</w:t>
      </w:r>
      <w:r w:rsidRPr="00FC74FB">
        <w:rPr>
          <w:rFonts w:ascii="Book Antiqua" w:hAnsi="Book Antiqua"/>
          <w:szCs w:val="24"/>
        </w:rPr>
        <w:t xml:space="preserve"> on behalf of Mr </w:t>
      </w:r>
      <w:proofErr w:type="spellStart"/>
      <w:r w:rsidRPr="00FC74FB">
        <w:rPr>
          <w:rFonts w:ascii="Book Antiqua" w:hAnsi="Book Antiqua"/>
          <w:szCs w:val="24"/>
        </w:rPr>
        <w:t>Shezad</w:t>
      </w:r>
      <w:proofErr w:type="spellEnd"/>
      <w:r w:rsidRPr="00FC74FB">
        <w:rPr>
          <w:rFonts w:ascii="Book Antiqua" w:hAnsi="Book Antiqua"/>
          <w:szCs w:val="24"/>
        </w:rPr>
        <w:t xml:space="preserve"> </w:t>
      </w:r>
      <w:r w:rsidR="00DE1B6E" w:rsidRPr="00FC74FB">
        <w:rPr>
          <w:rFonts w:ascii="Book Antiqua" w:hAnsi="Book Antiqua"/>
          <w:szCs w:val="24"/>
        </w:rPr>
        <w:t xml:space="preserve">referred us to the decision of the Court of Appeal in </w:t>
      </w:r>
      <w:r w:rsidR="00DE1B6E" w:rsidRPr="00FC74FB">
        <w:rPr>
          <w:rFonts w:ascii="Book Antiqua" w:hAnsi="Book Antiqua"/>
          <w:i/>
          <w:szCs w:val="24"/>
        </w:rPr>
        <w:t>SC (Zimbabwe)</w:t>
      </w:r>
      <w:r w:rsidR="00DE1B6E" w:rsidRPr="00FC74FB">
        <w:rPr>
          <w:rFonts w:ascii="Book Antiqua" w:hAnsi="Book Antiqua"/>
          <w:szCs w:val="24"/>
        </w:rPr>
        <w:t xml:space="preserve"> [2018] EWCA </w:t>
      </w:r>
      <w:proofErr w:type="spellStart"/>
      <w:r w:rsidR="00DE1B6E" w:rsidRPr="00FC74FB">
        <w:rPr>
          <w:rFonts w:ascii="Book Antiqua" w:hAnsi="Book Antiqua"/>
          <w:szCs w:val="24"/>
        </w:rPr>
        <w:t>Civ</w:t>
      </w:r>
      <w:proofErr w:type="spellEnd"/>
      <w:r w:rsidR="00DE1B6E" w:rsidRPr="00FC74FB">
        <w:rPr>
          <w:rFonts w:ascii="Book Antiqua" w:hAnsi="Book Antiqua"/>
          <w:szCs w:val="24"/>
        </w:rPr>
        <w:t xml:space="preserve"> 929</w:t>
      </w:r>
      <w:r w:rsidR="005F6648" w:rsidRPr="00FC74FB">
        <w:rPr>
          <w:rFonts w:ascii="Book Antiqua" w:hAnsi="Book Antiqua"/>
          <w:szCs w:val="24"/>
        </w:rPr>
        <w:t xml:space="preserve"> and in particular to paragraph 19 of the judgment of </w:t>
      </w:r>
      <w:proofErr w:type="spellStart"/>
      <w:r w:rsidR="005F6648" w:rsidRPr="00FC74FB">
        <w:rPr>
          <w:rFonts w:ascii="Book Antiqua" w:hAnsi="Book Antiqua"/>
          <w:szCs w:val="24"/>
        </w:rPr>
        <w:t>McCoombe</w:t>
      </w:r>
      <w:proofErr w:type="spellEnd"/>
      <w:r w:rsidR="005F6648" w:rsidRPr="00FC74FB">
        <w:rPr>
          <w:rFonts w:ascii="Book Antiqua" w:hAnsi="Book Antiqua"/>
          <w:szCs w:val="24"/>
        </w:rPr>
        <w:t xml:space="preserve"> LJ.  He said that</w:t>
      </w:r>
      <w:r w:rsidR="00D951DA" w:rsidRPr="00FC74FB">
        <w:rPr>
          <w:rFonts w:ascii="Book Antiqua" w:hAnsi="Book Antiqua"/>
          <w:szCs w:val="24"/>
        </w:rPr>
        <w:t>,</w:t>
      </w:r>
      <w:r w:rsidR="005F6648" w:rsidRPr="00FC74FB">
        <w:rPr>
          <w:rFonts w:ascii="Book Antiqua" w:hAnsi="Book Antiqua"/>
          <w:szCs w:val="24"/>
        </w:rPr>
        <w:t xml:space="preserve"> in the light of that observation</w:t>
      </w:r>
      <w:r w:rsidR="00D951DA" w:rsidRPr="00FC74FB">
        <w:rPr>
          <w:rFonts w:ascii="Book Antiqua" w:hAnsi="Book Antiqua"/>
          <w:szCs w:val="24"/>
        </w:rPr>
        <w:t>,</w:t>
      </w:r>
      <w:r w:rsidR="005F6648" w:rsidRPr="00FC74FB">
        <w:rPr>
          <w:rFonts w:ascii="Book Antiqua" w:hAnsi="Book Antiqua"/>
          <w:szCs w:val="24"/>
        </w:rPr>
        <w:t xml:space="preserve"> the case had to be viewed through the prism provided by s117D (2) (c).</w:t>
      </w:r>
      <w:r w:rsidR="005F6648" w:rsidRPr="00FC74FB">
        <w:rPr>
          <w:rFonts w:ascii="Book Antiqua" w:hAnsi="Book Antiqua"/>
          <w:szCs w:val="24"/>
          <w:u w:val="single"/>
        </w:rPr>
        <w:t xml:space="preserve"> </w:t>
      </w:r>
    </w:p>
    <w:p w:rsidR="005F6648" w:rsidRPr="00FC74FB" w:rsidRDefault="005F6648" w:rsidP="00D23A20">
      <w:pPr>
        <w:pStyle w:val="ParaLevel1"/>
        <w:numPr>
          <w:ilvl w:val="0"/>
          <w:numId w:val="0"/>
        </w:numPr>
        <w:spacing w:line="240" w:lineRule="auto"/>
        <w:ind w:left="720" w:hanging="720"/>
        <w:rPr>
          <w:rFonts w:ascii="Book Antiqua" w:hAnsi="Book Antiqua"/>
          <w:szCs w:val="24"/>
          <w:u w:val="single"/>
        </w:rPr>
      </w:pPr>
      <w:r w:rsidRPr="00FC74FB">
        <w:rPr>
          <w:rFonts w:ascii="Book Antiqua" w:hAnsi="Book Antiqua"/>
          <w:szCs w:val="24"/>
          <w:u w:val="single"/>
        </w:rPr>
        <w:t>Discussion</w:t>
      </w:r>
    </w:p>
    <w:p w:rsidR="00022A15" w:rsidRPr="00FC74FB" w:rsidRDefault="00022A15" w:rsidP="00D23A20">
      <w:pPr>
        <w:pStyle w:val="ParaLevel1"/>
        <w:spacing w:line="240" w:lineRule="auto"/>
        <w:rPr>
          <w:rFonts w:ascii="Book Antiqua" w:hAnsi="Book Antiqua"/>
          <w:szCs w:val="24"/>
        </w:rPr>
      </w:pPr>
      <w:r w:rsidRPr="00FC74FB">
        <w:rPr>
          <w:rFonts w:ascii="Book Antiqua" w:hAnsi="Book Antiqua"/>
          <w:szCs w:val="24"/>
        </w:rPr>
        <w:lastRenderedPageBreak/>
        <w:t xml:space="preserve">In our judgment, there are grounds for some criticism of Judge Parkes determination.  First, in our </w:t>
      </w:r>
      <w:r w:rsidR="00B12D5E" w:rsidRPr="00FC74FB">
        <w:rPr>
          <w:rFonts w:ascii="Book Antiqua" w:hAnsi="Book Antiqua"/>
          <w:szCs w:val="24"/>
        </w:rPr>
        <w:t>view,</w:t>
      </w:r>
      <w:r w:rsidRPr="00FC74FB">
        <w:rPr>
          <w:rFonts w:ascii="Book Antiqua" w:hAnsi="Book Antiqua"/>
          <w:szCs w:val="24"/>
        </w:rPr>
        <w:t xml:space="preserve"> he was in error in paragraph 19 when he appeared to place significance on the fact that the distress and upset the victim suffered was “to be expected” and would be shared by many victims.  In our view, neither of those features would, of itself, serve to support a conclusion that the victim had not suffered serious harm.</w:t>
      </w:r>
    </w:p>
    <w:p w:rsidR="00022A15" w:rsidRPr="00FC74FB" w:rsidRDefault="00022A15" w:rsidP="00D23A20">
      <w:pPr>
        <w:pStyle w:val="ParaLevel1"/>
        <w:spacing w:line="240" w:lineRule="auto"/>
        <w:rPr>
          <w:rFonts w:ascii="Book Antiqua" w:hAnsi="Book Antiqua"/>
          <w:szCs w:val="24"/>
        </w:rPr>
      </w:pPr>
      <w:r w:rsidRPr="00FC74FB">
        <w:rPr>
          <w:rFonts w:ascii="Book Antiqua" w:hAnsi="Book Antiqua"/>
          <w:szCs w:val="24"/>
        </w:rPr>
        <w:t xml:space="preserve">Second, Judge Parkes suggested, also in paragraph 19, that the question was whether the offence had any </w:t>
      </w:r>
      <w:proofErr w:type="gramStart"/>
      <w:r w:rsidRPr="00FC74FB">
        <w:rPr>
          <w:rFonts w:ascii="Book Antiqua" w:hAnsi="Book Antiqua"/>
          <w:szCs w:val="24"/>
        </w:rPr>
        <w:t>long term</w:t>
      </w:r>
      <w:proofErr w:type="gramEnd"/>
      <w:r w:rsidRPr="00FC74FB">
        <w:rPr>
          <w:rFonts w:ascii="Book Antiqua" w:hAnsi="Book Antiqua"/>
          <w:szCs w:val="24"/>
        </w:rPr>
        <w:t xml:space="preserve"> consequences for the victim.  We disagree.  Long term consequences are one means</w:t>
      </w:r>
      <w:r w:rsidR="00B12D5E" w:rsidRPr="00FC74FB">
        <w:rPr>
          <w:rFonts w:ascii="Book Antiqua" w:hAnsi="Book Antiqua"/>
          <w:szCs w:val="24"/>
        </w:rPr>
        <w:t>, perhaps the usual means,</w:t>
      </w:r>
      <w:r w:rsidRPr="00FC74FB">
        <w:rPr>
          <w:rFonts w:ascii="Book Antiqua" w:hAnsi="Book Antiqua"/>
          <w:szCs w:val="24"/>
        </w:rPr>
        <w:t xml:space="preserve"> by which “serious harm” may be demonstrated.  But it is perfectly possible that the acute nature of the damage done might constitute severe harm, even if its effects were not long-lasting.</w:t>
      </w:r>
    </w:p>
    <w:p w:rsidR="00022A15" w:rsidRPr="00FC74FB" w:rsidRDefault="00022A15" w:rsidP="00D23A20">
      <w:pPr>
        <w:pStyle w:val="ParaLevel1"/>
        <w:spacing w:line="240" w:lineRule="auto"/>
        <w:rPr>
          <w:rFonts w:ascii="Book Antiqua" w:hAnsi="Book Antiqua"/>
          <w:szCs w:val="24"/>
        </w:rPr>
      </w:pPr>
      <w:r w:rsidRPr="00FC74FB">
        <w:rPr>
          <w:rFonts w:ascii="Book Antiqua" w:hAnsi="Book Antiqua"/>
          <w:szCs w:val="24"/>
        </w:rPr>
        <w:t xml:space="preserve">However, neither of these points go to the heart of Judge Parkes’ analysis.  What was crucial to his reasoning was the absence of positive evidence that the victim suffered </w:t>
      </w:r>
      <w:r w:rsidR="00B12D5E" w:rsidRPr="00FC74FB">
        <w:rPr>
          <w:rFonts w:ascii="Book Antiqua" w:hAnsi="Book Antiqua"/>
          <w:szCs w:val="24"/>
        </w:rPr>
        <w:t xml:space="preserve">any </w:t>
      </w:r>
      <w:r w:rsidRPr="00FC74FB">
        <w:rPr>
          <w:rFonts w:ascii="Book Antiqua" w:hAnsi="Book Antiqua"/>
          <w:szCs w:val="24"/>
        </w:rPr>
        <w:t xml:space="preserve">serious harm. </w:t>
      </w:r>
      <w:r w:rsidR="00B12D5E" w:rsidRPr="00FC74FB">
        <w:rPr>
          <w:rFonts w:ascii="Book Antiqua" w:hAnsi="Book Antiqua"/>
          <w:szCs w:val="24"/>
        </w:rPr>
        <w:t>Although such evidence is not a precondition for a finding of serious harm, it is right to observe that there</w:t>
      </w:r>
      <w:r w:rsidRPr="00FC74FB">
        <w:rPr>
          <w:rFonts w:ascii="Book Antiqua" w:hAnsi="Book Antiqua"/>
          <w:szCs w:val="24"/>
        </w:rPr>
        <w:t xml:space="preserve"> was no medical or psychiatric evidence to suppor</w:t>
      </w:r>
      <w:r w:rsidR="00B12D5E" w:rsidRPr="00FC74FB">
        <w:rPr>
          <w:rFonts w:ascii="Book Antiqua" w:hAnsi="Book Antiqua"/>
          <w:szCs w:val="24"/>
        </w:rPr>
        <w:t>t a conclusion the offence had</w:t>
      </w:r>
      <w:r w:rsidRPr="00FC74FB">
        <w:rPr>
          <w:rFonts w:ascii="Book Antiqua" w:hAnsi="Book Antiqua"/>
          <w:szCs w:val="24"/>
        </w:rPr>
        <w:t xml:space="preserve"> serious psychological consequence</w:t>
      </w:r>
      <w:r w:rsidR="00B12D5E" w:rsidRPr="00FC74FB">
        <w:rPr>
          <w:rFonts w:ascii="Book Antiqua" w:hAnsi="Book Antiqua"/>
          <w:szCs w:val="24"/>
        </w:rPr>
        <w:t>s</w:t>
      </w:r>
      <w:r w:rsidRPr="00FC74FB">
        <w:rPr>
          <w:rFonts w:ascii="Book Antiqua" w:hAnsi="Book Antiqua"/>
          <w:szCs w:val="24"/>
        </w:rPr>
        <w:t xml:space="preserve"> for the victim.  </w:t>
      </w:r>
    </w:p>
    <w:p w:rsidR="00B929BB" w:rsidRPr="00FC74FB" w:rsidRDefault="00B929BB" w:rsidP="00D23A20">
      <w:pPr>
        <w:pStyle w:val="ParaLevel1"/>
        <w:spacing w:line="240" w:lineRule="auto"/>
        <w:rPr>
          <w:rFonts w:ascii="Book Antiqua" w:hAnsi="Book Antiqua"/>
          <w:szCs w:val="24"/>
        </w:rPr>
      </w:pPr>
      <w:r w:rsidRPr="00FC74FB">
        <w:rPr>
          <w:rFonts w:ascii="Book Antiqua" w:hAnsi="Book Antiqua"/>
          <w:szCs w:val="24"/>
        </w:rPr>
        <w:t>I</w:t>
      </w:r>
      <w:r w:rsidR="00D57DDD" w:rsidRPr="00FC74FB">
        <w:rPr>
          <w:rFonts w:ascii="Book Antiqua" w:hAnsi="Book Antiqua"/>
          <w:szCs w:val="24"/>
        </w:rPr>
        <w:t>n the light of the way the respective cases were put, i</w:t>
      </w:r>
      <w:r w:rsidRPr="00FC74FB">
        <w:rPr>
          <w:rFonts w:ascii="Book Antiqua" w:hAnsi="Book Antiqua"/>
          <w:szCs w:val="24"/>
        </w:rPr>
        <w:t xml:space="preserve">t is useful to set out here paragraph 21 of the judgment of Laws LJ in </w:t>
      </w:r>
      <w:r w:rsidR="00D702CD">
        <w:rPr>
          <w:rFonts w:ascii="Book Antiqua" w:hAnsi="Book Antiqua"/>
          <w:i/>
          <w:szCs w:val="24"/>
        </w:rPr>
        <w:t>L</w:t>
      </w:r>
      <w:r w:rsidRPr="00FC74FB">
        <w:rPr>
          <w:rFonts w:ascii="Book Antiqua" w:hAnsi="Book Antiqua"/>
          <w:i/>
          <w:szCs w:val="24"/>
        </w:rPr>
        <w:t xml:space="preserve">T </w:t>
      </w:r>
      <w:r w:rsidRPr="00FC74FB">
        <w:rPr>
          <w:rFonts w:ascii="Book Antiqua" w:hAnsi="Book Antiqua"/>
          <w:szCs w:val="24"/>
        </w:rPr>
        <w:t>Kosov</w:t>
      </w:r>
      <w:r w:rsidR="00D702CD">
        <w:rPr>
          <w:rFonts w:ascii="Book Antiqua" w:hAnsi="Book Antiqua"/>
          <w:szCs w:val="24"/>
        </w:rPr>
        <w:t>o</w:t>
      </w:r>
      <w:r w:rsidRPr="00FC74FB">
        <w:rPr>
          <w:rFonts w:ascii="Book Antiqua" w:hAnsi="Book Antiqua"/>
          <w:szCs w:val="24"/>
        </w:rPr>
        <w:t xml:space="preserve"> and paragraph 19 of the judgment of </w:t>
      </w:r>
      <w:proofErr w:type="spellStart"/>
      <w:r w:rsidRPr="00FC74FB">
        <w:rPr>
          <w:rFonts w:ascii="Book Antiqua" w:hAnsi="Book Antiqua"/>
          <w:szCs w:val="24"/>
        </w:rPr>
        <w:t>McCombe</w:t>
      </w:r>
      <w:proofErr w:type="spellEnd"/>
      <w:r w:rsidRPr="00FC74FB">
        <w:rPr>
          <w:rFonts w:ascii="Book Antiqua" w:hAnsi="Book Antiqua"/>
          <w:szCs w:val="24"/>
        </w:rPr>
        <w:t xml:space="preserve"> LJ in SC</w:t>
      </w:r>
      <w:r w:rsidRPr="00FC74FB">
        <w:rPr>
          <w:rFonts w:ascii="Book Antiqua" w:hAnsi="Book Antiqua"/>
          <w:i/>
          <w:szCs w:val="24"/>
        </w:rPr>
        <w:t xml:space="preserve"> (Zimbabwe).  </w:t>
      </w:r>
      <w:r w:rsidRPr="00FC74FB">
        <w:rPr>
          <w:rFonts w:ascii="Book Antiqua" w:hAnsi="Book Antiqua"/>
          <w:szCs w:val="24"/>
        </w:rPr>
        <w:t xml:space="preserve">Laws LJ said </w:t>
      </w:r>
    </w:p>
    <w:p w:rsidR="00B929BB" w:rsidRPr="00BC59DF" w:rsidRDefault="00B929BB" w:rsidP="00BC59DF">
      <w:pPr>
        <w:pStyle w:val="ParaLevel1"/>
        <w:numPr>
          <w:ilvl w:val="0"/>
          <w:numId w:val="0"/>
        </w:numPr>
        <w:spacing w:before="120" w:after="120" w:line="240" w:lineRule="auto"/>
        <w:ind w:left="1440" w:right="720"/>
        <w:rPr>
          <w:rFonts w:ascii="Book Antiqua" w:hAnsi="Book Antiqua"/>
          <w:sz w:val="22"/>
          <w:szCs w:val="22"/>
        </w:rPr>
      </w:pPr>
      <w:r w:rsidRPr="00BC59DF">
        <w:rPr>
          <w:rFonts w:ascii="Book Antiqua" w:hAnsi="Book Antiqua"/>
          <w:sz w:val="22"/>
          <w:szCs w:val="22"/>
        </w:rPr>
        <w:t>“I</w:t>
      </w:r>
      <w:r w:rsidRPr="00BC59DF">
        <w:rPr>
          <w:rFonts w:ascii="Book Antiqua" w:hAnsi="Book Antiqua"/>
          <w:sz w:val="22"/>
          <w:szCs w:val="22"/>
          <w:shd w:val="clear" w:color="auto" w:fill="FFFFFF"/>
        </w:rPr>
        <w:t>f it were suggested that the tribunals were bound by the Secretary of State's opinion as to serious harm I would disagree. Such a conclusion would nullify the right of appeal and reduce it to a residual</w:t>
      </w:r>
      <w:r w:rsidRPr="00BC59DF">
        <w:rPr>
          <w:rStyle w:val="apple-converted-space"/>
          <w:rFonts w:ascii="Book Antiqua" w:hAnsi="Book Antiqua"/>
          <w:sz w:val="22"/>
          <w:szCs w:val="22"/>
          <w:shd w:val="clear" w:color="auto" w:fill="FFFFFF"/>
        </w:rPr>
        <w:t> </w:t>
      </w:r>
      <w:hyperlink r:id="rId9" w:history="1">
        <w:r w:rsidRPr="00BC59DF">
          <w:rPr>
            <w:rStyle w:val="Hyperlink"/>
            <w:rFonts w:ascii="Book Antiqua" w:hAnsi="Book Antiqua"/>
            <w:i/>
            <w:iCs/>
            <w:color w:val="auto"/>
            <w:sz w:val="22"/>
            <w:szCs w:val="22"/>
            <w:u w:val="none"/>
            <w:shd w:val="clear" w:color="auto" w:fill="FFFFFF"/>
          </w:rPr>
          <w:t>Wednesbury review [1948] 1 KB 223</w:t>
        </w:r>
      </w:hyperlink>
      <w:r w:rsidRPr="00BC59DF">
        <w:rPr>
          <w:rStyle w:val="apple-converted-space"/>
          <w:rFonts w:ascii="Book Antiqua" w:hAnsi="Book Antiqua"/>
          <w:sz w:val="22"/>
          <w:szCs w:val="22"/>
          <w:shd w:val="clear" w:color="auto" w:fill="FFFFFF"/>
        </w:rPr>
        <w:t> </w:t>
      </w:r>
      <w:r w:rsidRPr="00BC59DF">
        <w:rPr>
          <w:rFonts w:ascii="Book Antiqua" w:hAnsi="Book Antiqua"/>
          <w:sz w:val="22"/>
          <w:szCs w:val="22"/>
          <w:shd w:val="clear" w:color="auto" w:fill="FFFFFF"/>
        </w:rPr>
        <w:t>, whereas it is elementary that the right of appeal to the FTT is on the merits (see now</w:t>
      </w:r>
      <w:r w:rsidRPr="00BC59DF">
        <w:rPr>
          <w:rStyle w:val="apple-converted-space"/>
          <w:rFonts w:ascii="Book Antiqua" w:hAnsi="Book Antiqua"/>
          <w:sz w:val="22"/>
          <w:szCs w:val="22"/>
          <w:shd w:val="clear" w:color="auto" w:fill="FFFFFF"/>
        </w:rPr>
        <w:t> </w:t>
      </w:r>
      <w:hyperlink r:id="rId10" w:history="1">
        <w:r w:rsidRPr="00BC59DF">
          <w:rPr>
            <w:rStyle w:val="Hyperlink"/>
            <w:rFonts w:ascii="Book Antiqua" w:hAnsi="Book Antiqua"/>
            <w:color w:val="auto"/>
            <w:sz w:val="22"/>
            <w:szCs w:val="22"/>
            <w:u w:val="none"/>
            <w:shd w:val="clear" w:color="auto" w:fill="FFFFFF"/>
          </w:rPr>
          <w:t>section 84 of the Nationality, Immigration &amp; Asylum Act 2002</w:t>
        </w:r>
      </w:hyperlink>
      <w:r w:rsidRPr="00BC59DF">
        <w:rPr>
          <w:rStyle w:val="apple-converted-space"/>
          <w:rFonts w:ascii="Book Antiqua" w:hAnsi="Book Antiqua"/>
          <w:sz w:val="22"/>
          <w:szCs w:val="22"/>
          <w:shd w:val="clear" w:color="auto" w:fill="FFFFFF"/>
        </w:rPr>
        <w:t> </w:t>
      </w:r>
      <w:r w:rsidRPr="00BC59DF">
        <w:rPr>
          <w:rFonts w:ascii="Book Antiqua" w:hAnsi="Book Antiqua"/>
          <w:sz w:val="22"/>
          <w:szCs w:val="22"/>
          <w:shd w:val="clear" w:color="auto" w:fill="FFFFFF"/>
        </w:rPr>
        <w:t xml:space="preserve">, to which Mr </w:t>
      </w:r>
      <w:proofErr w:type="spellStart"/>
      <w:r w:rsidRPr="00BC59DF">
        <w:rPr>
          <w:rFonts w:ascii="Book Antiqua" w:hAnsi="Book Antiqua"/>
          <w:sz w:val="22"/>
          <w:szCs w:val="22"/>
          <w:shd w:val="clear" w:color="auto" w:fill="FFFFFF"/>
        </w:rPr>
        <w:t>Sedon</w:t>
      </w:r>
      <w:proofErr w:type="spellEnd"/>
      <w:r w:rsidRPr="00BC59DF">
        <w:rPr>
          <w:rFonts w:ascii="Book Antiqua" w:hAnsi="Book Antiqua"/>
          <w:sz w:val="22"/>
          <w:szCs w:val="22"/>
          <w:shd w:val="clear" w:color="auto" w:fill="FFFFFF"/>
        </w:rPr>
        <w:t xml:space="preserve"> took us this morning). That position is not shifted by the reference in paragraph 398(c) to the Secretary of State's view. ... But that is not to say that the reference to the Secretary of State's view is of no significance. The Secretary of State is the primary decision-maker. She has a constitutional responsibility to make judgments as to the force of the public interest in deportation cases. That circumstance has to be balanced against the appellants' right to a merits appeal. In my judgment, that is to be done by requiring the tribunals in a paragraph 398(c) case, while considering all the facts put before them, to accord significant weigh</w:t>
      </w:r>
      <w:r w:rsidR="00AF15C9" w:rsidRPr="00BC59DF">
        <w:rPr>
          <w:rFonts w:ascii="Book Antiqua" w:hAnsi="Book Antiqua"/>
          <w:sz w:val="22"/>
          <w:szCs w:val="22"/>
          <w:shd w:val="clear" w:color="auto" w:fill="FFFFFF"/>
        </w:rPr>
        <w:t>t</w:t>
      </w:r>
      <w:r w:rsidRPr="00BC59DF">
        <w:rPr>
          <w:rFonts w:ascii="Book Antiqua" w:hAnsi="Book Antiqua"/>
          <w:sz w:val="22"/>
          <w:szCs w:val="22"/>
          <w:shd w:val="clear" w:color="auto" w:fill="FFFFFF"/>
        </w:rPr>
        <w:t xml:space="preserve"> to the Secretary of State's view of “serious harm”. They are not to be bound by it, but they are to treat is an important relevant factor. I should add that I cannot see that this approach is in any way undermined by the new provisions in</w:t>
      </w:r>
      <w:r w:rsidRPr="00BC59DF">
        <w:rPr>
          <w:rStyle w:val="apple-converted-space"/>
          <w:rFonts w:ascii="Book Antiqua" w:hAnsi="Book Antiqua"/>
          <w:sz w:val="22"/>
          <w:szCs w:val="22"/>
          <w:shd w:val="clear" w:color="auto" w:fill="FFFFFF"/>
        </w:rPr>
        <w:t> </w:t>
      </w:r>
      <w:hyperlink r:id="rId11" w:history="1">
        <w:r w:rsidRPr="00BC59DF">
          <w:rPr>
            <w:rStyle w:val="Hyperlink"/>
            <w:rFonts w:ascii="Book Antiqua" w:hAnsi="Book Antiqua"/>
            <w:color w:val="auto"/>
            <w:sz w:val="22"/>
            <w:szCs w:val="22"/>
            <w:u w:val="none"/>
            <w:shd w:val="clear" w:color="auto" w:fill="FFFFFF"/>
          </w:rPr>
          <w:t>section 117C and D of the Nationality, Immigration &amp; Asylum Act 2002</w:t>
        </w:r>
      </w:hyperlink>
      <w:r w:rsidRPr="00BC59DF">
        <w:rPr>
          <w:rStyle w:val="apple-converted-space"/>
          <w:rFonts w:ascii="Book Antiqua" w:hAnsi="Book Antiqua"/>
          <w:sz w:val="22"/>
          <w:szCs w:val="22"/>
          <w:shd w:val="clear" w:color="auto" w:fill="FFFFFF"/>
        </w:rPr>
        <w:t> </w:t>
      </w:r>
      <w:r w:rsidRPr="00BC59DF">
        <w:rPr>
          <w:rFonts w:ascii="Book Antiqua" w:hAnsi="Book Antiqua"/>
          <w:sz w:val="22"/>
          <w:szCs w:val="22"/>
          <w:shd w:val="clear" w:color="auto" w:fill="FFFFFF"/>
        </w:rPr>
        <w:t xml:space="preserve">, to which Mr </w:t>
      </w:r>
      <w:proofErr w:type="spellStart"/>
      <w:r w:rsidRPr="00BC59DF">
        <w:rPr>
          <w:rFonts w:ascii="Book Antiqua" w:hAnsi="Book Antiqua"/>
          <w:sz w:val="22"/>
          <w:szCs w:val="22"/>
          <w:shd w:val="clear" w:color="auto" w:fill="FFFFFF"/>
        </w:rPr>
        <w:t>Sedon</w:t>
      </w:r>
      <w:proofErr w:type="spellEnd"/>
      <w:r w:rsidRPr="00BC59DF">
        <w:rPr>
          <w:rFonts w:ascii="Book Antiqua" w:hAnsi="Book Antiqua"/>
          <w:sz w:val="22"/>
          <w:szCs w:val="22"/>
          <w:shd w:val="clear" w:color="auto" w:fill="FFFFFF"/>
        </w:rPr>
        <w:t xml:space="preserve"> referred this morning.</w:t>
      </w:r>
      <w:r w:rsidRPr="00BC59DF">
        <w:rPr>
          <w:rFonts w:ascii="Book Antiqua" w:hAnsi="Book Antiqua"/>
          <w:sz w:val="22"/>
          <w:szCs w:val="22"/>
        </w:rPr>
        <w:t xml:space="preserve">” </w:t>
      </w:r>
    </w:p>
    <w:p w:rsidR="00B929BB" w:rsidRPr="00FC74FB" w:rsidRDefault="00B929BB" w:rsidP="00D23A20">
      <w:pPr>
        <w:pStyle w:val="ParaLevel1"/>
        <w:spacing w:line="240" w:lineRule="auto"/>
        <w:rPr>
          <w:rFonts w:ascii="Book Antiqua" w:hAnsi="Book Antiqua"/>
          <w:szCs w:val="24"/>
        </w:rPr>
      </w:pPr>
      <w:proofErr w:type="spellStart"/>
      <w:r w:rsidRPr="00FC74FB">
        <w:rPr>
          <w:rFonts w:ascii="Book Antiqua" w:hAnsi="Book Antiqua"/>
          <w:szCs w:val="24"/>
        </w:rPr>
        <w:t>McCombe</w:t>
      </w:r>
      <w:proofErr w:type="spellEnd"/>
      <w:r w:rsidRPr="00FC74FB">
        <w:rPr>
          <w:rFonts w:ascii="Book Antiqua" w:hAnsi="Book Antiqua"/>
          <w:szCs w:val="24"/>
        </w:rPr>
        <w:t xml:space="preserve"> LJ said </w:t>
      </w:r>
    </w:p>
    <w:p w:rsidR="00B929BB" w:rsidRPr="00BC59DF" w:rsidRDefault="00B929BB" w:rsidP="00BC59DF">
      <w:pPr>
        <w:pStyle w:val="ParaLevel1"/>
        <w:numPr>
          <w:ilvl w:val="0"/>
          <w:numId w:val="0"/>
        </w:numPr>
        <w:spacing w:before="120" w:after="120" w:line="240" w:lineRule="auto"/>
        <w:ind w:left="1440" w:right="720"/>
        <w:rPr>
          <w:rFonts w:ascii="Book Antiqua" w:hAnsi="Book Antiqua"/>
          <w:sz w:val="22"/>
          <w:szCs w:val="22"/>
        </w:rPr>
      </w:pPr>
      <w:r w:rsidRPr="00BC59DF">
        <w:rPr>
          <w:rFonts w:ascii="Book Antiqua" w:hAnsi="Book Antiqua"/>
          <w:sz w:val="22"/>
          <w:szCs w:val="22"/>
        </w:rPr>
        <w:t xml:space="preserve">“The LT case was concerned solely with the application of paragraph 398 (c) of the Rules. With respect to the short obiter dictum in the last sentence of the passage just quoted, I do not agree. It seems to me to be quite clear that once the matter comes before a tribunal or a court, what has to be applied is s.117D(c) of the Act. The words of that provision are the words which Parliament has chosen to enact, without more. The three elements of </w:t>
      </w:r>
      <w:r w:rsidRPr="00BC59DF">
        <w:rPr>
          <w:rFonts w:ascii="Book Antiqua" w:hAnsi="Book Antiqua"/>
          <w:sz w:val="22"/>
          <w:szCs w:val="22"/>
        </w:rPr>
        <w:lastRenderedPageBreak/>
        <w:t>that paragraph of the subsection are in clear terms and do not require any gloss to be put upon them by the reference to the Rules. The view of the Secretary of State or indeed of a judge in sentencing remarks may be of assistance to a tribunal or court in deciding whether an offence has caused serious harm or whether an offender is a persistent offender, but I do not see that the statutory words compel any particular weight to be given to the Secretary of State's view on either in the assessment...”</w:t>
      </w:r>
    </w:p>
    <w:p w:rsidR="00B929BB" w:rsidRPr="00FC74FB" w:rsidRDefault="00821695" w:rsidP="00D23A20">
      <w:pPr>
        <w:pStyle w:val="ParaLevel1"/>
        <w:spacing w:line="240" w:lineRule="auto"/>
        <w:rPr>
          <w:rFonts w:ascii="Book Antiqua" w:hAnsi="Book Antiqua"/>
          <w:szCs w:val="24"/>
        </w:rPr>
      </w:pPr>
      <w:r w:rsidRPr="00FC74FB">
        <w:rPr>
          <w:rFonts w:ascii="Book Antiqua" w:hAnsi="Book Antiqua"/>
          <w:szCs w:val="24"/>
        </w:rPr>
        <w:t xml:space="preserve">Neither </w:t>
      </w:r>
      <w:r w:rsidR="00B929BB" w:rsidRPr="00FC74FB">
        <w:rPr>
          <w:rFonts w:ascii="Book Antiqua" w:hAnsi="Book Antiqua"/>
          <w:szCs w:val="24"/>
        </w:rPr>
        <w:t xml:space="preserve">Mr Mahmood </w:t>
      </w:r>
      <w:r w:rsidRPr="00FC74FB">
        <w:rPr>
          <w:rFonts w:ascii="Book Antiqua" w:hAnsi="Book Antiqua"/>
          <w:szCs w:val="24"/>
        </w:rPr>
        <w:t xml:space="preserve">nor Mr </w:t>
      </w:r>
      <w:proofErr w:type="spellStart"/>
      <w:r w:rsidRPr="00FC74FB">
        <w:rPr>
          <w:rFonts w:ascii="Book Antiqua" w:hAnsi="Book Antiqua"/>
          <w:szCs w:val="24"/>
        </w:rPr>
        <w:t>Kotas</w:t>
      </w:r>
      <w:proofErr w:type="spellEnd"/>
      <w:r w:rsidRPr="00FC74FB">
        <w:rPr>
          <w:rFonts w:ascii="Book Antiqua" w:hAnsi="Book Antiqua"/>
          <w:szCs w:val="24"/>
        </w:rPr>
        <w:t xml:space="preserve"> argued that those paragraphs of the leading judgments in the Court of Appeal</w:t>
      </w:r>
      <w:r w:rsidR="00B929BB" w:rsidRPr="00FC74FB">
        <w:rPr>
          <w:rFonts w:ascii="Book Antiqua" w:hAnsi="Book Antiqua"/>
          <w:szCs w:val="24"/>
        </w:rPr>
        <w:t xml:space="preserve"> </w:t>
      </w:r>
      <w:r w:rsidRPr="00FC74FB">
        <w:rPr>
          <w:rFonts w:ascii="Book Antiqua" w:hAnsi="Book Antiqua"/>
          <w:szCs w:val="24"/>
        </w:rPr>
        <w:t>constituted the ratio of the decision</w:t>
      </w:r>
      <w:r w:rsidR="00B929BB" w:rsidRPr="00FC74FB">
        <w:rPr>
          <w:rFonts w:ascii="Book Antiqua" w:hAnsi="Book Antiqua"/>
          <w:szCs w:val="24"/>
        </w:rPr>
        <w:t xml:space="preserve">.  Whether or not that is so, it seems to us, with respect, that </w:t>
      </w:r>
      <w:proofErr w:type="spellStart"/>
      <w:r w:rsidR="00B929BB" w:rsidRPr="00FC74FB">
        <w:rPr>
          <w:rFonts w:ascii="Book Antiqua" w:hAnsi="Book Antiqua"/>
          <w:szCs w:val="24"/>
        </w:rPr>
        <w:t>McCombe</w:t>
      </w:r>
      <w:proofErr w:type="spellEnd"/>
      <w:r w:rsidR="00B929BB" w:rsidRPr="00FC74FB">
        <w:rPr>
          <w:rFonts w:ascii="Book Antiqua" w:hAnsi="Book Antiqua"/>
          <w:szCs w:val="24"/>
        </w:rPr>
        <w:t xml:space="preserve"> LJ was correct.  The determining question for the Tribunal</w:t>
      </w:r>
      <w:r w:rsidR="002E7271" w:rsidRPr="00FC74FB">
        <w:rPr>
          <w:rFonts w:ascii="Book Antiqua" w:hAnsi="Book Antiqua"/>
          <w:szCs w:val="24"/>
        </w:rPr>
        <w:t>, since the 2002 Act was amended to introduce s117D(2)(c)</w:t>
      </w:r>
      <w:r w:rsidR="00D951DA" w:rsidRPr="00FC74FB">
        <w:rPr>
          <w:rFonts w:ascii="Book Antiqua" w:hAnsi="Book Antiqua"/>
          <w:szCs w:val="24"/>
        </w:rPr>
        <w:t xml:space="preserve"> is whether the appellant has been convicted of an offence that has caused serious harm. </w:t>
      </w:r>
      <w:r w:rsidRPr="00FC74FB">
        <w:rPr>
          <w:rFonts w:ascii="Book Antiqua" w:hAnsi="Book Antiqua"/>
          <w:szCs w:val="24"/>
        </w:rPr>
        <w:t>On an appeal that</w:t>
      </w:r>
      <w:r w:rsidR="00D951DA" w:rsidRPr="00FC74FB">
        <w:rPr>
          <w:rFonts w:ascii="Book Antiqua" w:hAnsi="Book Antiqua"/>
          <w:szCs w:val="24"/>
        </w:rPr>
        <w:t xml:space="preserve"> </w:t>
      </w:r>
      <w:r w:rsidRPr="00FC74FB">
        <w:rPr>
          <w:rFonts w:ascii="Book Antiqua" w:hAnsi="Book Antiqua"/>
          <w:szCs w:val="24"/>
        </w:rPr>
        <w:t xml:space="preserve">must be the </w:t>
      </w:r>
      <w:r w:rsidR="00D951DA" w:rsidRPr="00FC74FB">
        <w:rPr>
          <w:rFonts w:ascii="Book Antiqua" w:hAnsi="Book Antiqua"/>
          <w:szCs w:val="24"/>
        </w:rPr>
        <w:t>question for the Tribunal. (We note in passing that t</w:t>
      </w:r>
      <w:r w:rsidR="002E7271" w:rsidRPr="00FC74FB">
        <w:rPr>
          <w:rFonts w:ascii="Book Antiqua" w:hAnsi="Book Antiqua"/>
          <w:szCs w:val="24"/>
        </w:rPr>
        <w:t xml:space="preserve">he judgment appears to contain a typographical error; there is no s.117D(c); </w:t>
      </w:r>
      <w:proofErr w:type="spellStart"/>
      <w:r w:rsidR="002E7271" w:rsidRPr="00FC74FB">
        <w:rPr>
          <w:rFonts w:ascii="Book Antiqua" w:hAnsi="Book Antiqua"/>
          <w:szCs w:val="24"/>
        </w:rPr>
        <w:t>McCombe</w:t>
      </w:r>
      <w:proofErr w:type="spellEnd"/>
      <w:r w:rsidR="002E7271" w:rsidRPr="00FC74FB">
        <w:rPr>
          <w:rFonts w:ascii="Book Antiqua" w:hAnsi="Book Antiqua"/>
          <w:szCs w:val="24"/>
        </w:rPr>
        <w:t xml:space="preserve"> LJ must have been referring to s117D(2)(c)) </w:t>
      </w:r>
    </w:p>
    <w:p w:rsidR="002E7271" w:rsidRPr="00FC74FB" w:rsidRDefault="002E7271" w:rsidP="00D23A20">
      <w:pPr>
        <w:pStyle w:val="ParaLevel1"/>
        <w:spacing w:line="240" w:lineRule="auto"/>
        <w:rPr>
          <w:rFonts w:ascii="Book Antiqua" w:hAnsi="Book Antiqua"/>
          <w:szCs w:val="24"/>
        </w:rPr>
      </w:pPr>
      <w:r w:rsidRPr="00FC74FB">
        <w:rPr>
          <w:rFonts w:ascii="Book Antiqua" w:hAnsi="Book Antiqua"/>
          <w:szCs w:val="24"/>
        </w:rPr>
        <w:t xml:space="preserve">It is to be noted that the Court of Appeal in </w:t>
      </w:r>
      <w:r w:rsidRPr="00FC74FB">
        <w:rPr>
          <w:rFonts w:ascii="Book Antiqua" w:hAnsi="Book Antiqua"/>
          <w:i/>
          <w:szCs w:val="24"/>
        </w:rPr>
        <w:t>SC Zimbabwe</w:t>
      </w:r>
      <w:r w:rsidRPr="00FC74FB">
        <w:rPr>
          <w:rFonts w:ascii="Book Antiqua" w:hAnsi="Book Antiqua"/>
          <w:szCs w:val="24"/>
        </w:rPr>
        <w:t xml:space="preserve"> di</w:t>
      </w:r>
      <w:r w:rsidR="00D57DDD" w:rsidRPr="00FC74FB">
        <w:rPr>
          <w:rFonts w:ascii="Book Antiqua" w:hAnsi="Book Antiqua"/>
          <w:szCs w:val="24"/>
        </w:rPr>
        <w:t>d not expressly di</w:t>
      </w:r>
      <w:r w:rsidRPr="00FC74FB">
        <w:rPr>
          <w:rFonts w:ascii="Book Antiqua" w:hAnsi="Book Antiqua"/>
          <w:szCs w:val="24"/>
        </w:rPr>
        <w:t xml:space="preserve">sagree with </w:t>
      </w:r>
      <w:r w:rsidR="00D57DDD" w:rsidRPr="00FC74FB">
        <w:rPr>
          <w:rFonts w:ascii="Book Antiqua" w:hAnsi="Book Antiqua"/>
          <w:szCs w:val="24"/>
        </w:rPr>
        <w:t>any</w:t>
      </w:r>
      <w:r w:rsidRPr="00FC74FB">
        <w:rPr>
          <w:rFonts w:ascii="Book Antiqua" w:hAnsi="Book Antiqua"/>
          <w:szCs w:val="24"/>
        </w:rPr>
        <w:t xml:space="preserve"> other part of the </w:t>
      </w:r>
      <w:r w:rsidR="00D57DDD" w:rsidRPr="00FC74FB">
        <w:rPr>
          <w:rFonts w:ascii="Book Antiqua" w:hAnsi="Book Antiqua"/>
          <w:szCs w:val="24"/>
        </w:rPr>
        <w:t xml:space="preserve">judgment of </w:t>
      </w:r>
      <w:r w:rsidRPr="00FC74FB">
        <w:rPr>
          <w:rFonts w:ascii="Book Antiqua" w:hAnsi="Book Antiqua"/>
          <w:szCs w:val="24"/>
        </w:rPr>
        <w:t>Laws LJ’s</w:t>
      </w:r>
      <w:r w:rsidR="00821695" w:rsidRPr="00FC74FB">
        <w:rPr>
          <w:rFonts w:ascii="Book Antiqua" w:hAnsi="Book Antiqua"/>
          <w:szCs w:val="24"/>
        </w:rPr>
        <w:t xml:space="preserve"> in </w:t>
      </w:r>
      <w:r w:rsidR="00D702CD">
        <w:rPr>
          <w:rFonts w:ascii="Book Antiqua" w:hAnsi="Book Antiqua"/>
          <w:i/>
          <w:szCs w:val="24"/>
        </w:rPr>
        <w:t>L</w:t>
      </w:r>
      <w:r w:rsidR="00D702CD" w:rsidRPr="00FC74FB">
        <w:rPr>
          <w:rFonts w:ascii="Book Antiqua" w:hAnsi="Book Antiqua"/>
          <w:i/>
          <w:szCs w:val="24"/>
        </w:rPr>
        <w:t xml:space="preserve">T </w:t>
      </w:r>
      <w:r w:rsidR="00821695" w:rsidRPr="00FC74FB">
        <w:rPr>
          <w:rFonts w:ascii="Book Antiqua" w:hAnsi="Book Antiqua"/>
          <w:i/>
          <w:szCs w:val="24"/>
        </w:rPr>
        <w:t>Kosovo</w:t>
      </w:r>
      <w:r w:rsidRPr="00FC74FB">
        <w:rPr>
          <w:rFonts w:ascii="Book Antiqua" w:hAnsi="Book Antiqua"/>
          <w:szCs w:val="24"/>
        </w:rPr>
        <w:t xml:space="preserve">.  </w:t>
      </w:r>
      <w:r w:rsidR="00D57DDD" w:rsidRPr="00FC74FB">
        <w:rPr>
          <w:rFonts w:ascii="Book Antiqua" w:hAnsi="Book Antiqua"/>
          <w:szCs w:val="24"/>
        </w:rPr>
        <w:t>At</w:t>
      </w:r>
      <w:r w:rsidR="00B929BB" w:rsidRPr="00FC74FB">
        <w:rPr>
          <w:rFonts w:ascii="Book Antiqua" w:hAnsi="Book Antiqua"/>
          <w:szCs w:val="24"/>
        </w:rPr>
        <w:t xml:space="preserve"> paragraph 24 </w:t>
      </w:r>
      <w:r w:rsidRPr="00FC74FB">
        <w:rPr>
          <w:rFonts w:ascii="Book Antiqua" w:hAnsi="Book Antiqua"/>
          <w:szCs w:val="24"/>
        </w:rPr>
        <w:t>of his judgment Laws LJ</w:t>
      </w:r>
      <w:r w:rsidR="00B929BB" w:rsidRPr="00FC74FB">
        <w:rPr>
          <w:rFonts w:ascii="Book Antiqua" w:hAnsi="Book Antiqua"/>
          <w:szCs w:val="24"/>
        </w:rPr>
        <w:t xml:space="preserve"> rejected a submission tha</w:t>
      </w:r>
      <w:r w:rsidRPr="00FC74FB">
        <w:rPr>
          <w:rFonts w:ascii="Book Antiqua" w:hAnsi="Book Antiqua"/>
          <w:szCs w:val="24"/>
        </w:rPr>
        <w:t>t</w:t>
      </w:r>
      <w:r w:rsidR="00B929BB" w:rsidRPr="00FC74FB">
        <w:rPr>
          <w:rFonts w:ascii="Book Antiqua" w:hAnsi="Book Antiqua"/>
          <w:szCs w:val="24"/>
        </w:rPr>
        <w:t xml:space="preserve"> the Secretary of State would have to provide “narrative reasons” for concluding </w:t>
      </w:r>
      <w:r w:rsidRPr="00FC74FB">
        <w:rPr>
          <w:rFonts w:ascii="Book Antiqua" w:hAnsi="Book Antiqua"/>
          <w:szCs w:val="24"/>
        </w:rPr>
        <w:t xml:space="preserve">that </w:t>
      </w:r>
      <w:r w:rsidR="00B929BB" w:rsidRPr="00FC74FB">
        <w:rPr>
          <w:rFonts w:ascii="Book Antiqua" w:hAnsi="Book Antiqua"/>
          <w:szCs w:val="24"/>
        </w:rPr>
        <w:t xml:space="preserve">an offence caused serious harm.  </w:t>
      </w:r>
      <w:r w:rsidRPr="00FC74FB">
        <w:rPr>
          <w:rFonts w:ascii="Book Antiqua" w:hAnsi="Book Antiqua"/>
          <w:szCs w:val="24"/>
        </w:rPr>
        <w:t>He said:</w:t>
      </w:r>
    </w:p>
    <w:p w:rsidR="00B929BB" w:rsidRPr="00FA5268" w:rsidRDefault="00BC59DF" w:rsidP="00BC59DF">
      <w:pPr>
        <w:pStyle w:val="ParaLevel1"/>
        <w:numPr>
          <w:ilvl w:val="0"/>
          <w:numId w:val="0"/>
        </w:numPr>
        <w:spacing w:before="120" w:after="120" w:line="240" w:lineRule="auto"/>
        <w:ind w:left="1440" w:right="720"/>
        <w:rPr>
          <w:rFonts w:ascii="Book Antiqua" w:hAnsi="Book Antiqua"/>
          <w:sz w:val="22"/>
          <w:szCs w:val="22"/>
        </w:rPr>
      </w:pPr>
      <w:r>
        <w:rPr>
          <w:rFonts w:ascii="Book Antiqua" w:hAnsi="Book Antiqua"/>
          <w:sz w:val="22"/>
          <w:szCs w:val="22"/>
        </w:rPr>
        <w:t>“</w:t>
      </w:r>
      <w:r w:rsidR="00B929BB" w:rsidRPr="00FA5268">
        <w:rPr>
          <w:rFonts w:ascii="Book Antiqua" w:hAnsi="Book Antiqua"/>
          <w:sz w:val="22"/>
          <w:szCs w:val="22"/>
        </w:rPr>
        <w:t>It is a question of social and moral judgment.  The Secretary of State with her constitutional responsibilities is entitled to take the overall view she did and express it as she has.</w:t>
      </w:r>
      <w:r>
        <w:rPr>
          <w:rFonts w:ascii="Book Antiqua" w:hAnsi="Book Antiqua"/>
          <w:sz w:val="22"/>
          <w:szCs w:val="22"/>
        </w:rPr>
        <w:t>”</w:t>
      </w:r>
      <w:r w:rsidR="00B929BB" w:rsidRPr="00FA5268">
        <w:rPr>
          <w:rFonts w:ascii="Book Antiqua" w:hAnsi="Book Antiqua"/>
          <w:sz w:val="22"/>
          <w:szCs w:val="22"/>
        </w:rPr>
        <w:t xml:space="preserve">  </w:t>
      </w:r>
    </w:p>
    <w:p w:rsidR="00D86EB3" w:rsidRPr="00FC74FB" w:rsidRDefault="00D57DDD" w:rsidP="00D23A20">
      <w:pPr>
        <w:pStyle w:val="ParaLevel1"/>
        <w:spacing w:line="240" w:lineRule="auto"/>
        <w:rPr>
          <w:rFonts w:ascii="Book Antiqua" w:hAnsi="Book Antiqua"/>
          <w:szCs w:val="24"/>
        </w:rPr>
      </w:pPr>
      <w:r w:rsidRPr="00FC74FB">
        <w:rPr>
          <w:rFonts w:ascii="Book Antiqua" w:hAnsi="Book Antiqua"/>
          <w:szCs w:val="24"/>
        </w:rPr>
        <w:t xml:space="preserve">In our view, </w:t>
      </w:r>
      <w:r w:rsidR="00D951DA" w:rsidRPr="00FC74FB">
        <w:rPr>
          <w:rFonts w:ascii="Book Antiqua" w:hAnsi="Book Antiqua"/>
          <w:szCs w:val="24"/>
        </w:rPr>
        <w:t xml:space="preserve">however, </w:t>
      </w:r>
      <w:r w:rsidRPr="00FC74FB">
        <w:rPr>
          <w:rFonts w:ascii="Book Antiqua" w:hAnsi="Book Antiqua"/>
          <w:szCs w:val="24"/>
        </w:rPr>
        <w:t xml:space="preserve">it is implicit in </w:t>
      </w:r>
      <w:proofErr w:type="spellStart"/>
      <w:r w:rsidR="002E7271" w:rsidRPr="00FC74FB">
        <w:rPr>
          <w:rFonts w:ascii="Book Antiqua" w:hAnsi="Book Antiqua"/>
          <w:szCs w:val="24"/>
        </w:rPr>
        <w:t>McCombe</w:t>
      </w:r>
      <w:proofErr w:type="spellEnd"/>
      <w:r w:rsidR="002E7271" w:rsidRPr="00FC74FB">
        <w:rPr>
          <w:rFonts w:ascii="Book Antiqua" w:hAnsi="Book Antiqua"/>
          <w:szCs w:val="24"/>
        </w:rPr>
        <w:t xml:space="preserve"> LJ</w:t>
      </w:r>
      <w:r w:rsidRPr="00FC74FB">
        <w:rPr>
          <w:rFonts w:ascii="Book Antiqua" w:hAnsi="Book Antiqua"/>
          <w:szCs w:val="24"/>
        </w:rPr>
        <w:t xml:space="preserve">’s judgment that </w:t>
      </w:r>
      <w:r w:rsidR="00B12D5E" w:rsidRPr="00FC74FB">
        <w:rPr>
          <w:rFonts w:ascii="Book Antiqua" w:hAnsi="Book Antiqua"/>
          <w:szCs w:val="24"/>
        </w:rPr>
        <w:t>the absence of reasoning from the Secretary of State</w:t>
      </w:r>
      <w:r w:rsidRPr="00FC74FB">
        <w:rPr>
          <w:rFonts w:ascii="Book Antiqua" w:hAnsi="Book Antiqua"/>
          <w:szCs w:val="24"/>
        </w:rPr>
        <w:t xml:space="preserve"> </w:t>
      </w:r>
      <w:r w:rsidR="00B12D5E" w:rsidRPr="00FC74FB">
        <w:rPr>
          <w:rFonts w:ascii="Book Antiqua" w:hAnsi="Book Antiqua"/>
          <w:szCs w:val="24"/>
        </w:rPr>
        <w:t xml:space="preserve">may </w:t>
      </w:r>
      <w:r w:rsidR="00821695" w:rsidRPr="00FC74FB">
        <w:rPr>
          <w:rFonts w:ascii="Book Antiqua" w:hAnsi="Book Antiqua"/>
          <w:szCs w:val="24"/>
        </w:rPr>
        <w:t xml:space="preserve">well </w:t>
      </w:r>
      <w:r w:rsidR="00B12D5E" w:rsidRPr="00FC74FB">
        <w:rPr>
          <w:rFonts w:ascii="Book Antiqua" w:hAnsi="Book Antiqua"/>
          <w:szCs w:val="24"/>
        </w:rPr>
        <w:t xml:space="preserve">be </w:t>
      </w:r>
      <w:r w:rsidR="00821695" w:rsidRPr="00FC74FB">
        <w:rPr>
          <w:rFonts w:ascii="Book Antiqua" w:hAnsi="Book Antiqua"/>
          <w:szCs w:val="24"/>
        </w:rPr>
        <w:t xml:space="preserve">highly </w:t>
      </w:r>
      <w:r w:rsidR="00B12D5E" w:rsidRPr="00FC74FB">
        <w:rPr>
          <w:rFonts w:ascii="Book Antiqua" w:hAnsi="Book Antiqua"/>
          <w:szCs w:val="24"/>
        </w:rPr>
        <w:t>significant</w:t>
      </w:r>
      <w:r w:rsidRPr="00FC74FB">
        <w:rPr>
          <w:rFonts w:ascii="Book Antiqua" w:hAnsi="Book Antiqua"/>
          <w:szCs w:val="24"/>
        </w:rPr>
        <w:t xml:space="preserve"> </w:t>
      </w:r>
      <w:r w:rsidR="00B12D5E" w:rsidRPr="00FC74FB">
        <w:rPr>
          <w:rFonts w:ascii="Book Antiqua" w:hAnsi="Book Antiqua"/>
          <w:szCs w:val="24"/>
        </w:rPr>
        <w:t xml:space="preserve">when </w:t>
      </w:r>
      <w:r w:rsidRPr="00FC74FB">
        <w:rPr>
          <w:rFonts w:ascii="Book Antiqua" w:hAnsi="Book Antiqua"/>
          <w:szCs w:val="24"/>
        </w:rPr>
        <w:t>s117D(2)(c)</w:t>
      </w:r>
      <w:r w:rsidR="00B12D5E" w:rsidRPr="00FC74FB">
        <w:rPr>
          <w:rFonts w:ascii="Book Antiqua" w:hAnsi="Book Antiqua"/>
          <w:szCs w:val="24"/>
        </w:rPr>
        <w:t xml:space="preserve"> is considered</w:t>
      </w:r>
      <w:r w:rsidRPr="00FC74FB">
        <w:rPr>
          <w:rFonts w:ascii="Book Antiqua" w:hAnsi="Book Antiqua"/>
          <w:szCs w:val="24"/>
        </w:rPr>
        <w:t>.  He</w:t>
      </w:r>
      <w:r w:rsidR="002E7271" w:rsidRPr="00FC74FB">
        <w:rPr>
          <w:rFonts w:ascii="Book Antiqua" w:hAnsi="Book Antiqua"/>
          <w:szCs w:val="24"/>
        </w:rPr>
        <w:t xml:space="preserve"> went on in </w:t>
      </w:r>
      <w:r w:rsidR="002E7271" w:rsidRPr="00FC74FB">
        <w:rPr>
          <w:rFonts w:ascii="Book Antiqua" w:hAnsi="Book Antiqua"/>
          <w:i/>
          <w:szCs w:val="24"/>
        </w:rPr>
        <w:t xml:space="preserve">SC Zimbabwe </w:t>
      </w:r>
      <w:r w:rsidR="002E7271" w:rsidRPr="00FC74FB">
        <w:rPr>
          <w:rFonts w:ascii="Book Antiqua" w:hAnsi="Book Antiqua"/>
          <w:szCs w:val="24"/>
        </w:rPr>
        <w:t xml:space="preserve">to </w:t>
      </w:r>
      <w:r w:rsidRPr="00FC74FB">
        <w:rPr>
          <w:rFonts w:ascii="Book Antiqua" w:hAnsi="Book Antiqua"/>
          <w:szCs w:val="24"/>
        </w:rPr>
        <w:t xml:space="preserve">say </w:t>
      </w:r>
      <w:r w:rsidR="00D702CD">
        <w:rPr>
          <w:rFonts w:ascii="Book Antiqua" w:hAnsi="Book Antiqua"/>
          <w:szCs w:val="24"/>
        </w:rPr>
        <w:t xml:space="preserve">at paragraph 19 </w:t>
      </w:r>
      <w:r w:rsidRPr="00FC74FB">
        <w:rPr>
          <w:rFonts w:ascii="Book Antiqua" w:hAnsi="Book Antiqua"/>
          <w:szCs w:val="24"/>
        </w:rPr>
        <w:t xml:space="preserve">that </w:t>
      </w:r>
    </w:p>
    <w:p w:rsidR="00D57DDD" w:rsidRPr="00FA5268" w:rsidRDefault="00BC59DF" w:rsidP="00BC59DF">
      <w:pPr>
        <w:pStyle w:val="ParaLevel1"/>
        <w:numPr>
          <w:ilvl w:val="0"/>
          <w:numId w:val="0"/>
        </w:numPr>
        <w:spacing w:before="120" w:after="120" w:line="240" w:lineRule="auto"/>
        <w:ind w:left="1440" w:right="720"/>
        <w:rPr>
          <w:rFonts w:ascii="Book Antiqua" w:hAnsi="Book Antiqua"/>
          <w:sz w:val="22"/>
          <w:szCs w:val="22"/>
        </w:rPr>
      </w:pPr>
      <w:r w:rsidRPr="00BC59DF">
        <w:rPr>
          <w:rFonts w:ascii="Book Antiqua" w:hAnsi="Book Antiqua"/>
          <w:sz w:val="22"/>
          <w:szCs w:val="22"/>
        </w:rPr>
        <w:t>“</w:t>
      </w:r>
      <w:r w:rsidR="00D57DDD" w:rsidRPr="00BC59DF">
        <w:rPr>
          <w:rFonts w:ascii="Book Antiqua" w:hAnsi="Book Antiqua"/>
          <w:sz w:val="22"/>
          <w:szCs w:val="22"/>
        </w:rPr>
        <w:t>The view of the Secretary of State or indeed of a judge in sentencing remarks may be of assistance to a tribunal or court in deciding whether an offence has caused serious harm or whether an offender is a persistent offender, but I do not see that the statutory words compel any particular weight to be given to the Secretary of State's view on either in the assessment.</w:t>
      </w:r>
      <w:r w:rsidRPr="00BC59DF">
        <w:rPr>
          <w:rFonts w:ascii="Book Antiqua" w:hAnsi="Book Antiqua"/>
          <w:sz w:val="22"/>
          <w:szCs w:val="22"/>
        </w:rPr>
        <w:t>”</w:t>
      </w:r>
    </w:p>
    <w:p w:rsidR="004E5C9B" w:rsidRPr="00FC74FB" w:rsidRDefault="004E5C9B" w:rsidP="00D23A20">
      <w:pPr>
        <w:pStyle w:val="ParaLevel1"/>
        <w:spacing w:line="240" w:lineRule="auto"/>
        <w:rPr>
          <w:rFonts w:ascii="Book Antiqua" w:hAnsi="Book Antiqua"/>
          <w:szCs w:val="24"/>
        </w:rPr>
      </w:pPr>
      <w:r w:rsidRPr="00FC74FB">
        <w:rPr>
          <w:rFonts w:ascii="Book Antiqua" w:hAnsi="Book Antiqua"/>
          <w:szCs w:val="24"/>
        </w:rPr>
        <w:t xml:space="preserve">It follows that whilst acknowledging the Secretary of State’s views, the First Tier Tribunal judge has to come </w:t>
      </w:r>
      <w:r w:rsidR="00022A15" w:rsidRPr="00FC74FB">
        <w:rPr>
          <w:rFonts w:ascii="Book Antiqua" w:hAnsi="Book Antiqua"/>
          <w:szCs w:val="24"/>
        </w:rPr>
        <w:t>to</w:t>
      </w:r>
      <w:r w:rsidRPr="00FC74FB">
        <w:rPr>
          <w:rFonts w:ascii="Book Antiqua" w:hAnsi="Book Antiqua"/>
          <w:szCs w:val="24"/>
        </w:rPr>
        <w:t xml:space="preserve"> his or her own conclusion on whether the statutory test is satisfied.</w:t>
      </w:r>
      <w:r w:rsidR="00022A15" w:rsidRPr="00FC74FB">
        <w:rPr>
          <w:rFonts w:ascii="Book Antiqua" w:hAnsi="Book Antiqua"/>
          <w:szCs w:val="24"/>
        </w:rPr>
        <w:t xml:space="preserve"> The fact that the Secretary of State, exercising the social and moral judgement to which the Court of Appeal referred in </w:t>
      </w:r>
      <w:r w:rsidR="00022A15" w:rsidRPr="00FC74FB">
        <w:rPr>
          <w:rFonts w:ascii="Book Antiqua" w:hAnsi="Book Antiqua"/>
          <w:i/>
          <w:szCs w:val="24"/>
        </w:rPr>
        <w:t>LT Kosov</w:t>
      </w:r>
      <w:r w:rsidR="00D702CD">
        <w:rPr>
          <w:rFonts w:ascii="Book Antiqua" w:hAnsi="Book Antiqua"/>
          <w:i/>
          <w:szCs w:val="24"/>
        </w:rPr>
        <w:t>o</w:t>
      </w:r>
      <w:r w:rsidR="00022A15" w:rsidRPr="00FC74FB">
        <w:rPr>
          <w:rFonts w:ascii="Book Antiqua" w:hAnsi="Book Antiqua"/>
          <w:i/>
          <w:szCs w:val="24"/>
        </w:rPr>
        <w:t>,</w:t>
      </w:r>
      <w:r w:rsidR="00022A15" w:rsidRPr="00FC74FB">
        <w:rPr>
          <w:rFonts w:ascii="Book Antiqua" w:hAnsi="Book Antiqua"/>
          <w:szCs w:val="24"/>
        </w:rPr>
        <w:t xml:space="preserve"> concluded that this was a case of serious harm may be of some assistance to the tribunal.  But we agree with Judge Parkes that the weight to be attached to the Secretary of State’s views must reflect not only her constitutional position but also the </w:t>
      </w:r>
      <w:r w:rsidR="00821695" w:rsidRPr="00FC74FB">
        <w:rPr>
          <w:rFonts w:ascii="Book Antiqua" w:hAnsi="Book Antiqua"/>
          <w:szCs w:val="24"/>
        </w:rPr>
        <w:t xml:space="preserve">quality of the </w:t>
      </w:r>
      <w:r w:rsidR="00022A15" w:rsidRPr="00FC74FB">
        <w:rPr>
          <w:rFonts w:ascii="Book Antiqua" w:hAnsi="Book Antiqua"/>
          <w:szCs w:val="24"/>
        </w:rPr>
        <w:t xml:space="preserve">reasoning that led to that conclusion.  Here there was, in truth, no </w:t>
      </w:r>
      <w:r w:rsidR="00B12D5E" w:rsidRPr="00FC74FB">
        <w:rPr>
          <w:rFonts w:ascii="Book Antiqua" w:hAnsi="Book Antiqua"/>
          <w:szCs w:val="24"/>
        </w:rPr>
        <w:t>explanation for her views</w:t>
      </w:r>
      <w:r w:rsidR="00022A15" w:rsidRPr="00FC74FB">
        <w:rPr>
          <w:rFonts w:ascii="Book Antiqua" w:hAnsi="Book Antiqua"/>
          <w:szCs w:val="24"/>
        </w:rPr>
        <w:t xml:space="preserve"> beyond simple reference to the facts of the conviction. And no further evidence or argument has been </w:t>
      </w:r>
      <w:r w:rsidR="00B12D5E" w:rsidRPr="00FC74FB">
        <w:rPr>
          <w:rFonts w:ascii="Book Antiqua" w:hAnsi="Book Antiqua"/>
          <w:szCs w:val="24"/>
        </w:rPr>
        <w:t>advanced before us</w:t>
      </w:r>
      <w:r w:rsidR="00022A15" w:rsidRPr="00FC74FB">
        <w:rPr>
          <w:rFonts w:ascii="Book Antiqua" w:hAnsi="Book Antiqua"/>
          <w:szCs w:val="24"/>
        </w:rPr>
        <w:t xml:space="preserve"> as to why this case involved “serious harm”.</w:t>
      </w:r>
      <w:r w:rsidR="00EA6231">
        <w:rPr>
          <w:rFonts w:ascii="Book Antiqua" w:hAnsi="Book Antiqua"/>
          <w:szCs w:val="24"/>
        </w:rPr>
        <w:t xml:space="preserve">  Furthermore, it seems to us that in the passage set out at paragraph 5 above, the Secretary of State was equating an offence which causes serious harm with a serious </w:t>
      </w:r>
      <w:r w:rsidR="00EA6231">
        <w:rPr>
          <w:rFonts w:ascii="Book Antiqua" w:hAnsi="Book Antiqua"/>
          <w:szCs w:val="24"/>
        </w:rPr>
        <w:lastRenderedPageBreak/>
        <w:t xml:space="preserve">offence; but the two are not necessarily the same. In any event, it is for the Secretary of State, who makes this assertion, to prove it. </w:t>
      </w:r>
    </w:p>
    <w:p w:rsidR="00FC74FB" w:rsidRPr="00FC74FB" w:rsidRDefault="00D86EB3" w:rsidP="00FC74FB">
      <w:pPr>
        <w:pStyle w:val="ParaLevel1"/>
        <w:spacing w:line="240" w:lineRule="auto"/>
        <w:rPr>
          <w:rFonts w:ascii="Book Antiqua" w:hAnsi="Book Antiqua"/>
          <w:szCs w:val="24"/>
        </w:rPr>
      </w:pPr>
      <w:r w:rsidRPr="00FC74FB">
        <w:rPr>
          <w:rFonts w:ascii="Book Antiqua" w:hAnsi="Book Antiqua"/>
          <w:szCs w:val="24"/>
        </w:rPr>
        <w:t xml:space="preserve">This was </w:t>
      </w:r>
      <w:r w:rsidR="00B12D5E" w:rsidRPr="00FC74FB">
        <w:rPr>
          <w:rFonts w:ascii="Book Antiqua" w:hAnsi="Book Antiqua"/>
          <w:szCs w:val="24"/>
        </w:rPr>
        <w:t xml:space="preserve">undoubtedly </w:t>
      </w:r>
      <w:r w:rsidR="00EA6231">
        <w:rPr>
          <w:rFonts w:ascii="Book Antiqua" w:hAnsi="Book Antiqua"/>
          <w:szCs w:val="24"/>
        </w:rPr>
        <w:t>a very nasty</w:t>
      </w:r>
      <w:r w:rsidRPr="00FC74FB">
        <w:rPr>
          <w:rFonts w:ascii="Book Antiqua" w:hAnsi="Book Antiqua"/>
          <w:szCs w:val="24"/>
        </w:rPr>
        <w:t xml:space="preserve"> crime.  Mr </w:t>
      </w:r>
      <w:proofErr w:type="spellStart"/>
      <w:r w:rsidRPr="00FC74FB">
        <w:rPr>
          <w:rFonts w:ascii="Book Antiqua" w:hAnsi="Book Antiqua"/>
          <w:szCs w:val="24"/>
        </w:rPr>
        <w:t>Shezad</w:t>
      </w:r>
      <w:proofErr w:type="spellEnd"/>
      <w:r w:rsidRPr="00FC74FB">
        <w:rPr>
          <w:rFonts w:ascii="Book Antiqua" w:hAnsi="Book Antiqua"/>
          <w:szCs w:val="24"/>
        </w:rPr>
        <w:t xml:space="preserve"> was guilty of a </w:t>
      </w:r>
      <w:r w:rsidR="00EA6231">
        <w:rPr>
          <w:rFonts w:ascii="Book Antiqua" w:hAnsi="Book Antiqua"/>
          <w:szCs w:val="24"/>
        </w:rPr>
        <w:t>serious</w:t>
      </w:r>
      <w:r w:rsidR="00EA6231" w:rsidRPr="00FC74FB">
        <w:rPr>
          <w:rFonts w:ascii="Book Antiqua" w:hAnsi="Book Antiqua"/>
          <w:szCs w:val="24"/>
        </w:rPr>
        <w:t xml:space="preserve"> </w:t>
      </w:r>
      <w:r w:rsidRPr="00FC74FB">
        <w:rPr>
          <w:rFonts w:ascii="Book Antiqua" w:hAnsi="Book Antiqua"/>
          <w:szCs w:val="24"/>
        </w:rPr>
        <w:t>breach of trust, exploiting his knowledge of</w:t>
      </w:r>
      <w:r w:rsidR="00022A15" w:rsidRPr="00FC74FB">
        <w:rPr>
          <w:rFonts w:ascii="Book Antiqua" w:hAnsi="Book Antiqua"/>
          <w:szCs w:val="24"/>
        </w:rPr>
        <w:t>,</w:t>
      </w:r>
      <w:r w:rsidRPr="00FC74FB">
        <w:rPr>
          <w:rFonts w:ascii="Book Antiqua" w:hAnsi="Book Antiqua"/>
          <w:szCs w:val="24"/>
        </w:rPr>
        <w:t xml:space="preserve"> and “friendship” with, the victim, so as to gain access to his bank accounts.  He then took everything the victim had, leaving him penniless and dependant on hand</w:t>
      </w:r>
      <w:r w:rsidR="00022A15" w:rsidRPr="00FC74FB">
        <w:rPr>
          <w:rFonts w:ascii="Book Antiqua" w:hAnsi="Book Antiqua"/>
          <w:szCs w:val="24"/>
        </w:rPr>
        <w:t>-</w:t>
      </w:r>
      <w:r w:rsidRPr="00FC74FB">
        <w:rPr>
          <w:rFonts w:ascii="Book Antiqua" w:hAnsi="Book Antiqua"/>
          <w:szCs w:val="24"/>
        </w:rPr>
        <w:t xml:space="preserve">outs to eat.  That would have been a serious offence in any circumstances.  </w:t>
      </w:r>
      <w:r w:rsidR="00EF299C" w:rsidRPr="00FC74FB">
        <w:rPr>
          <w:rFonts w:ascii="Book Antiqua" w:hAnsi="Book Antiqua"/>
          <w:szCs w:val="24"/>
        </w:rPr>
        <w:t>The fact</w:t>
      </w:r>
      <w:r w:rsidRPr="00FC74FB">
        <w:rPr>
          <w:rFonts w:ascii="Book Antiqua" w:hAnsi="Book Antiqua"/>
          <w:szCs w:val="24"/>
        </w:rPr>
        <w:t xml:space="preserve"> tha</w:t>
      </w:r>
      <w:r w:rsidR="00EF299C" w:rsidRPr="00FC74FB">
        <w:rPr>
          <w:rFonts w:ascii="Book Antiqua" w:hAnsi="Book Antiqua"/>
          <w:szCs w:val="24"/>
        </w:rPr>
        <w:t>t the victim was blind and</w:t>
      </w:r>
      <w:r w:rsidRPr="00FC74FB">
        <w:rPr>
          <w:rFonts w:ascii="Book Antiqua" w:hAnsi="Book Antiqua"/>
          <w:szCs w:val="24"/>
        </w:rPr>
        <w:t xml:space="preserve"> plainly vulnerable made </w:t>
      </w:r>
      <w:r w:rsidR="00EA6231">
        <w:rPr>
          <w:rFonts w:ascii="Book Antiqua" w:hAnsi="Book Antiqua"/>
          <w:szCs w:val="24"/>
        </w:rPr>
        <w:t>it all the worse</w:t>
      </w:r>
      <w:r w:rsidRPr="00FC74FB">
        <w:rPr>
          <w:rFonts w:ascii="Book Antiqua" w:hAnsi="Book Antiqua"/>
          <w:szCs w:val="24"/>
        </w:rPr>
        <w:t xml:space="preserve">.  </w:t>
      </w:r>
      <w:r w:rsidR="00821695" w:rsidRPr="00FC74FB">
        <w:rPr>
          <w:rFonts w:ascii="Book Antiqua" w:hAnsi="Book Antiqua"/>
          <w:szCs w:val="24"/>
        </w:rPr>
        <w:t xml:space="preserve">But </w:t>
      </w:r>
      <w:r w:rsidR="00EA6231">
        <w:rPr>
          <w:rFonts w:ascii="Book Antiqua" w:hAnsi="Book Antiqua"/>
          <w:szCs w:val="24"/>
        </w:rPr>
        <w:t xml:space="preserve">there is no evidence of the victim suffering significant harm in consequence and, </w:t>
      </w:r>
      <w:r w:rsidR="00821695" w:rsidRPr="00FC74FB">
        <w:rPr>
          <w:rFonts w:ascii="Book Antiqua" w:hAnsi="Book Antiqua"/>
          <w:szCs w:val="24"/>
        </w:rPr>
        <w:t>in our judgment</w:t>
      </w:r>
      <w:r w:rsidR="00EA6231">
        <w:rPr>
          <w:rFonts w:ascii="Book Antiqua" w:hAnsi="Book Antiqua"/>
          <w:szCs w:val="24"/>
        </w:rPr>
        <w:t>,</w:t>
      </w:r>
      <w:r w:rsidR="00821695" w:rsidRPr="00FC74FB">
        <w:rPr>
          <w:rFonts w:ascii="Book Antiqua" w:hAnsi="Book Antiqua"/>
          <w:szCs w:val="24"/>
        </w:rPr>
        <w:t xml:space="preserve"> it cannot properly be said that serious harm to the victim must be regarded as implicit.</w:t>
      </w:r>
      <w:r w:rsidR="00FC74FB" w:rsidRPr="00FC74FB">
        <w:rPr>
          <w:rFonts w:ascii="Book Antiqua" w:hAnsi="Book Antiqua"/>
          <w:szCs w:val="24"/>
        </w:rPr>
        <w:t xml:space="preserve"> </w:t>
      </w:r>
    </w:p>
    <w:p w:rsidR="00FC74FB" w:rsidRPr="00FC74FB" w:rsidRDefault="00FC74FB" w:rsidP="00FC74FB">
      <w:pPr>
        <w:pStyle w:val="ParaLevel1"/>
        <w:spacing w:line="240" w:lineRule="auto"/>
        <w:rPr>
          <w:rFonts w:ascii="Book Antiqua" w:hAnsi="Book Antiqua"/>
          <w:szCs w:val="24"/>
        </w:rPr>
      </w:pPr>
      <w:r w:rsidRPr="00FC74FB">
        <w:rPr>
          <w:rFonts w:ascii="Book Antiqua" w:hAnsi="Book Antiqua"/>
          <w:szCs w:val="24"/>
        </w:rPr>
        <w:t xml:space="preserve">In those circumstances, and in the absence of evidence or explanation from the Secretary of State as to how it can be said that this offence caused serious harm to the victim, Mr </w:t>
      </w:r>
      <w:proofErr w:type="spellStart"/>
      <w:r w:rsidRPr="00FC74FB">
        <w:rPr>
          <w:rFonts w:ascii="Book Antiqua" w:hAnsi="Book Antiqua"/>
          <w:szCs w:val="24"/>
        </w:rPr>
        <w:t>Shezad</w:t>
      </w:r>
      <w:proofErr w:type="spellEnd"/>
      <w:r w:rsidRPr="00FC74FB">
        <w:rPr>
          <w:rFonts w:ascii="Book Antiqua" w:hAnsi="Book Antiqua"/>
          <w:szCs w:val="24"/>
        </w:rPr>
        <w:t xml:space="preserve"> cannot be regarded as a foreign offender.  No other ground of challenge was mounted to Judge Parkes determination and in those circumstances this appeal must be dismissed.</w:t>
      </w:r>
    </w:p>
    <w:p w:rsidR="00FC74FB" w:rsidRPr="00FC74FB" w:rsidRDefault="00FC74FB" w:rsidP="00FA5268">
      <w:pPr>
        <w:pStyle w:val="ParaLevel1"/>
        <w:numPr>
          <w:ilvl w:val="0"/>
          <w:numId w:val="0"/>
        </w:numPr>
        <w:spacing w:after="0"/>
        <w:rPr>
          <w:rFonts w:ascii="Book Antiqua" w:hAnsi="Book Antiqua"/>
          <w:szCs w:val="24"/>
          <w:u w:val="single"/>
        </w:rPr>
      </w:pPr>
      <w:r w:rsidRPr="00FC74FB">
        <w:rPr>
          <w:rFonts w:ascii="Book Antiqua" w:hAnsi="Book Antiqua"/>
          <w:u w:val="single"/>
        </w:rPr>
        <w:t>Conclusions</w:t>
      </w:r>
    </w:p>
    <w:p w:rsidR="00D23A20" w:rsidRPr="00FC74FB" w:rsidRDefault="00D23A20" w:rsidP="00FA5268">
      <w:pPr>
        <w:pStyle w:val="ParaLevel1"/>
        <w:spacing w:before="0" w:after="0" w:line="240" w:lineRule="auto"/>
        <w:rPr>
          <w:rFonts w:ascii="Book Antiqua" w:hAnsi="Book Antiqua"/>
        </w:rPr>
      </w:pPr>
      <w:r w:rsidRPr="00FC74FB">
        <w:rPr>
          <w:rFonts w:ascii="Book Antiqua" w:hAnsi="Book Antiqua"/>
        </w:rPr>
        <w:t>Accordingly, for these reasons, we consider that the grounds are not made out.  We are not satisfied that the decision of the First-tier Tribunal involved the making of an error of law and we uphold it.</w:t>
      </w:r>
    </w:p>
    <w:p w:rsidR="00D23A20" w:rsidRPr="00FC74FB" w:rsidRDefault="00D23A20" w:rsidP="00D23A20">
      <w:pPr>
        <w:jc w:val="both"/>
        <w:rPr>
          <w:rFonts w:ascii="Book Antiqua" w:hAnsi="Book Antiqua" w:cs="Arial"/>
        </w:rPr>
      </w:pPr>
    </w:p>
    <w:p w:rsidR="00D23A20" w:rsidRPr="00FC74FB" w:rsidRDefault="00D23A20" w:rsidP="00D23A20">
      <w:pPr>
        <w:ind w:left="540" w:hanging="540"/>
        <w:jc w:val="both"/>
        <w:rPr>
          <w:rFonts w:ascii="Book Antiqua" w:hAnsi="Book Antiqua" w:cs="Arial"/>
        </w:rPr>
      </w:pPr>
      <w:r w:rsidRPr="00FC74FB">
        <w:rPr>
          <w:rFonts w:ascii="Book Antiqua" w:hAnsi="Book Antiqua" w:cs="Arial"/>
          <w:b/>
          <w:u w:val="single"/>
        </w:rPr>
        <w:t>NOTICE OF DECISION</w:t>
      </w:r>
    </w:p>
    <w:p w:rsidR="00D23A20" w:rsidRPr="00FC74FB" w:rsidRDefault="00D23A20" w:rsidP="00D23A20">
      <w:pPr>
        <w:ind w:left="540" w:hanging="540"/>
        <w:jc w:val="both"/>
        <w:rPr>
          <w:rFonts w:ascii="Book Antiqua" w:hAnsi="Book Antiqua" w:cs="Arial"/>
        </w:rPr>
      </w:pPr>
    </w:p>
    <w:p w:rsidR="00D23A20" w:rsidRPr="00FC74FB" w:rsidRDefault="00D23A20" w:rsidP="00D23A20">
      <w:pPr>
        <w:ind w:left="540" w:hanging="540"/>
        <w:jc w:val="both"/>
        <w:rPr>
          <w:rFonts w:ascii="Book Antiqua" w:hAnsi="Book Antiqua" w:cs="Arial"/>
        </w:rPr>
      </w:pPr>
      <w:r w:rsidRPr="00FC74FB">
        <w:rPr>
          <w:rFonts w:ascii="Book Antiqua" w:hAnsi="Book Antiqua" w:cs="Arial"/>
        </w:rPr>
        <w:t>1</w:t>
      </w:r>
      <w:r w:rsidRPr="00FC74FB">
        <w:rPr>
          <w:rFonts w:ascii="Book Antiqua" w:hAnsi="Book Antiqua" w:cs="Arial"/>
        </w:rPr>
        <w:tab/>
        <w:t xml:space="preserve">The decision of the First-tier Tribunal did not involve the making of an error of law and we uphold it. </w:t>
      </w:r>
    </w:p>
    <w:p w:rsidR="00D23A20" w:rsidRDefault="00D23A20" w:rsidP="00D23A20">
      <w:pPr>
        <w:ind w:left="540" w:hanging="540"/>
        <w:jc w:val="both"/>
        <w:rPr>
          <w:rFonts w:ascii="Book Antiqua" w:hAnsi="Book Antiqua" w:cs="Arial"/>
        </w:rPr>
      </w:pPr>
    </w:p>
    <w:p w:rsidR="00BC59DF" w:rsidRPr="00FC74FB" w:rsidRDefault="00BC59DF" w:rsidP="00D23A20">
      <w:pPr>
        <w:ind w:left="540" w:hanging="540"/>
        <w:jc w:val="both"/>
        <w:rPr>
          <w:rFonts w:ascii="Book Antiqua" w:hAnsi="Book Antiqua" w:cs="Arial"/>
        </w:rPr>
      </w:pPr>
    </w:p>
    <w:p w:rsidR="00D23A20" w:rsidRPr="00FC74FB" w:rsidRDefault="00D23A20" w:rsidP="00D23A20">
      <w:pPr>
        <w:ind w:left="540" w:hanging="540"/>
        <w:jc w:val="both"/>
        <w:rPr>
          <w:rFonts w:ascii="Book Antiqua" w:hAnsi="Book Antiqua" w:cs="Arial"/>
        </w:rPr>
      </w:pPr>
      <w:r w:rsidRPr="00FC74FB">
        <w:rPr>
          <w:rFonts w:ascii="Book Antiqua" w:hAnsi="Book Antiqua" w:cs="Arial"/>
        </w:rPr>
        <w:t>Signed</w:t>
      </w:r>
      <w:r w:rsidRPr="00FC74FB">
        <w:rPr>
          <w:rFonts w:ascii="Book Antiqua" w:hAnsi="Book Antiqua" w:cs="Arial"/>
        </w:rPr>
        <w:tab/>
      </w:r>
      <w:r w:rsidRPr="00FC74FB">
        <w:rPr>
          <w:rFonts w:ascii="Book Antiqua" w:hAnsi="Book Antiqua" w:cs="Arial"/>
        </w:rPr>
        <w:tab/>
      </w:r>
      <w:r w:rsidRPr="00FC74FB">
        <w:rPr>
          <w:rFonts w:ascii="Book Antiqua" w:hAnsi="Book Antiqua" w:cs="Arial"/>
        </w:rPr>
        <w:tab/>
      </w:r>
      <w:r w:rsidRPr="00FC74FB">
        <w:rPr>
          <w:rFonts w:ascii="Book Antiqua" w:hAnsi="Book Antiqua" w:cs="Arial"/>
        </w:rPr>
        <w:tab/>
      </w:r>
      <w:r w:rsidRPr="00FC74FB">
        <w:rPr>
          <w:rFonts w:ascii="Book Antiqua" w:hAnsi="Book Antiqua" w:cs="Arial"/>
        </w:rPr>
        <w:tab/>
      </w:r>
      <w:r w:rsidRPr="00FC74FB">
        <w:rPr>
          <w:rFonts w:ascii="Book Antiqua" w:hAnsi="Book Antiqua" w:cs="Arial"/>
        </w:rPr>
        <w:tab/>
      </w:r>
      <w:r w:rsidRPr="00FC74FB">
        <w:rPr>
          <w:rFonts w:ascii="Book Antiqua" w:hAnsi="Book Antiqua" w:cs="Arial"/>
        </w:rPr>
        <w:tab/>
      </w:r>
      <w:r w:rsidRPr="00FC74FB">
        <w:rPr>
          <w:rFonts w:ascii="Book Antiqua" w:hAnsi="Book Antiqua" w:cs="Arial"/>
        </w:rPr>
        <w:tab/>
        <w:t>Date</w:t>
      </w:r>
      <w:r w:rsidR="00FA5268">
        <w:rPr>
          <w:rFonts w:ascii="Book Antiqua" w:hAnsi="Book Antiqua" w:cs="Arial"/>
        </w:rPr>
        <w:t>:  5 June 2018</w:t>
      </w:r>
    </w:p>
    <w:p w:rsidR="00FC74FB" w:rsidRDefault="00FC74FB" w:rsidP="00D23A20">
      <w:pPr>
        <w:tabs>
          <w:tab w:val="left" w:pos="2520"/>
        </w:tabs>
        <w:ind w:left="540" w:hanging="540"/>
        <w:jc w:val="both"/>
        <w:rPr>
          <w:rFonts w:ascii="Book Antiqua" w:hAnsi="Book Antiqua" w:cs="Arial"/>
          <w:color w:val="000000"/>
        </w:rPr>
      </w:pPr>
    </w:p>
    <w:p w:rsidR="00D23A20" w:rsidRPr="00FC74FB" w:rsidRDefault="00FC74FB" w:rsidP="00D23A20">
      <w:pPr>
        <w:tabs>
          <w:tab w:val="left" w:pos="2520"/>
        </w:tabs>
        <w:ind w:left="540" w:hanging="540"/>
        <w:jc w:val="both"/>
        <w:rPr>
          <w:rFonts w:ascii="Book Antiqua" w:hAnsi="Book Antiqua" w:cs="Arial"/>
          <w:color w:val="000000"/>
        </w:rPr>
      </w:pPr>
      <w:r>
        <w:rPr>
          <w:rFonts w:ascii="Book Antiqua" w:hAnsi="Book Antiqua" w:cs="Arial"/>
          <w:color w:val="000000"/>
        </w:rPr>
        <w:t>Garnham J</w:t>
      </w:r>
    </w:p>
    <w:p w:rsidR="00D23A20" w:rsidRPr="00FC74FB" w:rsidRDefault="00D23A20" w:rsidP="00D23A20">
      <w:pPr>
        <w:tabs>
          <w:tab w:val="left" w:pos="2520"/>
        </w:tabs>
        <w:ind w:left="540" w:hanging="540"/>
        <w:jc w:val="both"/>
        <w:rPr>
          <w:rFonts w:ascii="Book Antiqua" w:hAnsi="Book Antiqua" w:cs="Arial"/>
          <w:color w:val="000000"/>
        </w:rPr>
      </w:pPr>
    </w:p>
    <w:p w:rsidR="00D23A20" w:rsidRPr="00FC74FB" w:rsidRDefault="00D23A20" w:rsidP="00D23A20">
      <w:pPr>
        <w:tabs>
          <w:tab w:val="left" w:pos="2520"/>
        </w:tabs>
        <w:ind w:left="540" w:hanging="540"/>
        <w:jc w:val="both"/>
        <w:rPr>
          <w:rFonts w:ascii="Book Antiqua" w:hAnsi="Book Antiqua" w:cs="Arial"/>
          <w:color w:val="000000"/>
        </w:rPr>
      </w:pPr>
    </w:p>
    <w:p w:rsidR="00D23A20" w:rsidRPr="00FC74FB" w:rsidRDefault="00D23A20" w:rsidP="00D23A20">
      <w:pPr>
        <w:tabs>
          <w:tab w:val="left" w:pos="2520"/>
        </w:tabs>
        <w:ind w:left="540" w:hanging="540"/>
        <w:jc w:val="both"/>
        <w:rPr>
          <w:rFonts w:ascii="Book Antiqua" w:hAnsi="Book Antiqua" w:cs="Arial"/>
        </w:rPr>
        <w:sectPr w:rsidR="00D23A20" w:rsidRPr="00FC74FB" w:rsidSect="00D23A20">
          <w:headerReference w:type="default" r:id="rId12"/>
          <w:footerReference w:type="default" r:id="rId13"/>
          <w:headerReference w:type="first" r:id="rId14"/>
          <w:footerReference w:type="first" r:id="rId15"/>
          <w:type w:val="continuous"/>
          <w:pgSz w:w="11906" w:h="16838"/>
          <w:pgMar w:top="1440" w:right="1134" w:bottom="1440" w:left="1134" w:header="709" w:footer="709" w:gutter="0"/>
          <w:cols w:space="708"/>
          <w:titlePg/>
          <w:docGrid w:linePitch="360"/>
        </w:sectPr>
      </w:pPr>
    </w:p>
    <w:p w:rsidR="00D23A20" w:rsidRPr="00FC74FB" w:rsidRDefault="003C0543" w:rsidP="003C0543">
      <w:pPr>
        <w:rPr>
          <w:rFonts w:ascii="Book Antiqua" w:hAnsi="Book Antiqua" w:cs="Arial"/>
        </w:rPr>
      </w:pPr>
      <w:r w:rsidRPr="00FC74FB">
        <w:rPr>
          <w:rFonts w:ascii="Book Antiqua" w:hAnsi="Book Antiqua" w:cs="Arial"/>
        </w:rPr>
        <w:t xml:space="preserve"> </w:t>
      </w:r>
    </w:p>
    <w:p w:rsidR="00D23A20" w:rsidRPr="00FC74FB" w:rsidRDefault="00D23A20" w:rsidP="005806E3">
      <w:pPr>
        <w:pStyle w:val="ParaLevel1"/>
        <w:numPr>
          <w:ilvl w:val="0"/>
          <w:numId w:val="0"/>
        </w:numPr>
        <w:spacing w:line="240" w:lineRule="auto"/>
        <w:ind w:left="720"/>
        <w:rPr>
          <w:rFonts w:ascii="Book Antiqua" w:hAnsi="Book Antiqua"/>
          <w:szCs w:val="24"/>
        </w:rPr>
      </w:pPr>
    </w:p>
    <w:sectPr w:rsidR="00D23A20" w:rsidRPr="00FC74FB" w:rsidSect="004426F3">
      <w:footerReference w:type="default" r:id="rId16"/>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17B" w:rsidRDefault="00F2317B">
      <w:r>
        <w:separator/>
      </w:r>
    </w:p>
  </w:endnote>
  <w:endnote w:type="continuationSeparator" w:id="0">
    <w:p w:rsidR="00F2317B" w:rsidRDefault="00F2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A20" w:rsidRPr="009B7433" w:rsidRDefault="00D23A20" w:rsidP="00FC023D">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C0543">
      <w:rPr>
        <w:rStyle w:val="PageNumber"/>
        <w:rFonts w:ascii="Book Antiqua" w:hAnsi="Book Antiqua" w:cs="Arial"/>
        <w:noProof/>
        <w:sz w:val="16"/>
        <w:szCs w:val="16"/>
      </w:rPr>
      <w:t>10</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A20" w:rsidRPr="009B7433" w:rsidRDefault="00D23A20" w:rsidP="00FC023D">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42" w:rsidRDefault="005E2342">
    <w:pPr>
      <w:pStyle w:val="Footer"/>
      <w:rPr>
        <w:rFonts w:ascii="Times New Roman" w:hAnsi="Times New Roman"/>
        <w:sz w:val="16"/>
      </w:rPr>
    </w:pPr>
    <w:r>
      <w:rPr>
        <w:rFonts w:ascii="Times New Roman" w:hAnsi="Times New Roman"/>
        <w:sz w:val="16"/>
      </w:rPr>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3C0543">
      <w:rPr>
        <w:rFonts w:ascii="Times New Roman" w:hAnsi="Times New Roman"/>
        <w:noProof/>
        <w:sz w:val="16"/>
      </w:rPr>
      <w:t>11</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17B" w:rsidRDefault="00F2317B">
      <w:r>
        <w:separator/>
      </w:r>
    </w:p>
  </w:footnote>
  <w:footnote w:type="continuationSeparator" w:id="0">
    <w:p w:rsidR="00F2317B" w:rsidRDefault="00F23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A20" w:rsidRPr="009B7433" w:rsidRDefault="00D23A20" w:rsidP="00FC023D">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w:t>
    </w:r>
    <w:r w:rsidR="00982041">
      <w:rPr>
        <w:rFonts w:ascii="Book Antiqua" w:hAnsi="Book Antiqua" w:cs="Arial"/>
        <w:sz w:val="16"/>
        <w:szCs w:val="16"/>
      </w:rPr>
      <w:t>14900</w:t>
    </w:r>
    <w:r w:rsidR="00BD0E47">
      <w:rPr>
        <w:rFonts w:ascii="Book Antiqua" w:hAnsi="Book Antiqua" w:cs="Arial"/>
        <w:sz w:val="16"/>
        <w:szCs w:val="16"/>
      </w:rPr>
      <w:t>/2016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A20" w:rsidRPr="009B7433" w:rsidRDefault="00D23A20">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2" w15:restartNumberingAfterBreak="0">
    <w:nsid w:val="7ACB1666"/>
    <w:multiLevelType w:val="multilevel"/>
    <w:tmpl w:val="554CA690"/>
    <w:lvl w:ilvl="0">
      <w:start w:val="37"/>
      <w:numFmt w:val="decimal"/>
      <w:lvlText w:val="%1."/>
      <w:lvlJc w:val="left"/>
      <w:pPr>
        <w:tabs>
          <w:tab w:val="num" w:pos="1134"/>
        </w:tabs>
        <w:ind w:left="1134" w:hanging="567"/>
      </w:pPr>
      <w:rPr>
        <w:rFonts w:hint="default"/>
      </w:rPr>
    </w:lvl>
    <w:lvl w:ilvl="1">
      <w:start w:val="1"/>
      <w:numFmt w:val="lowerLetter"/>
      <w:lvlText w:val="(%2)"/>
      <w:lvlJc w:val="left"/>
      <w:pPr>
        <w:tabs>
          <w:tab w:val="num" w:pos="1701"/>
        </w:tabs>
        <w:ind w:left="1701" w:hanging="567"/>
      </w:pPr>
      <w:rPr>
        <w:rFonts w:hint="default"/>
      </w:rPr>
    </w:lvl>
    <w:lvl w:ilvl="2">
      <w:start w:val="1"/>
      <w:numFmt w:val="lowerRoman"/>
      <w:lvlText w:val="(%3)"/>
      <w:lvlJc w:val="left"/>
      <w:pPr>
        <w:tabs>
          <w:tab w:val="num" w:pos="2268"/>
        </w:tabs>
        <w:ind w:left="2268" w:hanging="567"/>
      </w:pPr>
      <w:rPr>
        <w:rFonts w:hint="default"/>
      </w:rPr>
    </w:lvl>
    <w:lvl w:ilvl="3">
      <w:start w:val="1"/>
      <w:numFmt w:val="decimal"/>
      <w:lvlText w:val="(%4)"/>
      <w:lvlJc w:val="left"/>
      <w:pPr>
        <w:tabs>
          <w:tab w:val="num" w:pos="2835"/>
        </w:tabs>
        <w:ind w:left="2835" w:hanging="567"/>
      </w:pPr>
      <w:rPr>
        <w:rFonts w:hint="default"/>
      </w:rPr>
    </w:lvl>
    <w:lvl w:ilvl="4">
      <w:start w:val="1"/>
      <w:numFmt w:val="lowerLetter"/>
      <w:lvlText w:val="(%5)"/>
      <w:lvlJc w:val="left"/>
      <w:pPr>
        <w:tabs>
          <w:tab w:val="num" w:pos="3402"/>
        </w:tabs>
        <w:ind w:left="3402" w:hanging="567"/>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6F3"/>
    <w:rsid w:val="00022A15"/>
    <w:rsid w:val="00025054"/>
    <w:rsid w:val="000A462E"/>
    <w:rsid w:val="000A6825"/>
    <w:rsid w:val="00121F18"/>
    <w:rsid w:val="0018752E"/>
    <w:rsid w:val="00247589"/>
    <w:rsid w:val="002D4AD1"/>
    <w:rsid w:val="002E7271"/>
    <w:rsid w:val="00301FC1"/>
    <w:rsid w:val="003334DF"/>
    <w:rsid w:val="00335575"/>
    <w:rsid w:val="00337662"/>
    <w:rsid w:val="003B610A"/>
    <w:rsid w:val="003C0543"/>
    <w:rsid w:val="003D08FD"/>
    <w:rsid w:val="004426F3"/>
    <w:rsid w:val="004435D0"/>
    <w:rsid w:val="004549C6"/>
    <w:rsid w:val="004E5C9B"/>
    <w:rsid w:val="00505B8A"/>
    <w:rsid w:val="005806E3"/>
    <w:rsid w:val="00583F3B"/>
    <w:rsid w:val="005A07BB"/>
    <w:rsid w:val="005B4B40"/>
    <w:rsid w:val="005C708E"/>
    <w:rsid w:val="005E2342"/>
    <w:rsid w:val="005F6648"/>
    <w:rsid w:val="006367AE"/>
    <w:rsid w:val="00650EC5"/>
    <w:rsid w:val="006D159B"/>
    <w:rsid w:val="00706DD3"/>
    <w:rsid w:val="00754077"/>
    <w:rsid w:val="007930EE"/>
    <w:rsid w:val="007B3D81"/>
    <w:rsid w:val="007C71EA"/>
    <w:rsid w:val="007D3641"/>
    <w:rsid w:val="0080229F"/>
    <w:rsid w:val="00821695"/>
    <w:rsid w:val="00891711"/>
    <w:rsid w:val="009650C1"/>
    <w:rsid w:val="00982041"/>
    <w:rsid w:val="00A16AA9"/>
    <w:rsid w:val="00AF15C9"/>
    <w:rsid w:val="00B12D5E"/>
    <w:rsid w:val="00B16DFB"/>
    <w:rsid w:val="00B26C45"/>
    <w:rsid w:val="00B612C2"/>
    <w:rsid w:val="00B8555F"/>
    <w:rsid w:val="00B929BB"/>
    <w:rsid w:val="00B9527A"/>
    <w:rsid w:val="00B9799D"/>
    <w:rsid w:val="00BC59DF"/>
    <w:rsid w:val="00BD0E47"/>
    <w:rsid w:val="00BF591C"/>
    <w:rsid w:val="00C419CC"/>
    <w:rsid w:val="00C56EF2"/>
    <w:rsid w:val="00C813DC"/>
    <w:rsid w:val="00CE27AA"/>
    <w:rsid w:val="00D041AB"/>
    <w:rsid w:val="00D16311"/>
    <w:rsid w:val="00D23A20"/>
    <w:rsid w:val="00D57DDD"/>
    <w:rsid w:val="00D702CD"/>
    <w:rsid w:val="00D70FB9"/>
    <w:rsid w:val="00D86EB3"/>
    <w:rsid w:val="00D951DA"/>
    <w:rsid w:val="00DB3EF1"/>
    <w:rsid w:val="00DD3F3E"/>
    <w:rsid w:val="00DD6DC3"/>
    <w:rsid w:val="00DE1B6E"/>
    <w:rsid w:val="00EA6231"/>
    <w:rsid w:val="00EF299C"/>
    <w:rsid w:val="00F2317B"/>
    <w:rsid w:val="00FA5268"/>
    <w:rsid w:val="00FC023D"/>
    <w:rsid w:val="00FC74FB"/>
    <w:rsid w:val="00FE596C"/>
    <w:rsid w:val="00FF7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D4FE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26F3"/>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1"/>
      </w:numPr>
      <w:suppressAutoHyphens/>
      <w:spacing w:before="240" w:after="240" w:line="480" w:lineRule="auto"/>
      <w:jc w:val="both"/>
      <w:outlineLvl w:val="1"/>
    </w:pPr>
    <w:rPr>
      <w:szCs w:val="20"/>
    </w:rPr>
  </w:style>
  <w:style w:type="paragraph" w:customStyle="1" w:styleId="ParaLevel3">
    <w:name w:val="ParaLevel3"/>
    <w:basedOn w:val="Normal"/>
    <w:pPr>
      <w:numPr>
        <w:ilvl w:val="2"/>
        <w:numId w:val="1"/>
      </w:numPr>
      <w:suppressAutoHyphens/>
      <w:spacing w:before="240" w:after="240" w:line="480" w:lineRule="auto"/>
      <w:jc w:val="both"/>
      <w:outlineLvl w:val="2"/>
    </w:pPr>
    <w:rPr>
      <w:szCs w:val="20"/>
    </w:rPr>
  </w:style>
  <w:style w:type="paragraph" w:customStyle="1" w:styleId="ParaLevel4">
    <w:name w:val="ParaLevel4"/>
    <w:basedOn w:val="Normal"/>
    <w:pPr>
      <w:numPr>
        <w:ilvl w:val="3"/>
        <w:numId w:val="1"/>
      </w:numPr>
      <w:suppressAutoHyphens/>
      <w:spacing w:before="240" w:after="240" w:line="480" w:lineRule="auto"/>
      <w:jc w:val="both"/>
      <w:outlineLvl w:val="3"/>
    </w:pPr>
    <w:rPr>
      <w:szCs w:val="20"/>
    </w:rPr>
  </w:style>
  <w:style w:type="paragraph" w:customStyle="1" w:styleId="ParaLevel5">
    <w:name w:val="ParaLevel5"/>
    <w:basedOn w:val="Normal"/>
    <w:pPr>
      <w:numPr>
        <w:ilvl w:val="4"/>
        <w:numId w:val="1"/>
      </w:numPr>
      <w:suppressAutoHyphens/>
      <w:spacing w:before="240" w:after="240" w:line="480" w:lineRule="auto"/>
      <w:jc w:val="both"/>
      <w:outlineLvl w:val="4"/>
    </w:pPr>
    <w:rPr>
      <w:szCs w:val="20"/>
    </w:rPr>
  </w:style>
  <w:style w:type="paragraph" w:customStyle="1" w:styleId="ParaLevel6">
    <w:name w:val="ParaLevel6"/>
    <w:basedOn w:val="Normal"/>
    <w:pPr>
      <w:numPr>
        <w:ilvl w:val="5"/>
        <w:numId w:val="1"/>
      </w:numPr>
      <w:suppressAutoHyphens/>
      <w:spacing w:before="240" w:after="240" w:line="480" w:lineRule="auto"/>
      <w:jc w:val="both"/>
      <w:outlineLvl w:val="5"/>
    </w:pPr>
    <w:rPr>
      <w:szCs w:val="20"/>
    </w:rPr>
  </w:style>
  <w:style w:type="paragraph" w:customStyle="1" w:styleId="ParaLevel7">
    <w:name w:val="ParaLevel7"/>
    <w:basedOn w:val="Normal"/>
    <w:pPr>
      <w:numPr>
        <w:ilvl w:val="6"/>
        <w:numId w:val="1"/>
      </w:numPr>
      <w:suppressAutoHyphens/>
      <w:spacing w:before="240" w:after="240" w:line="480" w:lineRule="auto"/>
      <w:jc w:val="both"/>
      <w:outlineLvl w:val="6"/>
    </w:pPr>
    <w:rPr>
      <w:szCs w:val="20"/>
    </w:rPr>
  </w:style>
  <w:style w:type="paragraph" w:customStyle="1" w:styleId="ParaLevel8">
    <w:name w:val="ParaLevel8"/>
    <w:basedOn w:val="Normal"/>
    <w:pPr>
      <w:numPr>
        <w:ilvl w:val="7"/>
        <w:numId w:val="1"/>
      </w:numPr>
      <w:suppressAutoHyphens/>
      <w:spacing w:before="240" w:after="240" w:line="480" w:lineRule="auto"/>
      <w:jc w:val="both"/>
      <w:outlineLvl w:val="7"/>
    </w:pPr>
    <w:rPr>
      <w:szCs w:val="20"/>
    </w:rPr>
  </w:style>
  <w:style w:type="paragraph" w:customStyle="1" w:styleId="ParaLevel9">
    <w:name w:val="ParaLevel9"/>
    <w:basedOn w:val="Normal"/>
    <w:pPr>
      <w:numPr>
        <w:ilvl w:val="8"/>
        <w:numId w:val="1"/>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character" w:customStyle="1" w:styleId="apple-converted-space">
    <w:name w:val="apple-converted-space"/>
    <w:rsid w:val="003B610A"/>
  </w:style>
  <w:style w:type="paragraph" w:customStyle="1" w:styleId="eMailBlock">
    <w:name w:val="eMailBlock"/>
    <w:basedOn w:val="Title"/>
    <w:rPr>
      <w:sz w:val="26"/>
    </w:rPr>
  </w:style>
  <w:style w:type="character" w:styleId="Emphasis">
    <w:name w:val="Emphasis"/>
    <w:uiPriority w:val="20"/>
    <w:qFormat/>
    <w:rsid w:val="003B610A"/>
    <w:rPr>
      <w:i/>
      <w:iCs/>
    </w:rPr>
  </w:style>
  <w:style w:type="character" w:styleId="Hyperlink">
    <w:name w:val="Hyperlink"/>
    <w:uiPriority w:val="99"/>
    <w:unhideWhenUsed/>
    <w:rsid w:val="003B610A"/>
    <w:rPr>
      <w:color w:val="0000FF"/>
      <w:u w:val="single"/>
    </w:rPr>
  </w:style>
  <w:style w:type="paragraph" w:styleId="NormalWeb">
    <w:name w:val="Normal (Web)"/>
    <w:basedOn w:val="Normal"/>
    <w:uiPriority w:val="99"/>
    <w:unhideWhenUsed/>
    <w:rsid w:val="00B16DFB"/>
    <w:pPr>
      <w:spacing w:before="100" w:beforeAutospacing="1" w:after="100" w:afterAutospacing="1"/>
    </w:pPr>
  </w:style>
  <w:style w:type="character" w:styleId="PageNumber">
    <w:name w:val="page number"/>
    <w:rsid w:val="00D23A20"/>
  </w:style>
  <w:style w:type="table" w:styleId="TableGrid">
    <w:name w:val="Table Grid"/>
    <w:basedOn w:val="TableNormal"/>
    <w:rsid w:val="00D23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D702CD"/>
    <w:rPr>
      <w:sz w:val="16"/>
      <w:szCs w:val="16"/>
    </w:rPr>
  </w:style>
  <w:style w:type="paragraph" w:styleId="CommentText">
    <w:name w:val="annotation text"/>
    <w:basedOn w:val="Normal"/>
    <w:link w:val="CommentTextChar"/>
    <w:rsid w:val="00D702CD"/>
    <w:rPr>
      <w:sz w:val="20"/>
      <w:szCs w:val="20"/>
    </w:rPr>
  </w:style>
  <w:style w:type="character" w:customStyle="1" w:styleId="CommentTextChar">
    <w:name w:val="Comment Text Char"/>
    <w:basedOn w:val="DefaultParagraphFont"/>
    <w:link w:val="CommentText"/>
    <w:rsid w:val="00D702CD"/>
  </w:style>
  <w:style w:type="paragraph" w:styleId="CommentSubject">
    <w:name w:val="annotation subject"/>
    <w:basedOn w:val="CommentText"/>
    <w:next w:val="CommentText"/>
    <w:link w:val="CommentSubjectChar"/>
    <w:rsid w:val="00D702CD"/>
    <w:rPr>
      <w:b/>
      <w:bCs/>
    </w:rPr>
  </w:style>
  <w:style w:type="character" w:customStyle="1" w:styleId="CommentSubjectChar">
    <w:name w:val="Comment Subject Char"/>
    <w:link w:val="CommentSubject"/>
    <w:rsid w:val="00D702CD"/>
    <w:rPr>
      <w:b/>
      <w:bCs/>
    </w:rPr>
  </w:style>
  <w:style w:type="paragraph" w:styleId="BalloonText">
    <w:name w:val="Balloon Text"/>
    <w:basedOn w:val="Normal"/>
    <w:link w:val="BalloonTextChar"/>
    <w:rsid w:val="00D702CD"/>
    <w:rPr>
      <w:rFonts w:ascii="Segoe UI" w:hAnsi="Segoe UI" w:cs="Segoe UI"/>
      <w:sz w:val="18"/>
      <w:szCs w:val="18"/>
    </w:rPr>
  </w:style>
  <w:style w:type="character" w:customStyle="1" w:styleId="BalloonTextChar">
    <w:name w:val="Balloon Text Char"/>
    <w:link w:val="BalloonText"/>
    <w:rsid w:val="00D702CD"/>
    <w:rPr>
      <w:rFonts w:ascii="Segoe UI" w:hAnsi="Segoe UI" w:cs="Segoe UI"/>
      <w:sz w:val="18"/>
      <w:szCs w:val="18"/>
    </w:rPr>
  </w:style>
  <w:style w:type="paragraph" w:styleId="Revision">
    <w:name w:val="Revision"/>
    <w:hidden/>
    <w:uiPriority w:val="99"/>
    <w:semiHidden/>
    <w:rsid w:val="00EA62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683151">
      <w:bodyDiv w:val="1"/>
      <w:marLeft w:val="0"/>
      <w:marRight w:val="0"/>
      <w:marTop w:val="0"/>
      <w:marBottom w:val="0"/>
      <w:divBdr>
        <w:top w:val="none" w:sz="0" w:space="0" w:color="auto"/>
        <w:left w:val="none" w:sz="0" w:space="0" w:color="auto"/>
        <w:bottom w:val="none" w:sz="0" w:space="0" w:color="auto"/>
        <w:right w:val="none" w:sz="0" w:space="0" w:color="auto"/>
      </w:divBdr>
      <w:divsChild>
        <w:div w:id="616067630">
          <w:marLeft w:val="0"/>
          <w:marRight w:val="0"/>
          <w:marTop w:val="0"/>
          <w:marBottom w:val="0"/>
          <w:divBdr>
            <w:top w:val="none" w:sz="0" w:space="0" w:color="auto"/>
            <w:left w:val="none" w:sz="0" w:space="0" w:color="auto"/>
            <w:bottom w:val="none" w:sz="0" w:space="0" w:color="auto"/>
            <w:right w:val="none" w:sz="0" w:space="0" w:color="auto"/>
          </w:divBdr>
        </w:div>
        <w:div w:id="895701686">
          <w:marLeft w:val="0"/>
          <w:marRight w:val="0"/>
          <w:marTop w:val="0"/>
          <w:marBottom w:val="0"/>
          <w:divBdr>
            <w:top w:val="none" w:sz="0" w:space="0" w:color="auto"/>
            <w:left w:val="none" w:sz="0" w:space="0" w:color="auto"/>
            <w:bottom w:val="none" w:sz="0" w:space="0" w:color="auto"/>
            <w:right w:val="none" w:sz="0" w:space="0" w:color="auto"/>
          </w:divBdr>
        </w:div>
        <w:div w:id="1420830182">
          <w:marLeft w:val="0"/>
          <w:marRight w:val="0"/>
          <w:marTop w:val="0"/>
          <w:marBottom w:val="0"/>
          <w:divBdr>
            <w:top w:val="none" w:sz="0" w:space="0" w:color="auto"/>
            <w:left w:val="none" w:sz="0" w:space="0" w:color="auto"/>
            <w:bottom w:val="none" w:sz="0" w:space="0" w:color="auto"/>
            <w:right w:val="none" w:sz="0" w:space="0" w:color="auto"/>
          </w:divBdr>
        </w:div>
        <w:div w:id="1599479464">
          <w:marLeft w:val="0"/>
          <w:marRight w:val="0"/>
          <w:marTop w:val="0"/>
          <w:marBottom w:val="0"/>
          <w:divBdr>
            <w:top w:val="none" w:sz="0" w:space="0" w:color="auto"/>
            <w:left w:val="none" w:sz="0" w:space="0" w:color="auto"/>
            <w:bottom w:val="none" w:sz="0" w:space="0" w:color="auto"/>
            <w:right w:val="none" w:sz="0" w:space="0" w:color="auto"/>
          </w:divBdr>
          <w:divsChild>
            <w:div w:id="854076328">
              <w:marLeft w:val="0"/>
              <w:marRight w:val="0"/>
              <w:marTop w:val="0"/>
              <w:marBottom w:val="0"/>
              <w:divBdr>
                <w:top w:val="none" w:sz="0" w:space="0" w:color="auto"/>
                <w:left w:val="none" w:sz="0" w:space="0" w:color="auto"/>
                <w:bottom w:val="none" w:sz="0" w:space="0" w:color="auto"/>
                <w:right w:val="none" w:sz="0" w:space="0" w:color="auto"/>
              </w:divBdr>
            </w:div>
            <w:div w:id="1547788786">
              <w:marLeft w:val="0"/>
              <w:marRight w:val="0"/>
              <w:marTop w:val="0"/>
              <w:marBottom w:val="0"/>
              <w:divBdr>
                <w:top w:val="none" w:sz="0" w:space="0" w:color="auto"/>
                <w:left w:val="none" w:sz="0" w:space="0" w:color="auto"/>
                <w:bottom w:val="none" w:sz="0" w:space="0" w:color="auto"/>
                <w:right w:val="none" w:sz="0" w:space="0" w:color="auto"/>
              </w:divBdr>
            </w:div>
            <w:div w:id="2130121972">
              <w:marLeft w:val="0"/>
              <w:marRight w:val="0"/>
              <w:marTop w:val="0"/>
              <w:marBottom w:val="0"/>
              <w:divBdr>
                <w:top w:val="none" w:sz="0" w:space="0" w:color="auto"/>
                <w:left w:val="none" w:sz="0" w:space="0" w:color="auto"/>
                <w:bottom w:val="none" w:sz="0" w:space="0" w:color="auto"/>
                <w:right w:val="none" w:sz="0" w:space="0" w:color="auto"/>
              </w:divBdr>
            </w:div>
          </w:divsChild>
        </w:div>
        <w:div w:id="1964455123">
          <w:marLeft w:val="0"/>
          <w:marRight w:val="0"/>
          <w:marTop w:val="0"/>
          <w:marBottom w:val="0"/>
          <w:divBdr>
            <w:top w:val="none" w:sz="0" w:space="0" w:color="auto"/>
            <w:left w:val="none" w:sz="0" w:space="0" w:color="auto"/>
            <w:bottom w:val="none" w:sz="0" w:space="0" w:color="auto"/>
            <w:right w:val="none" w:sz="0" w:space="0" w:color="auto"/>
          </w:divBdr>
        </w:div>
      </w:divsChild>
    </w:div>
    <w:div w:id="19569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co.uk/maf/wluk/app/document?src=doc&amp;linktype=ref&amp;context=16&amp;crumb-action=replace&amp;docguid=I53F2DD10E39E11E39430E8A4C9091EE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ogin.westlaw.co.uk/maf/wluk/app/document?src=doc&amp;linktype=ref&amp;context=16&amp;crumb-action=replace&amp;docguid=I8819D1F0E44911DA8D70A0E70A78ED65" TargetMode="External"/><Relationship Id="rId4" Type="http://schemas.openxmlformats.org/officeDocument/2006/relationships/settings" Target="settings.xml"/><Relationship Id="rId9" Type="http://schemas.openxmlformats.org/officeDocument/2006/relationships/hyperlink" Target="https://login.westlaw.co.uk/maf/wluk/app/document?src=doc&amp;linktype=ref&amp;context=16&amp;crumb-action=replace&amp;docguid=I68410501E42711DA8FC2A0F0355337E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96461-A6BF-41B5-8800-2C679A3C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4407</Words>
  <Characters>21228</Characters>
  <Application>Microsoft Office Word</Application>
  <DocSecurity>0</DocSecurity>
  <Lines>176</Lines>
  <Paragraphs>51</Paragraphs>
  <ScaleCrop>false</ScaleCrop>
  <Company/>
  <LinksUpToDate>false</LinksUpToDate>
  <CharactersWithSpaces>25584</CharactersWithSpaces>
  <SharedDoc>false</SharedDoc>
  <HLinks>
    <vt:vector size="18" baseType="variant">
      <vt:variant>
        <vt:i4>4653133</vt:i4>
      </vt:variant>
      <vt:variant>
        <vt:i4>6</vt:i4>
      </vt:variant>
      <vt:variant>
        <vt:i4>0</vt:i4>
      </vt:variant>
      <vt:variant>
        <vt:i4>5</vt:i4>
      </vt:variant>
      <vt:variant>
        <vt:lpwstr>https://login.westlaw.co.uk/maf/wluk/app/document?src=doc&amp;linktype=ref&amp;context=16&amp;crumb-action=replace&amp;docguid=I53F2DD10E39E11E39430E8A4C9091EE2</vt:lpwstr>
      </vt:variant>
      <vt:variant>
        <vt:lpwstr/>
      </vt:variant>
      <vt:variant>
        <vt:i4>2031642</vt:i4>
      </vt:variant>
      <vt:variant>
        <vt:i4>3</vt:i4>
      </vt:variant>
      <vt:variant>
        <vt:i4>0</vt:i4>
      </vt:variant>
      <vt:variant>
        <vt:i4>5</vt:i4>
      </vt:variant>
      <vt:variant>
        <vt:lpwstr>https://login.westlaw.co.uk/maf/wluk/app/document?src=doc&amp;linktype=ref&amp;context=16&amp;crumb-action=replace&amp;docguid=I8819D1F0E44911DA8D70A0E70A78ED65</vt:lpwstr>
      </vt:variant>
      <vt:variant>
        <vt:lpwstr/>
      </vt:variant>
      <vt:variant>
        <vt:i4>1769542</vt:i4>
      </vt:variant>
      <vt:variant>
        <vt:i4>0</vt:i4>
      </vt:variant>
      <vt:variant>
        <vt:i4>0</vt:i4>
      </vt:variant>
      <vt:variant>
        <vt:i4>5</vt:i4>
      </vt:variant>
      <vt:variant>
        <vt:lpwstr>https://login.westlaw.co.uk/maf/wluk/app/document?src=doc&amp;linktype=ref&amp;context=16&amp;crumb-action=replace&amp;docguid=I68410501E42711DA8FC2A0F0355337E9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2018-07-24T08:43:00Z</dcterms:created>
  <dcterms:modified xsi:type="dcterms:W3CDTF">2018-07-24T08:43:00Z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