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CD15" w14:textId="77777777" w:rsidR="008F0F55" w:rsidRPr="00F146AE" w:rsidRDefault="00F81D1E" w:rsidP="008F0F55">
      <w:pPr>
        <w:jc w:val="center"/>
        <w:rPr>
          <w:rFonts w:ascii="Book Antiqua" w:hAnsi="Book Antiqua" w:cs="Arial"/>
          <w:sz w:val="16"/>
          <w:szCs w:val="16"/>
        </w:rPr>
      </w:pPr>
      <w:r>
        <w:rPr>
          <w:rFonts w:ascii="Book Antiqua" w:hAnsi="Book Antiqua"/>
          <w:noProof/>
        </w:rPr>
        <w:drawing>
          <wp:inline distT="0" distB="0" distL="0" distR="0" wp14:anchorId="5B3E18BB" wp14:editId="40A8B131">
            <wp:extent cx="1188000" cy="10440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88000" cy="1044000"/>
                    </a:xfrm>
                    <a:prstGeom prst="rect">
                      <a:avLst/>
                    </a:prstGeom>
                    <a:noFill/>
                    <a:ln w="9525">
                      <a:noFill/>
                      <a:miter lim="800000"/>
                      <a:headEnd/>
                      <a:tailEnd/>
                    </a:ln>
                  </pic:spPr>
                </pic:pic>
              </a:graphicData>
            </a:graphic>
          </wp:inline>
        </w:drawing>
      </w:r>
    </w:p>
    <w:p w14:paraId="778DE1A4" w14:textId="2C6C6AA2" w:rsidR="008F0F55" w:rsidRPr="00F146AE" w:rsidRDefault="00AE0A12" w:rsidP="008F0F55">
      <w:pPr>
        <w:tabs>
          <w:tab w:val="right" w:pos="9639"/>
        </w:tabs>
        <w:rPr>
          <w:rFonts w:ascii="Book Antiqua" w:hAnsi="Book Antiqua" w:cs="Arial"/>
          <w:b/>
        </w:rPr>
      </w:pPr>
      <w:r>
        <w:rPr>
          <w:rFonts w:ascii="Book Antiqua" w:hAnsi="Book Antiqua" w:cs="Arial"/>
          <w:b/>
        </w:rPr>
        <w:t xml:space="preserve">Upper </w:t>
      </w:r>
      <w:r w:rsidR="00F81D1E" w:rsidRPr="00F146AE">
        <w:rPr>
          <w:rFonts w:ascii="Book Antiqua" w:hAnsi="Book Antiqua" w:cs="Arial"/>
          <w:b/>
        </w:rPr>
        <w:t xml:space="preserve">Tribunal </w:t>
      </w:r>
    </w:p>
    <w:p w14:paraId="19165009" w14:textId="3B0762F8" w:rsidR="008F0F55" w:rsidRPr="00F146AE" w:rsidRDefault="00F81D1E" w:rsidP="008F0F55">
      <w:pPr>
        <w:tabs>
          <w:tab w:val="right" w:pos="9639"/>
        </w:tabs>
        <w:rPr>
          <w:rFonts w:ascii="Book Antiqua" w:hAnsi="Book Antiqua" w:cs="Arial"/>
        </w:rPr>
      </w:pPr>
      <w:r w:rsidRPr="00F146AE">
        <w:rPr>
          <w:rFonts w:ascii="Book Antiqua" w:hAnsi="Book Antiqua" w:cs="Arial"/>
          <w:b/>
        </w:rPr>
        <w:t>(</w:t>
      </w:r>
      <w:r w:rsidR="00AE0A12">
        <w:rPr>
          <w:rFonts w:ascii="Book Antiqua" w:hAnsi="Book Antiqua" w:cs="Arial"/>
          <w:b/>
        </w:rPr>
        <w:t xml:space="preserve">Immigration and Asylum </w:t>
      </w:r>
      <w:proofErr w:type="gramStart"/>
      <w:r w:rsidR="00AE0A12">
        <w:rPr>
          <w:rFonts w:ascii="Book Antiqua" w:hAnsi="Book Antiqua" w:cs="Arial"/>
          <w:b/>
        </w:rPr>
        <w:t xml:space="preserve">Chamber)   </w:t>
      </w:r>
      <w:proofErr w:type="gramEnd"/>
      <w:r w:rsidR="00AE0A12">
        <w:rPr>
          <w:rFonts w:ascii="Book Antiqua" w:hAnsi="Book Antiqua" w:cs="Arial"/>
          <w:b/>
        </w:rPr>
        <w:t xml:space="preserve">                   </w:t>
      </w:r>
      <w:r w:rsidRPr="00AE0A12">
        <w:rPr>
          <w:rFonts w:ascii="Book Antiqua" w:hAnsi="Book Antiqua" w:cs="Arial"/>
          <w:b/>
        </w:rPr>
        <w:t xml:space="preserve">Appeal Number: </w:t>
      </w:r>
      <w:r w:rsidR="00D87D87" w:rsidRPr="00AE0A12">
        <w:rPr>
          <w:rFonts w:ascii="Book Antiqua" w:hAnsi="Book Antiqua" w:cs="Arial"/>
          <w:b/>
        </w:rPr>
        <w:t>HU/15805/2016</w:t>
      </w:r>
    </w:p>
    <w:p w14:paraId="60785EDE" w14:textId="77777777" w:rsidR="008F0F55" w:rsidRPr="00F146AE" w:rsidRDefault="00EB47EE" w:rsidP="008F0F55">
      <w:pPr>
        <w:jc w:val="center"/>
        <w:rPr>
          <w:rFonts w:ascii="Book Antiqua" w:hAnsi="Book Antiqua" w:cs="Arial"/>
        </w:rPr>
      </w:pPr>
    </w:p>
    <w:p w14:paraId="04DC5760"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1410A07F" w14:textId="77777777" w:rsidR="008F0F55" w:rsidRPr="00F146AE" w:rsidRDefault="00EB47EE" w:rsidP="008F0F55">
      <w:pPr>
        <w:jc w:val="center"/>
        <w:rPr>
          <w:rFonts w:ascii="Book Antiqua" w:hAnsi="Book Antiqua" w:cs="Arial"/>
          <w:b/>
          <w:u w:val="single"/>
        </w:rPr>
      </w:pPr>
    </w:p>
    <w:tbl>
      <w:tblPr>
        <w:tblW w:w="10538" w:type="dxa"/>
        <w:tblLook w:val="01E0" w:firstRow="1" w:lastRow="1" w:firstColumn="1" w:lastColumn="1" w:noHBand="0" w:noVBand="0"/>
      </w:tblPr>
      <w:tblGrid>
        <w:gridCol w:w="5245"/>
        <w:gridCol w:w="5293"/>
      </w:tblGrid>
      <w:tr w:rsidR="008F0F55" w:rsidRPr="00035322" w14:paraId="2E330527" w14:textId="77777777" w:rsidTr="00AE0A12">
        <w:trPr>
          <w:trHeight w:val="678"/>
        </w:trPr>
        <w:tc>
          <w:tcPr>
            <w:tcW w:w="5245" w:type="dxa"/>
          </w:tcPr>
          <w:p w14:paraId="12222D24" w14:textId="7F28BB26" w:rsidR="00E35A59" w:rsidRPr="00AE0A12" w:rsidRDefault="00F81D1E" w:rsidP="008F0F55">
            <w:pPr>
              <w:jc w:val="both"/>
              <w:rPr>
                <w:rFonts w:ascii="Book Antiqua" w:hAnsi="Book Antiqua" w:cs="Arial"/>
                <w:b/>
              </w:rPr>
            </w:pPr>
            <w:r w:rsidRPr="00AE0A12">
              <w:rPr>
                <w:rFonts w:ascii="Book Antiqua" w:hAnsi="Book Antiqua" w:cs="Arial"/>
                <w:b/>
              </w:rPr>
              <w:t xml:space="preserve">Heard at </w:t>
            </w:r>
            <w:r w:rsidR="00D87D87" w:rsidRPr="00AE0A12">
              <w:rPr>
                <w:rFonts w:ascii="Book Antiqua" w:hAnsi="Book Antiqua" w:cs="Arial"/>
                <w:b/>
              </w:rPr>
              <w:t>Bradford</w:t>
            </w:r>
          </w:p>
          <w:p w14:paraId="58A0AF18" w14:textId="63219867" w:rsidR="008F0F55" w:rsidRPr="00AE0A12" w:rsidRDefault="00E35A59" w:rsidP="00E35A59">
            <w:pPr>
              <w:rPr>
                <w:rFonts w:ascii="Book Antiqua" w:hAnsi="Book Antiqua" w:cs="Arial"/>
                <w:b/>
              </w:rPr>
            </w:pPr>
            <w:r w:rsidRPr="00AE0A12">
              <w:rPr>
                <w:rFonts w:ascii="Book Antiqua" w:hAnsi="Book Antiqua" w:cs="Arial"/>
                <w:b/>
              </w:rPr>
              <w:t>On 29 June 2018</w:t>
            </w:r>
          </w:p>
        </w:tc>
        <w:tc>
          <w:tcPr>
            <w:tcW w:w="5293" w:type="dxa"/>
          </w:tcPr>
          <w:p w14:paraId="442A84BC" w14:textId="2F110D7A" w:rsidR="00E35A59" w:rsidRPr="00AE0A12" w:rsidRDefault="00F81D1E" w:rsidP="00F81D1E">
            <w:pPr>
              <w:jc w:val="both"/>
              <w:rPr>
                <w:rFonts w:ascii="Book Antiqua" w:hAnsi="Book Antiqua" w:cs="Arial"/>
                <w:b/>
              </w:rPr>
            </w:pPr>
            <w:r w:rsidRPr="00AE0A12">
              <w:rPr>
                <w:rFonts w:ascii="Book Antiqua" w:hAnsi="Book Antiqua" w:cs="Arial"/>
                <w:b/>
              </w:rPr>
              <w:t>Decision</w:t>
            </w:r>
            <w:r w:rsidR="00E35A59" w:rsidRPr="00AE0A12">
              <w:rPr>
                <w:rFonts w:ascii="Book Antiqua" w:hAnsi="Book Antiqua" w:cs="Arial"/>
                <w:b/>
              </w:rPr>
              <w:t xml:space="preserve"> &amp; Reasons</w:t>
            </w:r>
            <w:r w:rsidRPr="00AE0A12">
              <w:rPr>
                <w:rFonts w:ascii="Book Antiqua" w:hAnsi="Book Antiqua" w:cs="Arial"/>
                <w:b/>
              </w:rPr>
              <w:t xml:space="preserve"> Promulgated</w:t>
            </w:r>
          </w:p>
          <w:p w14:paraId="3C3EBC5D" w14:textId="7015DB30" w:rsidR="008F0F55" w:rsidRPr="00AE0A12" w:rsidRDefault="00E35A59" w:rsidP="00E35A59">
            <w:pPr>
              <w:rPr>
                <w:rFonts w:ascii="Book Antiqua" w:hAnsi="Book Antiqua" w:cs="Arial"/>
                <w:b/>
              </w:rPr>
            </w:pPr>
            <w:r w:rsidRPr="00AE0A12">
              <w:rPr>
                <w:rFonts w:ascii="Book Antiqua" w:hAnsi="Book Antiqua" w:cs="Arial"/>
                <w:b/>
              </w:rPr>
              <w:t>On 2 July 2018</w:t>
            </w:r>
          </w:p>
        </w:tc>
      </w:tr>
      <w:tr w:rsidR="008F0F55" w:rsidRPr="00035322" w14:paraId="44428417" w14:textId="77777777" w:rsidTr="00AE0A12">
        <w:trPr>
          <w:trHeight w:val="339"/>
        </w:trPr>
        <w:tc>
          <w:tcPr>
            <w:tcW w:w="5245" w:type="dxa"/>
          </w:tcPr>
          <w:p w14:paraId="76596F5F" w14:textId="0C0B63EE" w:rsidR="008F0F55" w:rsidRPr="00035322" w:rsidRDefault="00EB47EE" w:rsidP="008F0F55">
            <w:pPr>
              <w:jc w:val="both"/>
              <w:rPr>
                <w:rFonts w:ascii="Book Antiqua" w:hAnsi="Book Antiqua" w:cs="Arial"/>
                <w:b/>
              </w:rPr>
            </w:pPr>
          </w:p>
        </w:tc>
        <w:tc>
          <w:tcPr>
            <w:tcW w:w="5293" w:type="dxa"/>
          </w:tcPr>
          <w:p w14:paraId="60129748" w14:textId="77777777" w:rsidR="008F0F55" w:rsidRPr="00035322" w:rsidRDefault="00EB47EE" w:rsidP="008F0F55">
            <w:pPr>
              <w:jc w:val="both"/>
              <w:rPr>
                <w:rFonts w:ascii="Book Antiqua" w:hAnsi="Book Antiqua" w:cs="Arial"/>
                <w:b/>
              </w:rPr>
            </w:pPr>
          </w:p>
        </w:tc>
      </w:tr>
    </w:tbl>
    <w:p w14:paraId="25CFCAFA" w14:textId="77777777" w:rsidR="008F0F55" w:rsidRPr="00F146AE" w:rsidRDefault="00EB47EE" w:rsidP="008F0F55">
      <w:pPr>
        <w:jc w:val="center"/>
        <w:rPr>
          <w:rFonts w:ascii="Book Antiqua" w:hAnsi="Book Antiqua" w:cs="Arial"/>
        </w:rPr>
      </w:pPr>
    </w:p>
    <w:p w14:paraId="3D7EA9A7"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3F3F3818" w14:textId="77777777" w:rsidR="008F0F55" w:rsidRPr="00F146AE" w:rsidRDefault="00EB47EE" w:rsidP="008F0F55">
      <w:pPr>
        <w:jc w:val="center"/>
        <w:rPr>
          <w:rFonts w:ascii="Book Antiqua" w:hAnsi="Book Antiqua" w:cs="Arial"/>
          <w:b/>
        </w:rPr>
      </w:pPr>
    </w:p>
    <w:p w14:paraId="7757D50B" w14:textId="3830B0A9" w:rsidR="008F0F55" w:rsidRPr="00F146AE" w:rsidRDefault="00AE0A12" w:rsidP="008F0F55">
      <w:pPr>
        <w:jc w:val="center"/>
        <w:rPr>
          <w:rFonts w:ascii="Book Antiqua" w:hAnsi="Book Antiqua" w:cs="Arial"/>
          <w:b/>
        </w:rPr>
      </w:pPr>
      <w:r>
        <w:rPr>
          <w:rFonts w:ascii="Book Antiqua" w:hAnsi="Book Antiqua" w:cs="Arial"/>
          <w:b/>
        </w:rPr>
        <w:t>DEPUTY UPPER TRIBUNAL JUDGE PICKUP</w:t>
      </w:r>
    </w:p>
    <w:p w14:paraId="5DDBE8FE" w14:textId="77777777" w:rsidR="00AE0A12" w:rsidRDefault="00AE0A12" w:rsidP="008F0F55">
      <w:pPr>
        <w:jc w:val="center"/>
        <w:rPr>
          <w:rFonts w:ascii="Book Antiqua" w:hAnsi="Book Antiqua" w:cs="Arial"/>
          <w:b/>
        </w:rPr>
      </w:pPr>
    </w:p>
    <w:p w14:paraId="7F950F83" w14:textId="4F99E465"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148112FF" w14:textId="77777777" w:rsidR="008F0F55" w:rsidRPr="00F146AE" w:rsidRDefault="00EB47EE" w:rsidP="008F0F55">
      <w:pPr>
        <w:jc w:val="center"/>
        <w:rPr>
          <w:rFonts w:ascii="Book Antiqua" w:hAnsi="Book Antiqua" w:cs="Arial"/>
          <w:b/>
        </w:rPr>
      </w:pPr>
    </w:p>
    <w:p w14:paraId="36C28499" w14:textId="52A255B0" w:rsidR="008F0F55" w:rsidRDefault="00AE0A12" w:rsidP="008F0F55">
      <w:pPr>
        <w:jc w:val="center"/>
        <w:rPr>
          <w:rFonts w:ascii="Book Antiqua" w:hAnsi="Book Antiqua" w:cs="Arial"/>
          <w:b/>
        </w:rPr>
      </w:pPr>
      <w:r w:rsidRPr="00C020D4">
        <w:rPr>
          <w:rFonts w:ascii="Book Antiqua" w:hAnsi="Book Antiqua" w:cs="Arial"/>
          <w:b/>
        </w:rPr>
        <w:t>NNAEMEK ECHEZON EZEUGO</w:t>
      </w:r>
    </w:p>
    <w:p w14:paraId="5F65B1C1" w14:textId="708ED088" w:rsidR="008F0F55" w:rsidRPr="00AE0A12" w:rsidRDefault="00AE0A12" w:rsidP="008F0F55">
      <w:pPr>
        <w:jc w:val="center"/>
        <w:rPr>
          <w:rFonts w:ascii="Book Antiqua" w:hAnsi="Book Antiqua" w:cs="Arial"/>
        </w:rPr>
      </w:pPr>
      <w:r w:rsidRPr="00AE0A12">
        <w:rPr>
          <w:rFonts w:ascii="Book Antiqua" w:hAnsi="Book Antiqua" w:cs="Arial"/>
        </w:rPr>
        <w:t>[NO ANONYMITY DIRECTION MADE]</w:t>
      </w:r>
    </w:p>
    <w:p w14:paraId="382C14C7"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222DBBFE" w14:textId="77777777" w:rsidR="00AE0A12" w:rsidRDefault="00AE0A12" w:rsidP="008F0F55">
      <w:pPr>
        <w:jc w:val="center"/>
        <w:rPr>
          <w:rFonts w:ascii="Book Antiqua" w:hAnsi="Book Antiqua" w:cs="Arial"/>
          <w:b/>
        </w:rPr>
      </w:pPr>
    </w:p>
    <w:p w14:paraId="0E25DA8E" w14:textId="70B31B5D" w:rsidR="008F0F55" w:rsidRPr="00F146AE" w:rsidRDefault="00F81D1E" w:rsidP="008F0F55">
      <w:pPr>
        <w:jc w:val="center"/>
        <w:rPr>
          <w:rFonts w:ascii="Book Antiqua" w:hAnsi="Book Antiqua" w:cs="Arial"/>
          <w:b/>
        </w:rPr>
      </w:pPr>
      <w:r w:rsidRPr="00F146AE">
        <w:rPr>
          <w:rFonts w:ascii="Book Antiqua" w:hAnsi="Book Antiqua" w:cs="Arial"/>
          <w:b/>
        </w:rPr>
        <w:t>and</w:t>
      </w:r>
    </w:p>
    <w:p w14:paraId="5D3E3F45" w14:textId="77777777" w:rsidR="008F0F55" w:rsidRPr="00F146AE" w:rsidRDefault="00EB47EE" w:rsidP="008F0F55">
      <w:pPr>
        <w:jc w:val="center"/>
        <w:rPr>
          <w:rFonts w:ascii="Book Antiqua" w:hAnsi="Book Antiqua" w:cs="Arial"/>
          <w:b/>
        </w:rPr>
      </w:pPr>
    </w:p>
    <w:p w14:paraId="0EB141DF" w14:textId="785FB1EB" w:rsidR="008F0F55" w:rsidRPr="00F146AE" w:rsidRDefault="00AE0A12" w:rsidP="008F0F55">
      <w:pPr>
        <w:jc w:val="center"/>
        <w:rPr>
          <w:rFonts w:ascii="Book Antiqua" w:hAnsi="Book Antiqua" w:cs="Arial"/>
          <w:b/>
        </w:rPr>
      </w:pPr>
      <w:r>
        <w:rPr>
          <w:rFonts w:ascii="Book Antiqua" w:hAnsi="Book Antiqua" w:cs="Arial"/>
          <w:b/>
        </w:rPr>
        <w:t>THE ENTRY CLEARANCE OFFICER</w:t>
      </w:r>
    </w:p>
    <w:p w14:paraId="4138BE2F"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38E4F76D" w14:textId="77777777" w:rsidR="008F0F55" w:rsidRPr="00F146AE" w:rsidRDefault="00EB47EE" w:rsidP="008F0F55">
      <w:pPr>
        <w:rPr>
          <w:rFonts w:ascii="Book Antiqua" w:hAnsi="Book Antiqua" w:cs="Arial"/>
          <w:u w:val="single"/>
        </w:rPr>
      </w:pPr>
    </w:p>
    <w:p w14:paraId="42F4EF15"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4984D457" w14:textId="77777777" w:rsidR="008F0F55" w:rsidRPr="00F146AE" w:rsidRDefault="00EB47EE" w:rsidP="008F0F55">
      <w:pPr>
        <w:rPr>
          <w:rFonts w:ascii="Book Antiqua" w:hAnsi="Book Antiqua" w:cs="Arial"/>
        </w:rPr>
      </w:pPr>
    </w:p>
    <w:p w14:paraId="07D2F409" w14:textId="16C0CB1C" w:rsidR="008F0F55"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Pr="00F146AE">
        <w:rPr>
          <w:rFonts w:ascii="Book Antiqua" w:hAnsi="Book Antiqua" w:cs="Arial"/>
        </w:rPr>
        <w:tab/>
      </w:r>
      <w:r w:rsidR="00D87D87">
        <w:rPr>
          <w:rFonts w:ascii="Book Antiqua" w:hAnsi="Book Antiqua" w:cs="Arial"/>
        </w:rPr>
        <w:t xml:space="preserve">Mr </w:t>
      </w:r>
      <w:r w:rsidR="00FE1F93">
        <w:rPr>
          <w:rFonts w:ascii="Book Antiqua" w:hAnsi="Book Antiqua" w:cs="Arial"/>
        </w:rPr>
        <w:t>S Medley-Daley</w:t>
      </w:r>
      <w:r>
        <w:rPr>
          <w:rFonts w:ascii="Book Antiqua" w:hAnsi="Book Antiqua" w:cs="Arial"/>
        </w:rPr>
        <w:t xml:space="preserve">, instructed by </w:t>
      </w:r>
      <w:r w:rsidR="00FE1F93">
        <w:rPr>
          <w:rFonts w:ascii="Book Antiqua" w:hAnsi="Book Antiqua" w:cs="Arial"/>
        </w:rPr>
        <w:t>Immigration Legal Centre</w:t>
      </w:r>
    </w:p>
    <w:p w14:paraId="42E8BC5C" w14:textId="74E584A3"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Pr="00F146AE">
        <w:rPr>
          <w:rFonts w:ascii="Book Antiqua" w:hAnsi="Book Antiqua" w:cs="Arial"/>
        </w:rPr>
        <w:tab/>
      </w:r>
      <w:r w:rsidR="00FE1F93">
        <w:rPr>
          <w:rFonts w:ascii="Book Antiqua" w:hAnsi="Book Antiqua" w:cs="Arial"/>
        </w:rPr>
        <w:t xml:space="preserve">Mr M </w:t>
      </w:r>
      <w:proofErr w:type="spellStart"/>
      <w:r w:rsidR="00FE1F93">
        <w:rPr>
          <w:rFonts w:ascii="Book Antiqua" w:hAnsi="Book Antiqua" w:cs="Arial"/>
        </w:rPr>
        <w:t>Diwnycz</w:t>
      </w:r>
      <w:proofErr w:type="spellEnd"/>
      <w:r w:rsidR="00FE1F93">
        <w:rPr>
          <w:rFonts w:ascii="Book Antiqua" w:hAnsi="Book Antiqua" w:cs="Arial"/>
        </w:rPr>
        <w:t>,</w:t>
      </w:r>
      <w:r>
        <w:rPr>
          <w:rFonts w:ascii="Book Antiqua" w:hAnsi="Book Antiqua" w:cs="Arial"/>
        </w:rPr>
        <w:t xml:space="preserve"> Senior Home Office Presenting Officer</w:t>
      </w:r>
    </w:p>
    <w:p w14:paraId="758EED03" w14:textId="291FC34C" w:rsidR="008F0F55" w:rsidRDefault="00EB47EE" w:rsidP="008F0F55">
      <w:pPr>
        <w:tabs>
          <w:tab w:val="left" w:pos="2520"/>
        </w:tabs>
        <w:jc w:val="center"/>
        <w:rPr>
          <w:rFonts w:ascii="Book Antiqua" w:hAnsi="Book Antiqua" w:cs="Arial"/>
        </w:rPr>
      </w:pPr>
    </w:p>
    <w:p w14:paraId="42940490" w14:textId="77777777" w:rsidR="005B1635" w:rsidRPr="00F146AE" w:rsidRDefault="005B1635" w:rsidP="008F0F55">
      <w:pPr>
        <w:tabs>
          <w:tab w:val="left" w:pos="2520"/>
        </w:tabs>
        <w:jc w:val="center"/>
        <w:rPr>
          <w:rFonts w:ascii="Book Antiqua" w:hAnsi="Book Antiqua" w:cs="Arial"/>
        </w:rPr>
      </w:pPr>
    </w:p>
    <w:p w14:paraId="072772E5" w14:textId="2DB18F61"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0FD64CCA" w14:textId="77777777" w:rsidR="005B1635" w:rsidRDefault="005B1635" w:rsidP="008F0F55">
      <w:pPr>
        <w:tabs>
          <w:tab w:val="left" w:pos="2520"/>
        </w:tabs>
        <w:jc w:val="center"/>
        <w:rPr>
          <w:rFonts w:ascii="Book Antiqua" w:hAnsi="Book Antiqua" w:cs="Arial"/>
          <w:b/>
          <w:u w:val="single"/>
        </w:rPr>
      </w:pPr>
    </w:p>
    <w:p w14:paraId="422BD9D3" w14:textId="600E9527" w:rsidR="00FC346C" w:rsidRDefault="00F81D1E" w:rsidP="008F0F55">
      <w:pPr>
        <w:numPr>
          <w:ilvl w:val="0"/>
          <w:numId w:val="3"/>
        </w:numPr>
        <w:spacing w:before="240"/>
        <w:jc w:val="both"/>
        <w:rPr>
          <w:rFonts w:ascii="Book Antiqua" w:hAnsi="Book Antiqua" w:cs="Arial"/>
        </w:rPr>
      </w:pPr>
      <w:r>
        <w:rPr>
          <w:rFonts w:ascii="Book Antiqua" w:hAnsi="Book Antiqua" w:cs="Arial"/>
        </w:rPr>
        <w:t xml:space="preserve">This is </w:t>
      </w:r>
      <w:r w:rsidR="003E7F7B">
        <w:rPr>
          <w:rFonts w:ascii="Book Antiqua" w:hAnsi="Book Antiqua" w:cs="Arial"/>
        </w:rPr>
        <w:t xml:space="preserve">the appellant’s </w:t>
      </w:r>
      <w:r>
        <w:rPr>
          <w:rFonts w:ascii="Book Antiqua" w:hAnsi="Book Antiqua" w:cs="Arial"/>
        </w:rPr>
        <w:t xml:space="preserve">appeal against the decision of First-tier Tribunal Judge </w:t>
      </w:r>
      <w:r w:rsidR="00FE1F93">
        <w:rPr>
          <w:rFonts w:ascii="Book Antiqua" w:hAnsi="Book Antiqua" w:cs="Arial"/>
        </w:rPr>
        <w:t>Bradshaw</w:t>
      </w:r>
      <w:r w:rsidR="00FC346C">
        <w:rPr>
          <w:rFonts w:ascii="Book Antiqua" w:hAnsi="Book Antiqua" w:cs="Arial"/>
        </w:rPr>
        <w:t xml:space="preserve"> promulgated </w:t>
      </w:r>
      <w:r w:rsidR="00FE1F93">
        <w:rPr>
          <w:rFonts w:ascii="Book Antiqua" w:hAnsi="Book Antiqua" w:cs="Arial"/>
        </w:rPr>
        <w:t>31.5.17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his appeal against the decision of the </w:t>
      </w:r>
      <w:r w:rsidR="00FC346C">
        <w:rPr>
          <w:rFonts w:ascii="Book Antiqua" w:hAnsi="Book Antiqua" w:cs="Arial"/>
        </w:rPr>
        <w:t xml:space="preserve">Secretary of State, dated </w:t>
      </w:r>
      <w:r w:rsidR="0079020B">
        <w:rPr>
          <w:rFonts w:ascii="Book Antiqua" w:hAnsi="Book Antiqua" w:cs="Arial"/>
        </w:rPr>
        <w:t>9.6.16</w:t>
      </w:r>
      <w:r w:rsidR="00FC346C">
        <w:rPr>
          <w:rFonts w:ascii="Book Antiqua" w:hAnsi="Book Antiqua" w:cs="Arial"/>
        </w:rPr>
        <w:t>,</w:t>
      </w:r>
      <w:r>
        <w:rPr>
          <w:rFonts w:ascii="Book Antiqua" w:hAnsi="Book Antiqua" w:cs="Arial"/>
        </w:rPr>
        <w:t xml:space="preserve"> to refuse </w:t>
      </w:r>
      <w:r w:rsidR="00FC346C">
        <w:rPr>
          <w:rFonts w:ascii="Book Antiqua" w:hAnsi="Book Antiqua" w:cs="Arial"/>
        </w:rPr>
        <w:t>his application</w:t>
      </w:r>
      <w:r w:rsidR="0079020B">
        <w:rPr>
          <w:rFonts w:ascii="Book Antiqua" w:hAnsi="Book Antiqua" w:cs="Arial"/>
        </w:rPr>
        <w:t xml:space="preserve"> for LTR on grounds of private and family life outside the Rules pursuant to article 8 ECHR</w:t>
      </w:r>
      <w:r>
        <w:rPr>
          <w:rFonts w:ascii="Book Antiqua" w:hAnsi="Book Antiqua" w:cs="Arial"/>
        </w:rPr>
        <w:t xml:space="preserve">.  </w:t>
      </w:r>
    </w:p>
    <w:p w14:paraId="50F2D2D7" w14:textId="5A6E3343" w:rsidR="008F0F55" w:rsidRDefault="00F81D1E" w:rsidP="008F0F55">
      <w:pPr>
        <w:numPr>
          <w:ilvl w:val="0"/>
          <w:numId w:val="3"/>
        </w:numPr>
        <w:spacing w:before="240"/>
        <w:jc w:val="both"/>
        <w:rPr>
          <w:rFonts w:ascii="Book Antiqua" w:hAnsi="Book Antiqua" w:cs="Arial"/>
        </w:rPr>
      </w:pPr>
      <w:r>
        <w:rPr>
          <w:rFonts w:ascii="Book Antiqua" w:hAnsi="Book Antiqua" w:cs="Arial"/>
        </w:rPr>
        <w:t xml:space="preserve">First-tier Tribunal Judge </w:t>
      </w:r>
      <w:r w:rsidR="0079020B">
        <w:rPr>
          <w:rFonts w:ascii="Book Antiqua" w:hAnsi="Book Antiqua" w:cs="Arial"/>
        </w:rPr>
        <w:t xml:space="preserve">Pedro </w:t>
      </w:r>
      <w:r w:rsidRPr="00011203">
        <w:rPr>
          <w:rFonts w:ascii="Book Antiqua" w:hAnsi="Book Antiqua" w:cs="Arial"/>
        </w:rPr>
        <w:t>granted permission to appeal on</w:t>
      </w:r>
      <w:r w:rsidR="0079020B">
        <w:rPr>
          <w:rFonts w:ascii="Book Antiqua" w:hAnsi="Book Antiqua" w:cs="Arial"/>
        </w:rPr>
        <w:t xml:space="preserve"> 8.12.17</w:t>
      </w:r>
      <w:r>
        <w:rPr>
          <w:rFonts w:ascii="Book Antiqua" w:hAnsi="Book Antiqua" w:cs="Arial"/>
        </w:rPr>
        <w:t>.</w:t>
      </w:r>
    </w:p>
    <w:p w14:paraId="7E6F6993" w14:textId="77777777" w:rsidR="005B1635" w:rsidRDefault="005B1635" w:rsidP="008F0F55">
      <w:pPr>
        <w:spacing w:before="240" w:after="100" w:afterAutospacing="1"/>
        <w:jc w:val="both"/>
        <w:rPr>
          <w:rFonts w:ascii="Book Antiqua" w:hAnsi="Book Antiqua" w:cs="Arial"/>
          <w:i/>
        </w:rPr>
      </w:pPr>
    </w:p>
    <w:p w14:paraId="5B373F75" w14:textId="77777777" w:rsidR="005B1635" w:rsidRDefault="005B1635" w:rsidP="008F0F55">
      <w:pPr>
        <w:spacing w:before="240" w:after="100" w:afterAutospacing="1"/>
        <w:jc w:val="both"/>
        <w:rPr>
          <w:rFonts w:ascii="Book Antiqua" w:hAnsi="Book Antiqua" w:cs="Arial"/>
          <w:i/>
        </w:rPr>
      </w:pPr>
    </w:p>
    <w:p w14:paraId="2B293736" w14:textId="4561FD17" w:rsidR="008F0F55" w:rsidRPr="003E7F7B" w:rsidRDefault="00F81D1E" w:rsidP="008F0F55">
      <w:pPr>
        <w:spacing w:before="240" w:after="100" w:afterAutospacing="1"/>
        <w:jc w:val="both"/>
        <w:rPr>
          <w:rFonts w:ascii="Book Antiqua" w:hAnsi="Book Antiqua" w:cs="Arial"/>
          <w:i/>
        </w:rPr>
      </w:pPr>
      <w:r w:rsidRPr="003E7F7B">
        <w:rPr>
          <w:rFonts w:ascii="Book Antiqua" w:hAnsi="Book Antiqua" w:cs="Arial"/>
          <w:i/>
        </w:rPr>
        <w:lastRenderedPageBreak/>
        <w:t>Error of Law</w:t>
      </w:r>
    </w:p>
    <w:p w14:paraId="6F7DE7C5" w14:textId="4C315413" w:rsidR="006A759A" w:rsidRDefault="007619FE" w:rsidP="006A759A">
      <w:pPr>
        <w:numPr>
          <w:ilvl w:val="0"/>
          <w:numId w:val="3"/>
        </w:numPr>
        <w:spacing w:before="240"/>
        <w:jc w:val="both"/>
        <w:rPr>
          <w:rFonts w:ascii="Book Antiqua" w:hAnsi="Book Antiqua" w:cs="Arial"/>
        </w:rPr>
      </w:pPr>
      <w:r>
        <w:rPr>
          <w:rFonts w:ascii="Book Antiqua" w:hAnsi="Book Antiqua" w:cs="Arial"/>
        </w:rPr>
        <w:t xml:space="preserve">For the reasons summarised below, I find that there was an error of law in the </w:t>
      </w:r>
      <w:r w:rsidR="00F81D1E" w:rsidRPr="006A759A">
        <w:rPr>
          <w:rFonts w:ascii="Book Antiqua" w:hAnsi="Book Antiqua" w:cs="Arial"/>
        </w:rPr>
        <w:t xml:space="preserve">making of the decision of the First-tier Tribunal such that </w:t>
      </w:r>
      <w:r w:rsidR="006A759A">
        <w:rPr>
          <w:rFonts w:ascii="Book Antiqua" w:hAnsi="Book Antiqua" w:cs="Arial"/>
        </w:rPr>
        <w:t>it should be set aside and remade. For the same reasons, I also find that the appeal should be allowed.</w:t>
      </w:r>
    </w:p>
    <w:p w14:paraId="1B732FDA" w14:textId="65E0D291" w:rsidR="006A759A" w:rsidRDefault="000B73C8" w:rsidP="006A759A">
      <w:pPr>
        <w:numPr>
          <w:ilvl w:val="0"/>
          <w:numId w:val="3"/>
        </w:numPr>
        <w:spacing w:before="240"/>
        <w:jc w:val="both"/>
        <w:rPr>
          <w:rFonts w:ascii="Book Antiqua" w:hAnsi="Book Antiqua" w:cs="Arial"/>
        </w:rPr>
      </w:pPr>
      <w:r>
        <w:rPr>
          <w:rFonts w:ascii="Book Antiqua" w:hAnsi="Book Antiqua" w:cs="Arial"/>
        </w:rPr>
        <w:t>The appellant last came to the UK on a family visit visa in</w:t>
      </w:r>
      <w:r w:rsidR="009808A7">
        <w:rPr>
          <w:rFonts w:ascii="Book Antiqua" w:hAnsi="Book Antiqua" w:cs="Arial"/>
        </w:rPr>
        <w:t xml:space="preserve"> 2015. Within the duration of his visa, in March 2016 he sought Leave to Remain </w:t>
      </w:r>
      <w:proofErr w:type="gramStart"/>
      <w:r w:rsidR="009808A7">
        <w:rPr>
          <w:rFonts w:ascii="Book Antiqua" w:hAnsi="Book Antiqua" w:cs="Arial"/>
        </w:rPr>
        <w:t>on the basis of</w:t>
      </w:r>
      <w:proofErr w:type="gramEnd"/>
      <w:r w:rsidR="009808A7">
        <w:rPr>
          <w:rFonts w:ascii="Book Antiqua" w:hAnsi="Book Antiqua" w:cs="Arial"/>
        </w:rPr>
        <w:t xml:space="preserve"> his relationship with a British citizen partner and their British citizen child. </w:t>
      </w:r>
    </w:p>
    <w:p w14:paraId="2668CFDD" w14:textId="5B5DB980" w:rsidR="009808A7" w:rsidRDefault="009808A7" w:rsidP="006A759A">
      <w:pPr>
        <w:numPr>
          <w:ilvl w:val="0"/>
          <w:numId w:val="3"/>
        </w:numPr>
        <w:spacing w:before="240"/>
        <w:jc w:val="both"/>
        <w:rPr>
          <w:rFonts w:ascii="Book Antiqua" w:hAnsi="Book Antiqua" w:cs="Arial"/>
        </w:rPr>
      </w:pPr>
      <w:r>
        <w:rPr>
          <w:rFonts w:ascii="Book Antiqua" w:hAnsi="Book Antiqua" w:cs="Arial"/>
        </w:rPr>
        <w:t xml:space="preserve">The respondent conceded that the relationship requirements of the Rules were met and that the family relationship is genuine and subsisting. The appellant’s representative conceded that the Rules could not be met, because he made his application as a visitor and not overstayer. </w:t>
      </w:r>
      <w:r w:rsidR="00910C59">
        <w:rPr>
          <w:rFonts w:ascii="Book Antiqua" w:hAnsi="Book Antiqua" w:cs="Arial"/>
        </w:rPr>
        <w:t xml:space="preserve">The only ground of appeal was on human rights outside the Rules. </w:t>
      </w:r>
    </w:p>
    <w:p w14:paraId="35A2529F" w14:textId="4E391290" w:rsidR="00910C59" w:rsidRDefault="0073407D" w:rsidP="006A759A">
      <w:pPr>
        <w:numPr>
          <w:ilvl w:val="0"/>
          <w:numId w:val="3"/>
        </w:numPr>
        <w:spacing w:before="240"/>
        <w:jc w:val="both"/>
        <w:rPr>
          <w:rFonts w:ascii="Book Antiqua" w:hAnsi="Book Antiqua" w:cs="Arial"/>
        </w:rPr>
      </w:pPr>
      <w:r>
        <w:rPr>
          <w:rFonts w:ascii="Book Antiqua" w:hAnsi="Book Antiqua" w:cs="Arial"/>
        </w:rPr>
        <w:t xml:space="preserve">At [10] of the decision </w:t>
      </w:r>
      <w:r w:rsidR="00910C59">
        <w:rPr>
          <w:rFonts w:ascii="Book Antiqua" w:hAnsi="Book Antiqua" w:cs="Arial"/>
        </w:rPr>
        <w:t>Judge Bradshaw</w:t>
      </w:r>
      <w:r w:rsidR="00F542FC">
        <w:rPr>
          <w:rFonts w:ascii="Book Antiqua" w:hAnsi="Book Antiqua" w:cs="Arial"/>
        </w:rPr>
        <w:t xml:space="preserve"> purported to take account of </w:t>
      </w:r>
      <w:r>
        <w:rPr>
          <w:rFonts w:ascii="Book Antiqua" w:hAnsi="Book Antiqua" w:cs="Arial"/>
        </w:rPr>
        <w:t>section 117B of the Nationality, Immigration and Asylum Act 2002 and Section 55 of the Borders, Citizenship and Immigration Act 2009. However, the grounds assert that the decision fails to engage properly with the best interests of the appellant’s child as a British citizen as a primary consideration and that s117</w:t>
      </w:r>
      <w:proofErr w:type="gramStart"/>
      <w:r>
        <w:rPr>
          <w:rFonts w:ascii="Book Antiqua" w:hAnsi="Book Antiqua" w:cs="Arial"/>
        </w:rPr>
        <w:t>B(</w:t>
      </w:r>
      <w:proofErr w:type="gramEnd"/>
      <w:r>
        <w:rPr>
          <w:rFonts w:ascii="Book Antiqua" w:hAnsi="Book Antiqua" w:cs="Arial"/>
        </w:rPr>
        <w:t>6) was not address at all, despite there being a qualifying child. It was on that basis that Judge Pedro considered that there was an arguable error of law.</w:t>
      </w:r>
    </w:p>
    <w:p w14:paraId="1A63D1BE" w14:textId="597065BD" w:rsidR="0073407D" w:rsidRDefault="0073407D" w:rsidP="006A759A">
      <w:pPr>
        <w:numPr>
          <w:ilvl w:val="0"/>
          <w:numId w:val="3"/>
        </w:numPr>
        <w:spacing w:before="240"/>
        <w:jc w:val="both"/>
        <w:rPr>
          <w:rFonts w:ascii="Book Antiqua" w:hAnsi="Book Antiqua" w:cs="Arial"/>
        </w:rPr>
      </w:pPr>
      <w:r>
        <w:rPr>
          <w:rFonts w:ascii="Book Antiqua" w:hAnsi="Book Antiqua" w:cs="Arial"/>
        </w:rPr>
        <w:t xml:space="preserve">Having read the decision, it does appear that </w:t>
      </w:r>
      <w:r w:rsidR="00754D92">
        <w:rPr>
          <w:rFonts w:ascii="Book Antiqua" w:hAnsi="Book Antiqua" w:cs="Arial"/>
        </w:rPr>
        <w:t>whilst best interests were assessed at [35] as being for children to be raised with both parents</w:t>
      </w:r>
      <w:r w:rsidR="002F0A36">
        <w:rPr>
          <w:rFonts w:ascii="Book Antiqua" w:hAnsi="Book Antiqua" w:cs="Arial"/>
        </w:rPr>
        <w:t>, the judge did not take account of s117</w:t>
      </w:r>
      <w:proofErr w:type="gramStart"/>
      <w:r w:rsidR="002F0A36">
        <w:rPr>
          <w:rFonts w:ascii="Book Antiqua" w:hAnsi="Book Antiqua" w:cs="Arial"/>
        </w:rPr>
        <w:t>B(</w:t>
      </w:r>
      <w:proofErr w:type="gramEnd"/>
      <w:r w:rsidR="002F0A36">
        <w:rPr>
          <w:rFonts w:ascii="Book Antiqua" w:hAnsi="Book Antiqua" w:cs="Arial"/>
        </w:rPr>
        <w:t>6) and did not specifically address the test of whether it was reasonable to expect the qualifying child, with whom the appellant had a genuine and subsisting relationship, to leave the UK. No reference was made to the Home Office’s policy from 2015</w:t>
      </w:r>
      <w:r w:rsidR="009C2B2A">
        <w:rPr>
          <w:rFonts w:ascii="Book Antiqua" w:hAnsi="Book Antiqua" w:cs="Arial"/>
        </w:rPr>
        <w:t xml:space="preserve"> on separating parents of British children. </w:t>
      </w:r>
    </w:p>
    <w:p w14:paraId="47FBE1EB" w14:textId="4EDC5891" w:rsidR="00FB2888" w:rsidRDefault="00FB2888" w:rsidP="006A759A">
      <w:pPr>
        <w:numPr>
          <w:ilvl w:val="0"/>
          <w:numId w:val="3"/>
        </w:numPr>
        <w:spacing w:before="240"/>
        <w:jc w:val="both"/>
        <w:rPr>
          <w:rFonts w:ascii="Book Antiqua" w:hAnsi="Book Antiqua" w:cs="Arial"/>
        </w:rPr>
      </w:pPr>
      <w:r>
        <w:rPr>
          <w:rFonts w:ascii="Book Antiqua" w:hAnsi="Book Antiqua" w:cs="Arial"/>
        </w:rPr>
        <w:t>In the circumstances, I am satisfied that the decision was in error of law and cannot stand and I consider it appropriate to remake the appeal on the factual findings of the First-tier Tribunal.</w:t>
      </w:r>
    </w:p>
    <w:p w14:paraId="7E677A13" w14:textId="4F64A05D" w:rsidR="004F0C3E" w:rsidRDefault="009C2B2A" w:rsidP="006A759A">
      <w:pPr>
        <w:numPr>
          <w:ilvl w:val="0"/>
          <w:numId w:val="3"/>
        </w:numPr>
        <w:spacing w:before="240"/>
        <w:jc w:val="both"/>
        <w:rPr>
          <w:rFonts w:ascii="Book Antiqua" w:hAnsi="Book Antiqua" w:cs="Arial"/>
        </w:rPr>
      </w:pPr>
      <w:r>
        <w:rPr>
          <w:rFonts w:ascii="Book Antiqua" w:hAnsi="Book Antiqua" w:cs="Arial"/>
        </w:rPr>
        <w:t xml:space="preserve">Whilst Mr Medley-Daley accepts that </w:t>
      </w:r>
      <w:r w:rsidRPr="009C2B2A">
        <w:rPr>
          <w:rFonts w:ascii="Book Antiqua" w:hAnsi="Book Antiqua" w:cs="Arial"/>
          <w:u w:val="single"/>
        </w:rPr>
        <w:t>MA (Pakistan) and Others v Upper Tribunal (IAC) and Anor</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705 held that the assessment of reasonableness </w:t>
      </w:r>
      <w:r w:rsidR="00FB2888">
        <w:rPr>
          <w:rFonts w:ascii="Book Antiqua" w:hAnsi="Book Antiqua" w:cs="Arial"/>
        </w:rPr>
        <w:t>requires a consideration of the wider public interest, including immigration control, his primary submission is that the refusal decision made a specific concession at p3 in relation to EX1 under Appendix FM: “It is accepted that you have a qualifying relationship</w:t>
      </w:r>
      <w:r w:rsidR="001A4387">
        <w:rPr>
          <w:rFonts w:ascii="Book Antiqua" w:hAnsi="Book Antiqua" w:cs="Arial"/>
        </w:rPr>
        <w:t xml:space="preserve"> contained within EX1, and therefore meet the requirements of R-LTRP 1.1 (d)(iii).</w:t>
      </w:r>
      <w:r w:rsidR="008E5298">
        <w:rPr>
          <w:rFonts w:ascii="Book Antiqua" w:hAnsi="Book Antiqua" w:cs="Arial"/>
        </w:rPr>
        <w:t>”</w:t>
      </w:r>
      <w:r w:rsidR="001A4387">
        <w:rPr>
          <w:rFonts w:ascii="Book Antiqua" w:hAnsi="Book Antiqua" w:cs="Arial"/>
        </w:rPr>
        <w:t xml:space="preserve"> Whilst EX1 does not </w:t>
      </w:r>
      <w:r w:rsidR="008E5298">
        <w:rPr>
          <w:rFonts w:ascii="Book Antiqua" w:hAnsi="Book Antiqua" w:cs="Arial"/>
        </w:rPr>
        <w:t xml:space="preserve">in fact </w:t>
      </w:r>
      <w:r w:rsidR="001A4387">
        <w:rPr>
          <w:rFonts w:ascii="Book Antiqua" w:hAnsi="Book Antiqua" w:cs="Arial"/>
        </w:rPr>
        <w:t>apply because of the appellant’s immigration status, the concession</w:t>
      </w:r>
      <w:r w:rsidR="00FC40EE">
        <w:rPr>
          <w:rFonts w:ascii="Book Antiqua" w:hAnsi="Book Antiqua" w:cs="Arial"/>
        </w:rPr>
        <w:t>, it is submitted,</w:t>
      </w:r>
      <w:r w:rsidR="001A4387">
        <w:rPr>
          <w:rFonts w:ascii="Book Antiqua" w:hAnsi="Book Antiqua" w:cs="Arial"/>
        </w:rPr>
        <w:t xml:space="preserve"> amounts to a</w:t>
      </w:r>
      <w:r w:rsidR="004F0C3E">
        <w:rPr>
          <w:rFonts w:ascii="Book Antiqua" w:hAnsi="Book Antiqua" w:cs="Arial"/>
        </w:rPr>
        <w:t>cceptance that it is not reasonable to expect the child to leave</w:t>
      </w:r>
      <w:r w:rsidR="00FC40EE">
        <w:rPr>
          <w:rFonts w:ascii="Book Antiqua" w:hAnsi="Book Antiqua" w:cs="Arial"/>
        </w:rPr>
        <w:t xml:space="preserve"> the UK.</w:t>
      </w:r>
    </w:p>
    <w:p w14:paraId="662EA98C" w14:textId="3D80861A" w:rsidR="009C2B2A" w:rsidRDefault="004F0C3E" w:rsidP="006A759A">
      <w:pPr>
        <w:numPr>
          <w:ilvl w:val="0"/>
          <w:numId w:val="3"/>
        </w:numPr>
        <w:spacing w:before="240"/>
        <w:jc w:val="both"/>
        <w:rPr>
          <w:rFonts w:ascii="Book Antiqua" w:hAnsi="Book Antiqua" w:cs="Arial"/>
        </w:rPr>
      </w:pPr>
      <w:r>
        <w:rPr>
          <w:rFonts w:ascii="Book Antiqua" w:hAnsi="Book Antiqua" w:cs="Arial"/>
        </w:rPr>
        <w:t xml:space="preserve">Mr Medley-Daley’s point is that having made that concession it is not now open to the Secretary of State to suggest that it is reasonable for the child to leave the UK and that would in any event, be contrary to the respondent’s own policy. </w:t>
      </w:r>
      <w:r w:rsidR="00113241">
        <w:rPr>
          <w:rFonts w:ascii="Book Antiqua" w:hAnsi="Book Antiqua" w:cs="Arial"/>
        </w:rPr>
        <w:t xml:space="preserve">He suggests that the </w:t>
      </w:r>
      <w:r w:rsidR="00113241">
        <w:rPr>
          <w:rFonts w:ascii="Book Antiqua" w:hAnsi="Book Antiqua" w:cs="Arial"/>
        </w:rPr>
        <w:lastRenderedPageBreak/>
        <w:t xml:space="preserve">time for considering the public interest had </w:t>
      </w:r>
      <w:r w:rsidR="00030B8B">
        <w:rPr>
          <w:rFonts w:ascii="Book Antiqua" w:hAnsi="Book Antiqua" w:cs="Arial"/>
        </w:rPr>
        <w:t>been and gone</w:t>
      </w:r>
      <w:r w:rsidR="00113241">
        <w:rPr>
          <w:rFonts w:ascii="Book Antiqua" w:hAnsi="Book Antiqua" w:cs="Arial"/>
        </w:rPr>
        <w:t xml:space="preserve"> before</w:t>
      </w:r>
      <w:r w:rsidR="00CA56A9">
        <w:rPr>
          <w:rFonts w:ascii="Book Antiqua" w:hAnsi="Book Antiqua" w:cs="Arial"/>
        </w:rPr>
        <w:t xml:space="preserve"> </w:t>
      </w:r>
      <w:r w:rsidR="00030B8B">
        <w:rPr>
          <w:rFonts w:ascii="Book Antiqua" w:hAnsi="Book Antiqua" w:cs="Arial"/>
        </w:rPr>
        <w:t>the making of the concession</w:t>
      </w:r>
      <w:r w:rsidR="00CA56A9">
        <w:rPr>
          <w:rFonts w:ascii="Book Antiqua" w:hAnsi="Book Antiqua" w:cs="Arial"/>
        </w:rPr>
        <w:t xml:space="preserve"> that it would not be reasonable to expect the child to leave the UK.</w:t>
      </w:r>
    </w:p>
    <w:p w14:paraId="7299937D" w14:textId="2AEC60E2" w:rsidR="003C527D" w:rsidRPr="003C527D" w:rsidRDefault="004F0C3E" w:rsidP="003C527D">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Diwnycz</w:t>
      </w:r>
      <w:proofErr w:type="spellEnd"/>
      <w:r>
        <w:rPr>
          <w:rFonts w:ascii="Book Antiqua" w:hAnsi="Book Antiqua" w:cs="Arial"/>
        </w:rPr>
        <w:t xml:space="preserve"> conceded the point and accepted that the Secretary of State was bound by the concession made in the refusal decision, so that it was </w:t>
      </w:r>
      <w:r w:rsidR="00030B8B">
        <w:rPr>
          <w:rFonts w:ascii="Book Antiqua" w:hAnsi="Book Antiqua" w:cs="Arial"/>
        </w:rPr>
        <w:t xml:space="preserve">now </w:t>
      </w:r>
      <w:r>
        <w:rPr>
          <w:rFonts w:ascii="Book Antiqua" w:hAnsi="Book Antiqua" w:cs="Arial"/>
        </w:rPr>
        <w:t>not open to the respondent to suggest anything other than s117</w:t>
      </w:r>
      <w:proofErr w:type="gramStart"/>
      <w:r>
        <w:rPr>
          <w:rFonts w:ascii="Book Antiqua" w:hAnsi="Book Antiqua" w:cs="Arial"/>
        </w:rPr>
        <w:t>B(</w:t>
      </w:r>
      <w:proofErr w:type="gramEnd"/>
      <w:r>
        <w:rPr>
          <w:rFonts w:ascii="Book Antiqua" w:hAnsi="Book Antiqua" w:cs="Arial"/>
        </w:rPr>
        <w:t>6) is made out</w:t>
      </w:r>
      <w:r w:rsidR="004A62D0">
        <w:rPr>
          <w:rFonts w:ascii="Book Antiqua" w:hAnsi="Book Antiqua" w:cs="Arial"/>
        </w:rPr>
        <w:t xml:space="preserve"> so that the public interest does not require the appellant’s removal</w:t>
      </w:r>
      <w:r>
        <w:rPr>
          <w:rFonts w:ascii="Book Antiqua" w:hAnsi="Book Antiqua" w:cs="Arial"/>
        </w:rPr>
        <w:t xml:space="preserve">. </w:t>
      </w:r>
      <w:r w:rsidR="003C527D" w:rsidRPr="003C527D">
        <w:rPr>
          <w:rFonts w:ascii="Book Antiqua" w:hAnsi="Book Antiqua" w:cs="Arial"/>
        </w:rPr>
        <w:t>He also recognised that there is now a second</w:t>
      </w:r>
      <w:r w:rsidR="003C527D">
        <w:rPr>
          <w:rFonts w:ascii="Book Antiqua" w:hAnsi="Book Antiqua" w:cs="Arial"/>
        </w:rPr>
        <w:t xml:space="preserve"> British citizen</w:t>
      </w:r>
      <w:r w:rsidR="003C527D" w:rsidRPr="003C527D">
        <w:rPr>
          <w:rFonts w:ascii="Book Antiqua" w:hAnsi="Book Antiqua" w:cs="Arial"/>
        </w:rPr>
        <w:t xml:space="preserve"> child born to the appellant and his partner.</w:t>
      </w:r>
      <w:r w:rsidR="00E47B96">
        <w:rPr>
          <w:rFonts w:ascii="Book Antiqua" w:hAnsi="Book Antiqua" w:cs="Arial"/>
        </w:rPr>
        <w:t xml:space="preserve"> The 2015 policy has been refreshed in February 2018 but amounts to the same or similar guidance. </w:t>
      </w:r>
    </w:p>
    <w:p w14:paraId="7188798A" w14:textId="701A50B6" w:rsidR="00CA56A9" w:rsidRDefault="00CA56A9" w:rsidP="006A759A">
      <w:pPr>
        <w:numPr>
          <w:ilvl w:val="0"/>
          <w:numId w:val="3"/>
        </w:numPr>
        <w:spacing w:before="240"/>
        <w:jc w:val="both"/>
        <w:rPr>
          <w:rFonts w:ascii="Book Antiqua" w:hAnsi="Book Antiqua" w:cs="Arial"/>
        </w:rPr>
      </w:pPr>
      <w:r>
        <w:rPr>
          <w:rFonts w:ascii="Book Antiqua" w:hAnsi="Book Antiqua" w:cs="Arial"/>
        </w:rPr>
        <w:t xml:space="preserve">In the circumstances, </w:t>
      </w:r>
      <w:r w:rsidR="004A62D0">
        <w:rPr>
          <w:rFonts w:ascii="Book Antiqua" w:hAnsi="Book Antiqua" w:cs="Arial"/>
        </w:rPr>
        <w:t xml:space="preserve">I am driven to </w:t>
      </w:r>
      <w:r w:rsidR="00902F35">
        <w:rPr>
          <w:rFonts w:ascii="Book Antiqua" w:hAnsi="Book Antiqua" w:cs="Arial"/>
        </w:rPr>
        <w:t xml:space="preserve">accept that the appeal </w:t>
      </w:r>
      <w:proofErr w:type="gramStart"/>
      <w:r w:rsidR="00902F35">
        <w:rPr>
          <w:rFonts w:ascii="Book Antiqua" w:hAnsi="Book Antiqua" w:cs="Arial"/>
        </w:rPr>
        <w:t>has to</w:t>
      </w:r>
      <w:proofErr w:type="gramEnd"/>
      <w:r w:rsidR="00902F35">
        <w:rPr>
          <w:rFonts w:ascii="Book Antiqua" w:hAnsi="Book Antiqua" w:cs="Arial"/>
        </w:rPr>
        <w:t xml:space="preserve"> be allowed outside the Rules on the basis of </w:t>
      </w:r>
      <w:r w:rsidR="007606D4">
        <w:rPr>
          <w:rFonts w:ascii="Book Antiqua" w:hAnsi="Book Antiqua" w:cs="Arial"/>
        </w:rPr>
        <w:t>the</w:t>
      </w:r>
      <w:r w:rsidR="00902F35">
        <w:rPr>
          <w:rFonts w:ascii="Book Antiqua" w:hAnsi="Book Antiqua" w:cs="Arial"/>
        </w:rPr>
        <w:t xml:space="preserve"> concession </w:t>
      </w:r>
      <w:r w:rsidR="00593BFD">
        <w:rPr>
          <w:rFonts w:ascii="Book Antiqua" w:hAnsi="Book Antiqua" w:cs="Arial"/>
        </w:rPr>
        <w:t xml:space="preserve">made </w:t>
      </w:r>
      <w:r w:rsidR="00902F35">
        <w:rPr>
          <w:rFonts w:ascii="Book Antiqua" w:hAnsi="Book Antiqua" w:cs="Arial"/>
        </w:rPr>
        <w:t>that it would not be reasonable to expect the child(</w:t>
      </w:r>
      <w:proofErr w:type="spellStart"/>
      <w:r w:rsidR="00902F35">
        <w:rPr>
          <w:rFonts w:ascii="Book Antiqua" w:hAnsi="Book Antiqua" w:cs="Arial"/>
        </w:rPr>
        <w:t>ren</w:t>
      </w:r>
      <w:proofErr w:type="spellEnd"/>
      <w:r w:rsidR="00902F35">
        <w:rPr>
          <w:rFonts w:ascii="Book Antiqua" w:hAnsi="Book Antiqua" w:cs="Arial"/>
        </w:rPr>
        <w:t>) to leave the UK</w:t>
      </w:r>
      <w:r w:rsidR="007606D4">
        <w:rPr>
          <w:rFonts w:ascii="Book Antiqua" w:hAnsi="Book Antiqua" w:cs="Arial"/>
        </w:rPr>
        <w:t>.</w:t>
      </w:r>
      <w:r w:rsidR="00902F35">
        <w:rPr>
          <w:rFonts w:ascii="Book Antiqua" w:hAnsi="Book Antiqua" w:cs="Arial"/>
        </w:rPr>
        <w:t xml:space="preserve"> </w:t>
      </w:r>
      <w:r w:rsidR="007606D4">
        <w:rPr>
          <w:rFonts w:ascii="Book Antiqua" w:hAnsi="Book Antiqua" w:cs="Arial"/>
        </w:rPr>
        <w:t>I</w:t>
      </w:r>
      <w:r w:rsidR="00902F35">
        <w:rPr>
          <w:rFonts w:ascii="Book Antiqua" w:hAnsi="Book Antiqua" w:cs="Arial"/>
        </w:rPr>
        <w:t xml:space="preserve">f </w:t>
      </w:r>
      <w:r w:rsidR="007606D4">
        <w:rPr>
          <w:rFonts w:ascii="Book Antiqua" w:hAnsi="Book Antiqua" w:cs="Arial"/>
        </w:rPr>
        <w:t xml:space="preserve">by statute </w:t>
      </w:r>
      <w:r w:rsidR="00902F35">
        <w:rPr>
          <w:rFonts w:ascii="Book Antiqua" w:hAnsi="Book Antiqua" w:cs="Arial"/>
        </w:rPr>
        <w:t xml:space="preserve">the public interest does not require the appellant’s removal and no other relevant features </w:t>
      </w:r>
      <w:r w:rsidR="00593BFD">
        <w:rPr>
          <w:rFonts w:ascii="Book Antiqua" w:hAnsi="Book Antiqua" w:cs="Arial"/>
        </w:rPr>
        <w:t xml:space="preserve">or factors </w:t>
      </w:r>
      <w:r w:rsidR="00902F35">
        <w:rPr>
          <w:rFonts w:ascii="Book Antiqua" w:hAnsi="Book Antiqua" w:cs="Arial"/>
        </w:rPr>
        <w:t>of the wider public interest</w:t>
      </w:r>
      <w:r w:rsidR="00593BFD">
        <w:rPr>
          <w:rFonts w:ascii="Book Antiqua" w:hAnsi="Book Antiqua" w:cs="Arial"/>
        </w:rPr>
        <w:t xml:space="preserve"> have been drawn to the tribunal’s attention</w:t>
      </w:r>
      <w:r w:rsidR="00902F35">
        <w:rPr>
          <w:rFonts w:ascii="Book Antiqua" w:hAnsi="Book Antiqua" w:cs="Arial"/>
        </w:rPr>
        <w:t xml:space="preserve">, </w:t>
      </w:r>
      <w:r w:rsidR="00593BFD">
        <w:rPr>
          <w:rFonts w:ascii="Book Antiqua" w:hAnsi="Book Antiqua" w:cs="Arial"/>
        </w:rPr>
        <w:t xml:space="preserve">I can only conclude that </w:t>
      </w:r>
      <w:r w:rsidR="00902F35">
        <w:rPr>
          <w:rFonts w:ascii="Book Antiqua" w:hAnsi="Book Antiqua" w:cs="Arial"/>
        </w:rPr>
        <w:t xml:space="preserve">the decision </w:t>
      </w:r>
      <w:r w:rsidR="006D0BBA">
        <w:rPr>
          <w:rFonts w:ascii="Book Antiqua" w:hAnsi="Book Antiqua" w:cs="Arial"/>
        </w:rPr>
        <w:t xml:space="preserve">interfering with the family life </w:t>
      </w:r>
      <w:r w:rsidR="004530EC">
        <w:rPr>
          <w:rFonts w:ascii="Book Antiqua" w:hAnsi="Book Antiqua" w:cs="Arial"/>
        </w:rPr>
        <w:t xml:space="preserve">rights </w:t>
      </w:r>
      <w:r w:rsidR="006D0BBA">
        <w:rPr>
          <w:rFonts w:ascii="Book Antiqua" w:hAnsi="Book Antiqua" w:cs="Arial"/>
        </w:rPr>
        <w:t xml:space="preserve">of the appellant and his family members engages article 8 ECHR and </w:t>
      </w:r>
      <w:r w:rsidR="00435793">
        <w:rPr>
          <w:rFonts w:ascii="Book Antiqua" w:hAnsi="Book Antiqua" w:cs="Arial"/>
        </w:rPr>
        <w:t xml:space="preserve">the respondent has failed to justify the decision as </w:t>
      </w:r>
      <w:r w:rsidR="004530EC">
        <w:rPr>
          <w:rFonts w:ascii="Book Antiqua" w:hAnsi="Book Antiqua" w:cs="Arial"/>
        </w:rPr>
        <w:t xml:space="preserve">proportionate to those rights. </w:t>
      </w:r>
      <w:r w:rsidR="00435793">
        <w:rPr>
          <w:rFonts w:ascii="Book Antiqua" w:hAnsi="Book Antiqua" w:cs="Arial"/>
        </w:rPr>
        <w:t xml:space="preserve">It follows that the appeal </w:t>
      </w:r>
      <w:proofErr w:type="gramStart"/>
      <w:r w:rsidR="00435793">
        <w:rPr>
          <w:rFonts w:ascii="Book Antiqua" w:hAnsi="Book Antiqua" w:cs="Arial"/>
        </w:rPr>
        <w:t>has to</w:t>
      </w:r>
      <w:proofErr w:type="gramEnd"/>
      <w:r w:rsidR="00435793">
        <w:rPr>
          <w:rFonts w:ascii="Book Antiqua" w:hAnsi="Book Antiqua" w:cs="Arial"/>
        </w:rPr>
        <w:t xml:space="preserve"> be allowed on human rights grounds. </w:t>
      </w:r>
    </w:p>
    <w:p w14:paraId="73958CA2" w14:textId="21718137" w:rsidR="008F0F55" w:rsidRPr="003E7F7B" w:rsidRDefault="003E7F7B" w:rsidP="008F0F55">
      <w:pPr>
        <w:tabs>
          <w:tab w:val="left" w:pos="2520"/>
        </w:tabs>
        <w:spacing w:before="240" w:after="100" w:afterAutospacing="1"/>
        <w:jc w:val="both"/>
        <w:rPr>
          <w:rFonts w:ascii="Book Antiqua" w:hAnsi="Book Antiqua" w:cs="Arial"/>
          <w:i/>
        </w:rPr>
      </w:pPr>
      <w:r w:rsidRPr="003E7F7B">
        <w:rPr>
          <w:rFonts w:ascii="Book Antiqua" w:hAnsi="Book Antiqua" w:cs="Arial"/>
          <w:i/>
        </w:rPr>
        <w:t>Decision</w:t>
      </w:r>
    </w:p>
    <w:p w14:paraId="4B412155" w14:textId="4263F2CA" w:rsidR="008F0F55" w:rsidRPr="003A0DFB" w:rsidRDefault="00F81D1E" w:rsidP="008F0F55">
      <w:pPr>
        <w:numPr>
          <w:ilvl w:val="0"/>
          <w:numId w:val="3"/>
        </w:numPr>
        <w:tabs>
          <w:tab w:val="left" w:pos="2520"/>
        </w:tabs>
        <w:spacing w:before="240" w:after="100" w:afterAutospacing="1"/>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w:t>
      </w:r>
      <w:r w:rsidRPr="003A0DFB">
        <w:rPr>
          <w:rFonts w:ascii="Book Antiqua" w:hAnsi="Book Antiqua" w:cs="Arial"/>
        </w:rPr>
        <w:t xml:space="preserve">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1CA884BC" w14:textId="1B58B4CA"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ab/>
        <w:t>I set aside the decision</w:t>
      </w:r>
      <w:r>
        <w:rPr>
          <w:rFonts w:ascii="Book Antiqua" w:hAnsi="Book Antiqua" w:cs="Arial"/>
        </w:rPr>
        <w:t>.</w:t>
      </w:r>
      <w:r w:rsidRPr="003A0DFB">
        <w:rPr>
          <w:rFonts w:ascii="Book Antiqua" w:hAnsi="Book Antiqua" w:cs="Arial"/>
        </w:rPr>
        <w:t xml:space="preserve"> </w:t>
      </w:r>
    </w:p>
    <w:p w14:paraId="07F8E562" w14:textId="15DD5A85" w:rsidR="008F0F55" w:rsidRDefault="00F81D1E" w:rsidP="006A4436">
      <w:pPr>
        <w:tabs>
          <w:tab w:val="left" w:pos="2520"/>
        </w:tabs>
        <w:spacing w:before="240" w:after="100" w:afterAutospacing="1"/>
        <w:ind w:left="2520"/>
        <w:jc w:val="both"/>
        <w:rPr>
          <w:rFonts w:ascii="Book Antiqua" w:hAnsi="Book Antiqua" w:cs="Arial"/>
        </w:rPr>
      </w:pPr>
      <w:r w:rsidRPr="003A0DFB">
        <w:rPr>
          <w:rFonts w:ascii="Book Antiqua" w:hAnsi="Book Antiqua" w:cs="Arial"/>
        </w:rPr>
        <w:t>I re-make the decision in the appeal by allowin</w:t>
      </w:r>
      <w:r w:rsidR="007619FE">
        <w:rPr>
          <w:rFonts w:ascii="Book Antiqua" w:hAnsi="Book Antiqua" w:cs="Arial"/>
        </w:rPr>
        <w:t>g</w:t>
      </w:r>
      <w:r w:rsidRPr="003A0DFB">
        <w:rPr>
          <w:rFonts w:ascii="Book Antiqua" w:hAnsi="Book Antiqua" w:cs="Arial"/>
        </w:rPr>
        <w:t xml:space="preserve"> it</w:t>
      </w:r>
      <w:r w:rsidR="006A4436">
        <w:rPr>
          <w:rFonts w:ascii="Book Antiqua" w:hAnsi="Book Antiqua" w:cs="Arial"/>
        </w:rPr>
        <w:t xml:space="preserve"> on human rights grounds.</w:t>
      </w:r>
    </w:p>
    <w:p w14:paraId="65E935A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6FEC3DB3" wp14:editId="5507EEBE">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3EBBAE1E"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4113910F" w14:textId="77777777" w:rsidR="008F0F55" w:rsidRPr="006E1B05" w:rsidRDefault="00EB47EE" w:rsidP="008F0F55">
      <w:pPr>
        <w:tabs>
          <w:tab w:val="left" w:pos="2268"/>
          <w:tab w:val="left" w:pos="4536"/>
          <w:tab w:val="left" w:pos="5103"/>
        </w:tabs>
        <w:rPr>
          <w:rFonts w:ascii="Book Antiqua" w:hAnsi="Book Antiqua" w:cs="Arial"/>
          <w:b/>
          <w:bCs/>
        </w:rPr>
      </w:pPr>
    </w:p>
    <w:p w14:paraId="26B0D653"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91AFAE0" w14:textId="77777777" w:rsidR="008F0F55" w:rsidRPr="006E1B05" w:rsidRDefault="00EB47EE" w:rsidP="008F0F55">
      <w:pPr>
        <w:tabs>
          <w:tab w:val="left" w:pos="2268"/>
          <w:tab w:val="left" w:pos="5103"/>
        </w:tabs>
        <w:rPr>
          <w:rFonts w:ascii="Book Antiqua" w:hAnsi="Book Antiqua" w:cs="Arial"/>
          <w:b/>
          <w:bCs/>
        </w:rPr>
      </w:pPr>
    </w:p>
    <w:p w14:paraId="3F220014" w14:textId="7B6F196E" w:rsidR="008F0F55" w:rsidRPr="0083585F" w:rsidRDefault="00F81D1E" w:rsidP="005B1635">
      <w:pPr>
        <w:tabs>
          <w:tab w:val="left" w:pos="2268"/>
          <w:tab w:val="left" w:pos="5103"/>
        </w:tabs>
        <w:rPr>
          <w:rFonts w:ascii="Book Antiqua" w:hAnsi="Book Antiqua" w:cs="Arial"/>
        </w:rPr>
      </w:pPr>
      <w:r>
        <w:rPr>
          <w:rFonts w:ascii="Book Antiqua" w:hAnsi="Book Antiqua" w:cs="Arial"/>
          <w:b/>
          <w:bCs/>
        </w:rPr>
        <w:tab/>
      </w:r>
    </w:p>
    <w:p w14:paraId="02B7F256"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Anonymity</w:t>
      </w:r>
    </w:p>
    <w:p w14:paraId="65D8842A"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not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14:paraId="3E531E92" w14:textId="77777777" w:rsidR="008F0F55" w:rsidRPr="00177DBD" w:rsidRDefault="00F81D1E" w:rsidP="008F0F55">
      <w:pPr>
        <w:tabs>
          <w:tab w:val="left" w:pos="0"/>
          <w:tab w:val="left" w:pos="360"/>
        </w:tabs>
        <w:overflowPunct w:val="0"/>
        <w:autoSpaceDE w:val="0"/>
        <w:autoSpaceDN w:val="0"/>
        <w:adjustRightInd w:val="0"/>
        <w:spacing w:after="120"/>
        <w:jc w:val="both"/>
        <w:textAlignment w:val="baseline"/>
        <w:rPr>
          <w:rFonts w:ascii="Book Antiqua" w:hAnsi="Book Antiqua"/>
        </w:rPr>
      </w:pPr>
      <w:r>
        <w:rPr>
          <w:rFonts w:ascii="Book Antiqua" w:hAnsi="Book Antiqua"/>
        </w:rPr>
        <w:t>Given the circumstances, I make no anonymity order.</w:t>
      </w:r>
    </w:p>
    <w:p w14:paraId="15C89352"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lastRenderedPageBreak/>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4AC860D1" w14:textId="77777777"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In the light of </w:t>
      </w:r>
      <w:r>
        <w:rPr>
          <w:rFonts w:ascii="Book Antiqua" w:hAnsi="Book Antiqua" w:cs="Arial"/>
        </w:rPr>
        <w:t>my</w:t>
      </w:r>
      <w:r w:rsidRPr="003A0DFB">
        <w:rPr>
          <w:rFonts w:ascii="Book Antiqua" w:hAnsi="Book Antiqua" w:cs="Arial"/>
        </w:rPr>
        <w:t xml:space="preserve"> decision, </w:t>
      </w:r>
      <w:r>
        <w:rPr>
          <w:rFonts w:ascii="Book Antiqua" w:hAnsi="Book Antiqua" w:cs="Arial"/>
        </w:rPr>
        <w:t>I</w:t>
      </w:r>
      <w:r w:rsidRPr="003A0DFB">
        <w:rPr>
          <w:rFonts w:ascii="Book Antiqua" w:hAnsi="Book Antiqua" w:cs="Arial"/>
        </w:rPr>
        <w:t xml:space="preserve"> have considered whether to make a fee award </w:t>
      </w:r>
      <w:r w:rsidR="00304CCE">
        <w:rPr>
          <w:rFonts w:ascii="Book Antiqua" w:hAnsi="Book Antiqua" w:cs="Arial"/>
        </w:rPr>
        <w:t xml:space="preserve">pursuant to </w:t>
      </w:r>
      <w:r w:rsidRPr="003A0DFB">
        <w:rPr>
          <w:rFonts w:ascii="Book Antiqua" w:hAnsi="Book Antiqua" w:cs="Arial"/>
        </w:rPr>
        <w:t xml:space="preserve">section 12(4)(a) of the Tribunals, </w:t>
      </w:r>
      <w:r w:rsidR="00304CCE">
        <w:rPr>
          <w:rFonts w:ascii="Book Antiqua" w:hAnsi="Book Antiqua" w:cs="Arial"/>
        </w:rPr>
        <w:t>Courts and Enforcement Act 2007</w:t>
      </w:r>
      <w:r w:rsidRPr="003A0DFB">
        <w:rPr>
          <w:rFonts w:ascii="Book Antiqua" w:hAnsi="Book Antiqua" w:cs="Arial"/>
        </w:rPr>
        <w:t>.</w:t>
      </w:r>
    </w:p>
    <w:p w14:paraId="04371C54"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have had regard to the Joint Presidential Guidance Note: Fee Awards in Immigration Appeals (December 2011).</w:t>
      </w:r>
    </w:p>
    <w:p w14:paraId="5146734B" w14:textId="68CEEF7E"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make a whole fee award.</w:t>
      </w:r>
    </w:p>
    <w:p w14:paraId="16C1E79B" w14:textId="351763FF"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Reasons: </w:t>
      </w:r>
      <w:r w:rsidR="007619FE">
        <w:rPr>
          <w:rFonts w:ascii="Book Antiqua" w:hAnsi="Book Antiqua" w:cs="Arial"/>
        </w:rPr>
        <w:t>The appeal has been allowed.</w:t>
      </w:r>
    </w:p>
    <w:p w14:paraId="27DED33E" w14:textId="77777777" w:rsidR="008F0F55" w:rsidRPr="00F146AE" w:rsidRDefault="00EB47EE" w:rsidP="008F0F55">
      <w:pPr>
        <w:tabs>
          <w:tab w:val="left" w:pos="2520"/>
        </w:tabs>
        <w:jc w:val="both"/>
        <w:rPr>
          <w:rFonts w:ascii="Book Antiqua" w:hAnsi="Book Antiqua" w:cs="Arial"/>
        </w:rPr>
      </w:pPr>
    </w:p>
    <w:p w14:paraId="2A5AB24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1E817B2F" wp14:editId="685F7FFB">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74758BC7"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5C805085" w14:textId="77777777" w:rsidR="008F0F55" w:rsidRPr="006E1B05" w:rsidRDefault="00EB47EE" w:rsidP="008F0F55">
      <w:pPr>
        <w:tabs>
          <w:tab w:val="left" w:pos="2268"/>
          <w:tab w:val="left" w:pos="4536"/>
          <w:tab w:val="left" w:pos="5103"/>
        </w:tabs>
        <w:rPr>
          <w:rFonts w:ascii="Book Antiqua" w:hAnsi="Book Antiqua" w:cs="Arial"/>
          <w:b/>
          <w:bCs/>
        </w:rPr>
      </w:pPr>
    </w:p>
    <w:p w14:paraId="419DE8A4"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1F2ABC0" w14:textId="77777777" w:rsidR="008F0F55" w:rsidRPr="006E1B05" w:rsidRDefault="00EB47EE" w:rsidP="008F0F55">
      <w:pPr>
        <w:tabs>
          <w:tab w:val="left" w:pos="2268"/>
          <w:tab w:val="left" w:pos="5103"/>
        </w:tabs>
        <w:rPr>
          <w:rFonts w:ascii="Book Antiqua" w:hAnsi="Book Antiqua" w:cs="Arial"/>
          <w:b/>
          <w:bCs/>
        </w:rPr>
      </w:pPr>
    </w:p>
    <w:p w14:paraId="3F62F489" w14:textId="2D9E86EE" w:rsidR="008F0F55" w:rsidRDefault="00F81D1E" w:rsidP="00B6534A">
      <w:pPr>
        <w:tabs>
          <w:tab w:val="left" w:pos="2268"/>
          <w:tab w:val="left" w:pos="5103"/>
        </w:tabs>
        <w:rPr>
          <w:rFonts w:ascii="Book Antiqua" w:hAnsi="Book Antiqua" w:cs="Arial"/>
        </w:rPr>
      </w:pPr>
      <w:r>
        <w:rPr>
          <w:rFonts w:ascii="Book Antiqua" w:hAnsi="Book Antiqua" w:cs="Arial"/>
          <w:b/>
          <w:bCs/>
        </w:rPr>
        <w:tab/>
      </w:r>
      <w:bookmarkStart w:id="0" w:name="_GoBack"/>
      <w:bookmarkEnd w:id="0"/>
    </w:p>
    <w:sectPr w:rsidR="008F0F55" w:rsidSect="00AE0A12">
      <w:headerReference w:type="default" r:id="rId9"/>
      <w:footerReference w:type="default" r:id="rId10"/>
      <w:headerReference w:type="first" r:id="rId11"/>
      <w:footerReference w:type="first" r:id="rId12"/>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E99AF" w14:textId="77777777" w:rsidR="000E2BBE" w:rsidRDefault="000E2BBE">
      <w:r>
        <w:separator/>
      </w:r>
    </w:p>
  </w:endnote>
  <w:endnote w:type="continuationSeparator" w:id="0">
    <w:p w14:paraId="27BFF63C" w14:textId="77777777" w:rsidR="000E2BBE" w:rsidRDefault="000E2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D65E9" w14:textId="5A27F4C7" w:rsidR="008F0F55" w:rsidRPr="00AE0A12" w:rsidRDefault="00F81D1E" w:rsidP="008F0F55">
    <w:pPr>
      <w:pStyle w:val="Footer"/>
      <w:jc w:val="center"/>
      <w:rPr>
        <w:rFonts w:ascii="Book Antiqua" w:hAnsi="Book Antiqua" w:cs="Arial"/>
      </w:rPr>
    </w:pPr>
    <w:r w:rsidRPr="00AE0A12">
      <w:rPr>
        <w:rStyle w:val="PageNumber"/>
        <w:rFonts w:ascii="Book Antiqua" w:hAnsi="Book Antiqua" w:cs="Arial"/>
      </w:rPr>
      <w:fldChar w:fldCharType="begin"/>
    </w:r>
    <w:r w:rsidRPr="00AE0A12">
      <w:rPr>
        <w:rStyle w:val="PageNumber"/>
        <w:rFonts w:ascii="Book Antiqua" w:hAnsi="Book Antiqua" w:cs="Arial"/>
      </w:rPr>
      <w:instrText xml:space="preserve"> PAGE </w:instrText>
    </w:r>
    <w:r w:rsidRPr="00AE0A12">
      <w:rPr>
        <w:rStyle w:val="PageNumber"/>
        <w:rFonts w:ascii="Book Antiqua" w:hAnsi="Book Antiqua" w:cs="Arial"/>
      </w:rPr>
      <w:fldChar w:fldCharType="separate"/>
    </w:r>
    <w:r w:rsidR="00EB47EE">
      <w:rPr>
        <w:rStyle w:val="PageNumber"/>
        <w:rFonts w:ascii="Book Antiqua" w:hAnsi="Book Antiqua" w:cs="Arial"/>
        <w:noProof/>
      </w:rPr>
      <w:t>3</w:t>
    </w:r>
    <w:r w:rsidRPr="00AE0A1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C21D5"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3FA71" w14:textId="77777777" w:rsidR="000E2BBE" w:rsidRDefault="000E2BBE">
      <w:r>
        <w:separator/>
      </w:r>
    </w:p>
  </w:footnote>
  <w:footnote w:type="continuationSeparator" w:id="0">
    <w:p w14:paraId="0F1EF3AD" w14:textId="77777777" w:rsidR="000E2BBE" w:rsidRDefault="000E2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CC239" w14:textId="2E902A49" w:rsidR="008F0F55" w:rsidRDefault="00F81D1E" w:rsidP="008F0F55">
    <w:pPr>
      <w:pStyle w:val="Header"/>
      <w:tabs>
        <w:tab w:val="clear" w:pos="4153"/>
        <w:tab w:val="clear" w:pos="8306"/>
        <w:tab w:val="right" w:pos="9639"/>
      </w:tabs>
      <w:jc w:val="right"/>
      <w:rPr>
        <w:rFonts w:ascii="Book Antiqua" w:hAnsi="Book Antiqua" w:cs="Arial"/>
        <w:sz w:val="16"/>
        <w:szCs w:val="16"/>
      </w:rPr>
    </w:pPr>
    <w:r w:rsidRPr="00AE0A12">
      <w:rPr>
        <w:rFonts w:ascii="Book Antiqua" w:hAnsi="Book Antiqua" w:cs="Arial"/>
        <w:sz w:val="16"/>
        <w:szCs w:val="16"/>
      </w:rPr>
      <w:t xml:space="preserve">Appeal Number: </w:t>
    </w:r>
    <w:r w:rsidR="0079020B" w:rsidRPr="00AE0A12">
      <w:rPr>
        <w:rFonts w:ascii="Book Antiqua" w:hAnsi="Book Antiqua" w:cs="Arial"/>
        <w:sz w:val="16"/>
        <w:szCs w:val="16"/>
      </w:rPr>
      <w:t>HU/15805/2016</w:t>
    </w:r>
  </w:p>
  <w:p w14:paraId="6BB306D0" w14:textId="77777777" w:rsidR="00AE0A12" w:rsidRPr="00AE0A12" w:rsidRDefault="00AE0A12" w:rsidP="008F0F5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3BF5"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3F2A7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30B8B"/>
    <w:rsid w:val="000B73C8"/>
    <w:rsid w:val="000D531F"/>
    <w:rsid w:val="000E2BBE"/>
    <w:rsid w:val="00113241"/>
    <w:rsid w:val="001A4387"/>
    <w:rsid w:val="002F0A36"/>
    <w:rsid w:val="00304CCE"/>
    <w:rsid w:val="003C527D"/>
    <w:rsid w:val="003E7F7B"/>
    <w:rsid w:val="00435793"/>
    <w:rsid w:val="00437C34"/>
    <w:rsid w:val="004530EC"/>
    <w:rsid w:val="004A62D0"/>
    <w:rsid w:val="004F0C3E"/>
    <w:rsid w:val="00593BFD"/>
    <w:rsid w:val="005B1635"/>
    <w:rsid w:val="006A4436"/>
    <w:rsid w:val="006A759A"/>
    <w:rsid w:val="006D0BBA"/>
    <w:rsid w:val="0073407D"/>
    <w:rsid w:val="00754D92"/>
    <w:rsid w:val="007606D4"/>
    <w:rsid w:val="007619FE"/>
    <w:rsid w:val="0079020B"/>
    <w:rsid w:val="007B0A98"/>
    <w:rsid w:val="0082373D"/>
    <w:rsid w:val="008E5298"/>
    <w:rsid w:val="00902F35"/>
    <w:rsid w:val="00910C59"/>
    <w:rsid w:val="009808A7"/>
    <w:rsid w:val="009C2B2A"/>
    <w:rsid w:val="00A87F50"/>
    <w:rsid w:val="00AA0B71"/>
    <w:rsid w:val="00AE0A12"/>
    <w:rsid w:val="00B15DAF"/>
    <w:rsid w:val="00B6534A"/>
    <w:rsid w:val="00C020D4"/>
    <w:rsid w:val="00CA56A9"/>
    <w:rsid w:val="00D1687F"/>
    <w:rsid w:val="00D248E6"/>
    <w:rsid w:val="00D87D87"/>
    <w:rsid w:val="00E35A59"/>
    <w:rsid w:val="00E366C9"/>
    <w:rsid w:val="00E47B96"/>
    <w:rsid w:val="00EB47EE"/>
    <w:rsid w:val="00F542FC"/>
    <w:rsid w:val="00F81D1E"/>
    <w:rsid w:val="00FB2888"/>
    <w:rsid w:val="00FC346C"/>
    <w:rsid w:val="00FC40EE"/>
    <w:rsid w:val="00FE1F93"/>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F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2018-07-19T10:23:00Z</dcterms:created>
  <dcterms:modified xsi:type="dcterms:W3CDTF">2018-07-19T10:23:00Z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