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20F" w:rsidRPr="00C03536" w:rsidRDefault="002D7EC5" w:rsidP="00E500B2">
      <w:pPr>
        <w:jc w:val="center"/>
        <w:rPr>
          <w:rFonts w:ascii="Book Antiqua" w:hAnsi="Book Antiqua" w:cs="Arial"/>
          <w:caps/>
          <w:color w:val="000000"/>
          <w:sz w:val="16"/>
          <w:szCs w:val="16"/>
        </w:rPr>
      </w:pPr>
      <w:r>
        <w:rPr>
          <w:noProof/>
        </w:rPr>
        <w:drawing>
          <wp:inline distT="0" distB="0" distL="0" distR="0">
            <wp:extent cx="1177200" cy="1036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7200" cy="1036800"/>
                    </a:xfrm>
                    <a:prstGeom prst="rect">
                      <a:avLst/>
                    </a:prstGeom>
                    <a:noFill/>
                    <a:ln>
                      <a:noFill/>
                    </a:ln>
                  </pic:spPr>
                </pic:pic>
              </a:graphicData>
            </a:graphic>
          </wp:inline>
        </w:drawing>
      </w:r>
    </w:p>
    <w:p w:rsidR="00E5220F" w:rsidRPr="00C03536" w:rsidRDefault="00E5220F" w:rsidP="00621A45">
      <w:pPr>
        <w:tabs>
          <w:tab w:val="right" w:pos="9720"/>
        </w:tabs>
        <w:ind w:right="-82"/>
        <w:outlineLvl w:val="0"/>
        <w:rPr>
          <w:rFonts w:ascii="Book Antiqua" w:hAnsi="Book Antiqua" w:cs="Arial"/>
          <w:b/>
          <w:color w:val="000000"/>
        </w:rPr>
      </w:pPr>
      <w:r w:rsidRPr="00C03536">
        <w:rPr>
          <w:rFonts w:ascii="Book Antiqua" w:hAnsi="Book Antiqua" w:cs="Arial"/>
          <w:b/>
          <w:color w:val="000000"/>
        </w:rPr>
        <w:t>Upper Tribunal</w:t>
      </w:r>
    </w:p>
    <w:p w:rsidR="00E5220F" w:rsidRPr="006E7C45" w:rsidRDefault="00E5220F" w:rsidP="00780F86">
      <w:pPr>
        <w:tabs>
          <w:tab w:val="right" w:pos="9720"/>
        </w:tabs>
        <w:ind w:right="-82"/>
        <w:rPr>
          <w:rFonts w:ascii="Book Antiqua" w:hAnsi="Book Antiqua" w:cs="Arial"/>
          <w:b/>
          <w:color w:val="000000"/>
        </w:rPr>
      </w:pPr>
      <w:r w:rsidRPr="00C03536">
        <w:rPr>
          <w:rFonts w:ascii="Book Antiqua" w:hAnsi="Book Antiqua" w:cs="Arial"/>
          <w:b/>
          <w:color w:val="000000"/>
        </w:rPr>
        <w:t>(</w:t>
      </w:r>
      <w:r w:rsidR="006E7C45">
        <w:rPr>
          <w:rFonts w:ascii="Book Antiqua" w:hAnsi="Book Antiqua" w:cs="Arial"/>
          <w:b/>
          <w:color w:val="000000"/>
        </w:rPr>
        <w:t xml:space="preserve">Immigration and Asylum </w:t>
      </w:r>
      <w:proofErr w:type="gramStart"/>
      <w:r w:rsidR="006E7C45">
        <w:rPr>
          <w:rFonts w:ascii="Book Antiqua" w:hAnsi="Book Antiqua" w:cs="Arial"/>
          <w:b/>
          <w:color w:val="000000"/>
        </w:rPr>
        <w:t xml:space="preserve">Chamber)   </w:t>
      </w:r>
      <w:proofErr w:type="gramEnd"/>
      <w:r w:rsidR="006E7C45">
        <w:rPr>
          <w:rFonts w:ascii="Book Antiqua" w:hAnsi="Book Antiqua" w:cs="Arial"/>
          <w:b/>
          <w:color w:val="000000"/>
        </w:rPr>
        <w:t xml:space="preserve">                    </w:t>
      </w:r>
      <w:r w:rsidRPr="006E7C45">
        <w:rPr>
          <w:rFonts w:ascii="Book Antiqua" w:hAnsi="Book Antiqua" w:cs="Arial"/>
          <w:b/>
          <w:color w:val="000000"/>
        </w:rPr>
        <w:t xml:space="preserve">Appeal Number: </w:t>
      </w:r>
      <w:r w:rsidRPr="006E7C45">
        <w:rPr>
          <w:rFonts w:ascii="Book Antiqua" w:hAnsi="Book Antiqua" w:cs="Arial"/>
          <w:b/>
          <w:caps/>
          <w:color w:val="000000"/>
        </w:rPr>
        <w:t>HU/15827/2016</w:t>
      </w:r>
    </w:p>
    <w:p w:rsidR="00E5220F" w:rsidRPr="00C03536" w:rsidRDefault="00E5220F" w:rsidP="00C345E1">
      <w:pPr>
        <w:jc w:val="center"/>
        <w:rPr>
          <w:rFonts w:ascii="Book Antiqua" w:hAnsi="Book Antiqua" w:cs="Arial"/>
          <w:color w:val="000000"/>
        </w:rPr>
      </w:pPr>
    </w:p>
    <w:p w:rsidR="00E5220F" w:rsidRPr="00C03536" w:rsidRDefault="00E5220F" w:rsidP="00621A45">
      <w:pPr>
        <w:jc w:val="center"/>
        <w:outlineLvl w:val="0"/>
        <w:rPr>
          <w:rFonts w:ascii="Book Antiqua" w:hAnsi="Book Antiqua" w:cs="Arial"/>
          <w:b/>
          <w:color w:val="000000"/>
          <w:u w:val="single"/>
        </w:rPr>
      </w:pPr>
      <w:r w:rsidRPr="00C03536">
        <w:rPr>
          <w:rFonts w:ascii="Book Antiqua" w:hAnsi="Book Antiqua" w:cs="Arial"/>
          <w:b/>
          <w:color w:val="000000"/>
          <w:u w:val="single"/>
        </w:rPr>
        <w:t>THE IMMIGRATION ACTS</w:t>
      </w:r>
    </w:p>
    <w:p w:rsidR="00E5220F" w:rsidRPr="00C03536" w:rsidRDefault="00E5220F"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E5220F" w:rsidRPr="00C03536" w:rsidTr="006E7C45">
        <w:tc>
          <w:tcPr>
            <w:tcW w:w="5245" w:type="dxa"/>
          </w:tcPr>
          <w:p w:rsidR="00E5220F" w:rsidRPr="00373562" w:rsidRDefault="00E5220F" w:rsidP="00373562">
            <w:pPr>
              <w:jc w:val="both"/>
              <w:rPr>
                <w:rFonts w:ascii="Book Antiqua" w:hAnsi="Book Antiqua" w:cs="Arial"/>
                <w:b/>
              </w:rPr>
            </w:pPr>
            <w:r w:rsidRPr="00373562">
              <w:rPr>
                <w:rFonts w:ascii="Book Antiqua" w:hAnsi="Book Antiqua" w:cs="Arial"/>
                <w:b/>
              </w:rPr>
              <w:t xml:space="preserve">Heard at Field House </w:t>
            </w:r>
          </w:p>
        </w:tc>
        <w:tc>
          <w:tcPr>
            <w:tcW w:w="4763" w:type="dxa"/>
          </w:tcPr>
          <w:p w:rsidR="00E5220F" w:rsidRPr="00373562" w:rsidRDefault="00E5220F" w:rsidP="00373562">
            <w:pPr>
              <w:jc w:val="both"/>
              <w:rPr>
                <w:rFonts w:ascii="Book Antiqua" w:hAnsi="Book Antiqua" w:cs="Arial"/>
                <w:b/>
                <w:color w:val="000000"/>
              </w:rPr>
            </w:pPr>
            <w:r w:rsidRPr="00373562">
              <w:rPr>
                <w:rFonts w:ascii="Book Antiqua" w:hAnsi="Book Antiqua" w:cs="Arial"/>
                <w:b/>
                <w:color w:val="000000"/>
              </w:rPr>
              <w:t>Decision &amp; Reasons Promulgated</w:t>
            </w:r>
          </w:p>
        </w:tc>
      </w:tr>
      <w:tr w:rsidR="00E5220F" w:rsidRPr="00C03536" w:rsidTr="006E7C45">
        <w:tc>
          <w:tcPr>
            <w:tcW w:w="5245" w:type="dxa"/>
          </w:tcPr>
          <w:p w:rsidR="00E5220F" w:rsidRPr="00373562" w:rsidRDefault="00E5220F" w:rsidP="00373562">
            <w:pPr>
              <w:jc w:val="both"/>
              <w:rPr>
                <w:rFonts w:ascii="Book Antiqua" w:hAnsi="Book Antiqua" w:cs="Arial"/>
                <w:b/>
              </w:rPr>
            </w:pPr>
            <w:r w:rsidRPr="00373562">
              <w:rPr>
                <w:rFonts w:ascii="Book Antiqua" w:hAnsi="Book Antiqua" w:cs="Arial"/>
                <w:b/>
              </w:rPr>
              <w:t xml:space="preserve">On 25 June 2018 </w:t>
            </w:r>
          </w:p>
        </w:tc>
        <w:tc>
          <w:tcPr>
            <w:tcW w:w="4763" w:type="dxa"/>
          </w:tcPr>
          <w:p w:rsidR="00E5220F" w:rsidRPr="00373562" w:rsidRDefault="002D7EC5" w:rsidP="00373562">
            <w:pPr>
              <w:jc w:val="both"/>
              <w:rPr>
                <w:rFonts w:ascii="Book Antiqua" w:hAnsi="Book Antiqua" w:cs="Arial"/>
                <w:b/>
              </w:rPr>
            </w:pPr>
            <w:r>
              <w:rPr>
                <w:rFonts w:ascii="Book Antiqua" w:hAnsi="Book Antiqua" w:cs="Arial"/>
                <w:b/>
              </w:rPr>
              <w:t>On 10 July 2018</w:t>
            </w:r>
          </w:p>
        </w:tc>
      </w:tr>
      <w:tr w:rsidR="00E5220F" w:rsidRPr="00C03536" w:rsidTr="006E7C45">
        <w:tc>
          <w:tcPr>
            <w:tcW w:w="5245" w:type="dxa"/>
          </w:tcPr>
          <w:p w:rsidR="00E5220F" w:rsidRPr="00373562" w:rsidRDefault="00E5220F" w:rsidP="00373562">
            <w:pPr>
              <w:jc w:val="both"/>
              <w:rPr>
                <w:rFonts w:ascii="Book Antiqua" w:hAnsi="Book Antiqua" w:cs="Arial"/>
                <w:b/>
              </w:rPr>
            </w:pPr>
          </w:p>
        </w:tc>
        <w:tc>
          <w:tcPr>
            <w:tcW w:w="4763" w:type="dxa"/>
          </w:tcPr>
          <w:p w:rsidR="00E5220F" w:rsidRPr="00373562" w:rsidRDefault="00E5220F" w:rsidP="00373562">
            <w:pPr>
              <w:jc w:val="both"/>
              <w:rPr>
                <w:rFonts w:ascii="Book Antiqua" w:hAnsi="Book Antiqua" w:cs="Arial"/>
                <w:b/>
              </w:rPr>
            </w:pPr>
          </w:p>
        </w:tc>
      </w:tr>
    </w:tbl>
    <w:p w:rsidR="00E5220F" w:rsidRPr="00C03536" w:rsidRDefault="00E5220F" w:rsidP="00A15234">
      <w:pPr>
        <w:jc w:val="center"/>
        <w:rPr>
          <w:rFonts w:ascii="Book Antiqua" w:hAnsi="Book Antiqua" w:cs="Arial"/>
        </w:rPr>
      </w:pPr>
    </w:p>
    <w:p w:rsidR="00E5220F" w:rsidRPr="00C03536" w:rsidRDefault="00E5220F" w:rsidP="00A15234">
      <w:pPr>
        <w:jc w:val="center"/>
        <w:rPr>
          <w:rFonts w:ascii="Book Antiqua" w:hAnsi="Book Antiqua" w:cs="Arial"/>
        </w:rPr>
      </w:pPr>
    </w:p>
    <w:p w:rsidR="00E5220F" w:rsidRPr="00C03536" w:rsidRDefault="00E5220F" w:rsidP="00621A45">
      <w:pPr>
        <w:jc w:val="center"/>
        <w:outlineLvl w:val="0"/>
        <w:rPr>
          <w:rFonts w:ascii="Book Antiqua" w:hAnsi="Book Antiqua" w:cs="Arial"/>
          <w:b/>
        </w:rPr>
      </w:pPr>
      <w:r w:rsidRPr="00C03536">
        <w:rPr>
          <w:rFonts w:ascii="Book Antiqua" w:hAnsi="Book Antiqua" w:cs="Arial"/>
          <w:b/>
        </w:rPr>
        <w:t>Before</w:t>
      </w:r>
    </w:p>
    <w:p w:rsidR="00E5220F" w:rsidRPr="00C03536" w:rsidRDefault="00E5220F" w:rsidP="00A15234">
      <w:pPr>
        <w:jc w:val="center"/>
        <w:rPr>
          <w:rFonts w:ascii="Book Antiqua" w:hAnsi="Book Antiqua" w:cs="Arial"/>
          <w:b/>
        </w:rPr>
      </w:pPr>
    </w:p>
    <w:p w:rsidR="00E5220F" w:rsidRPr="00C03536" w:rsidRDefault="00E5220F" w:rsidP="00621A45">
      <w:pPr>
        <w:jc w:val="center"/>
        <w:outlineLvl w:val="0"/>
        <w:rPr>
          <w:rFonts w:ascii="Book Antiqua" w:hAnsi="Book Antiqua" w:cs="Arial"/>
          <w:b/>
          <w:color w:val="000000"/>
        </w:rPr>
      </w:pPr>
      <w:r w:rsidRPr="00C03536">
        <w:rPr>
          <w:rFonts w:ascii="Book Antiqua" w:hAnsi="Book Antiqua" w:cs="Arial"/>
          <w:b/>
          <w:color w:val="000000"/>
        </w:rPr>
        <w:t xml:space="preserve">DR H </w:t>
      </w:r>
      <w:proofErr w:type="spellStart"/>
      <w:r w:rsidRPr="00C03536">
        <w:rPr>
          <w:rFonts w:ascii="Book Antiqua" w:hAnsi="Book Antiqua" w:cs="Arial"/>
          <w:b/>
          <w:color w:val="000000"/>
        </w:rPr>
        <w:t>H</w:t>
      </w:r>
      <w:proofErr w:type="spellEnd"/>
      <w:r w:rsidRPr="00C03536">
        <w:rPr>
          <w:rFonts w:ascii="Book Antiqua" w:hAnsi="Book Antiqua" w:cs="Arial"/>
          <w:b/>
          <w:color w:val="000000"/>
        </w:rPr>
        <w:t xml:space="preserve"> STOREY</w:t>
      </w:r>
    </w:p>
    <w:p w:rsidR="00E5220F" w:rsidRPr="00C03536" w:rsidRDefault="00E5220F" w:rsidP="00A15234">
      <w:pPr>
        <w:jc w:val="center"/>
        <w:rPr>
          <w:rFonts w:ascii="Book Antiqua" w:hAnsi="Book Antiqua" w:cs="Arial"/>
          <w:b/>
          <w:color w:val="000000"/>
        </w:rPr>
      </w:pPr>
      <w:r w:rsidRPr="00C03536">
        <w:rPr>
          <w:rFonts w:ascii="Book Antiqua" w:hAnsi="Book Antiqua" w:cs="Arial"/>
          <w:b/>
          <w:color w:val="000000"/>
        </w:rPr>
        <w:t>JUDGE OF THE UPPER TRIBUNAL</w:t>
      </w:r>
    </w:p>
    <w:p w:rsidR="00E5220F" w:rsidRPr="00C03536" w:rsidRDefault="00E5220F" w:rsidP="00A15234">
      <w:pPr>
        <w:jc w:val="center"/>
        <w:rPr>
          <w:rFonts w:ascii="Book Antiqua" w:hAnsi="Book Antiqua" w:cs="Arial"/>
          <w:b/>
        </w:rPr>
      </w:pPr>
    </w:p>
    <w:p w:rsidR="00E5220F" w:rsidRPr="00C03536" w:rsidRDefault="00E5220F" w:rsidP="00621A45">
      <w:pPr>
        <w:jc w:val="center"/>
        <w:outlineLvl w:val="0"/>
        <w:rPr>
          <w:rFonts w:ascii="Book Antiqua" w:hAnsi="Book Antiqua" w:cs="Arial"/>
          <w:b/>
        </w:rPr>
      </w:pPr>
      <w:r w:rsidRPr="00C03536">
        <w:rPr>
          <w:rFonts w:ascii="Book Antiqua" w:hAnsi="Book Antiqua" w:cs="Arial"/>
          <w:b/>
        </w:rPr>
        <w:t>Between</w:t>
      </w:r>
    </w:p>
    <w:p w:rsidR="00E5220F" w:rsidRPr="00C03536" w:rsidRDefault="00E5220F" w:rsidP="00A15234">
      <w:pPr>
        <w:jc w:val="center"/>
        <w:rPr>
          <w:rFonts w:ascii="Book Antiqua" w:hAnsi="Book Antiqua" w:cs="Arial"/>
          <w:b/>
        </w:rPr>
      </w:pPr>
    </w:p>
    <w:p w:rsidR="00E5220F" w:rsidRPr="00C03536" w:rsidRDefault="00E5220F" w:rsidP="00621A45">
      <w:pPr>
        <w:jc w:val="center"/>
        <w:outlineLvl w:val="0"/>
        <w:rPr>
          <w:rFonts w:ascii="Book Antiqua" w:hAnsi="Book Antiqua" w:cs="Arial"/>
          <w:b/>
          <w:caps/>
        </w:rPr>
      </w:pPr>
      <w:r w:rsidRPr="00C03536">
        <w:rPr>
          <w:rFonts w:ascii="Book Antiqua" w:hAnsi="Book Antiqua" w:cs="Arial"/>
          <w:b/>
          <w:caps/>
        </w:rPr>
        <w:t xml:space="preserve">mr Md Sirazul Hoque </w:t>
      </w:r>
    </w:p>
    <w:p w:rsidR="00E5220F" w:rsidRPr="006E7C45" w:rsidRDefault="00E5220F" w:rsidP="00173CC6">
      <w:pPr>
        <w:jc w:val="center"/>
        <w:rPr>
          <w:rFonts w:ascii="Book Antiqua" w:hAnsi="Book Antiqua" w:cs="Arial"/>
          <w:caps/>
        </w:rPr>
      </w:pPr>
      <w:r w:rsidRPr="006E7C45">
        <w:rPr>
          <w:rFonts w:ascii="Book Antiqua" w:hAnsi="Book Antiqua" w:cs="Arial"/>
          <w:caps/>
        </w:rPr>
        <w:t>(ANONYMITY DIRECTION NOT MADE)</w:t>
      </w:r>
    </w:p>
    <w:p w:rsidR="00E5220F" w:rsidRPr="00C03536" w:rsidRDefault="00E5220F" w:rsidP="00A15234">
      <w:pPr>
        <w:jc w:val="center"/>
        <w:rPr>
          <w:rFonts w:ascii="Book Antiqua" w:hAnsi="Book Antiqua" w:cs="Arial"/>
          <w:b/>
        </w:rPr>
      </w:pPr>
    </w:p>
    <w:p w:rsidR="00E5220F" w:rsidRPr="00C03536" w:rsidRDefault="00E5220F" w:rsidP="00621A45">
      <w:pPr>
        <w:jc w:val="right"/>
        <w:outlineLvl w:val="0"/>
        <w:rPr>
          <w:rFonts w:ascii="Book Antiqua" w:hAnsi="Book Antiqua" w:cs="Arial"/>
          <w:u w:val="single"/>
        </w:rPr>
      </w:pPr>
      <w:r w:rsidRPr="00C03536">
        <w:rPr>
          <w:rFonts w:ascii="Book Antiqua" w:hAnsi="Book Antiqua" w:cs="Arial"/>
          <w:u w:val="single"/>
        </w:rPr>
        <w:t>Appellant</w:t>
      </w:r>
    </w:p>
    <w:p w:rsidR="00E5220F" w:rsidRPr="00C03536" w:rsidRDefault="00E5220F" w:rsidP="00704B61">
      <w:pPr>
        <w:jc w:val="center"/>
        <w:rPr>
          <w:rFonts w:ascii="Book Antiqua" w:hAnsi="Book Antiqua" w:cs="Arial"/>
          <w:b/>
        </w:rPr>
      </w:pPr>
      <w:r w:rsidRPr="00C03536">
        <w:rPr>
          <w:rFonts w:ascii="Book Antiqua" w:hAnsi="Book Antiqua" w:cs="Arial"/>
          <w:b/>
        </w:rPr>
        <w:t>and</w:t>
      </w:r>
    </w:p>
    <w:p w:rsidR="00E5220F" w:rsidRPr="00C03536" w:rsidRDefault="00E5220F" w:rsidP="00704B61">
      <w:pPr>
        <w:jc w:val="center"/>
        <w:rPr>
          <w:rFonts w:ascii="Book Antiqua" w:hAnsi="Book Antiqua" w:cs="Arial"/>
          <w:b/>
        </w:rPr>
      </w:pPr>
    </w:p>
    <w:p w:rsidR="00E5220F" w:rsidRPr="00C03536" w:rsidRDefault="00E5220F" w:rsidP="00621A45">
      <w:pPr>
        <w:jc w:val="center"/>
        <w:outlineLvl w:val="0"/>
        <w:rPr>
          <w:rFonts w:ascii="Book Antiqua" w:hAnsi="Book Antiqua" w:cs="Arial"/>
          <w:b/>
        </w:rPr>
      </w:pPr>
      <w:bookmarkStart w:id="0" w:name="Text7"/>
      <w:r w:rsidRPr="00C03536">
        <w:rPr>
          <w:rFonts w:ascii="Book Antiqua" w:hAnsi="Book Antiqua" w:cs="Arial"/>
          <w:b/>
          <w:noProof/>
        </w:rPr>
        <w:t>THE SECRETARY OF STATE FOR THE HOME DEPARTMENT</w:t>
      </w:r>
      <w:bookmarkEnd w:id="0"/>
      <w:r w:rsidRPr="00C03536">
        <w:rPr>
          <w:rFonts w:ascii="Book Antiqua" w:hAnsi="Book Antiqua" w:cs="Arial"/>
          <w:b/>
          <w:noProof/>
        </w:rPr>
        <w:t xml:space="preserve"> </w:t>
      </w:r>
    </w:p>
    <w:p w:rsidR="00E5220F" w:rsidRPr="00C03536" w:rsidRDefault="00E5220F" w:rsidP="00621A45">
      <w:pPr>
        <w:jc w:val="right"/>
        <w:outlineLvl w:val="0"/>
        <w:rPr>
          <w:rFonts w:ascii="Book Antiqua" w:hAnsi="Book Antiqua" w:cs="Arial"/>
          <w:u w:val="single"/>
        </w:rPr>
      </w:pPr>
      <w:r w:rsidRPr="00C03536">
        <w:rPr>
          <w:rFonts w:ascii="Book Antiqua" w:hAnsi="Book Antiqua" w:cs="Arial"/>
          <w:u w:val="single"/>
        </w:rPr>
        <w:t>Respondent</w:t>
      </w:r>
    </w:p>
    <w:p w:rsidR="00E5220F" w:rsidRPr="00C03536" w:rsidRDefault="00E5220F" w:rsidP="00DD5071">
      <w:pPr>
        <w:rPr>
          <w:rFonts w:ascii="Book Antiqua" w:hAnsi="Book Antiqua" w:cs="Arial"/>
          <w:u w:val="single"/>
        </w:rPr>
      </w:pPr>
    </w:p>
    <w:p w:rsidR="00E5220F" w:rsidRPr="00C03536" w:rsidRDefault="00E5220F" w:rsidP="00621A45">
      <w:pPr>
        <w:outlineLvl w:val="0"/>
        <w:rPr>
          <w:rFonts w:ascii="Book Antiqua" w:hAnsi="Book Antiqua" w:cs="Arial"/>
        </w:rPr>
      </w:pPr>
      <w:r w:rsidRPr="00C03536">
        <w:rPr>
          <w:rFonts w:ascii="Book Antiqua" w:hAnsi="Book Antiqua" w:cs="Arial"/>
          <w:b/>
          <w:u w:val="single"/>
        </w:rPr>
        <w:t>Representation</w:t>
      </w:r>
      <w:r w:rsidRPr="00C03536">
        <w:rPr>
          <w:rFonts w:ascii="Book Antiqua" w:hAnsi="Book Antiqua" w:cs="Arial"/>
          <w:b/>
        </w:rPr>
        <w:t>:</w:t>
      </w:r>
    </w:p>
    <w:p w:rsidR="00E5220F" w:rsidRPr="00C03536" w:rsidRDefault="00E5220F" w:rsidP="00DD5071">
      <w:pPr>
        <w:rPr>
          <w:rFonts w:ascii="Book Antiqua" w:hAnsi="Book Antiqua" w:cs="Arial"/>
        </w:rPr>
      </w:pPr>
    </w:p>
    <w:p w:rsidR="00E5220F" w:rsidRPr="00C03536" w:rsidRDefault="00E5220F" w:rsidP="00DE7DB7">
      <w:pPr>
        <w:tabs>
          <w:tab w:val="left" w:pos="2520"/>
        </w:tabs>
        <w:rPr>
          <w:rFonts w:ascii="Book Antiqua" w:hAnsi="Book Antiqua" w:cs="Arial"/>
        </w:rPr>
      </w:pPr>
      <w:r w:rsidRPr="00C03536">
        <w:rPr>
          <w:rFonts w:ascii="Book Antiqua" w:hAnsi="Book Antiqua" w:cs="Arial"/>
        </w:rPr>
        <w:t>For the Appellant:</w:t>
      </w:r>
      <w:r w:rsidRPr="00C03536">
        <w:rPr>
          <w:rFonts w:ascii="Book Antiqua" w:hAnsi="Book Antiqua" w:cs="Arial"/>
        </w:rPr>
        <w:tab/>
        <w:t xml:space="preserve">Mr P Turner, Counsel, instructed by Imperium Chambers  </w:t>
      </w:r>
    </w:p>
    <w:p w:rsidR="00E5220F" w:rsidRPr="00C03536" w:rsidRDefault="00E5220F" w:rsidP="00DE7DB7">
      <w:pPr>
        <w:tabs>
          <w:tab w:val="left" w:pos="2520"/>
        </w:tabs>
        <w:rPr>
          <w:rFonts w:ascii="Book Antiqua" w:hAnsi="Book Antiqua" w:cs="Arial"/>
        </w:rPr>
      </w:pPr>
      <w:r w:rsidRPr="00C03536">
        <w:rPr>
          <w:rFonts w:ascii="Book Antiqua" w:hAnsi="Book Antiqua" w:cs="Arial"/>
        </w:rPr>
        <w:t>For the Respondent:</w:t>
      </w:r>
      <w:r w:rsidRPr="00C03536">
        <w:rPr>
          <w:rFonts w:ascii="Book Antiqua" w:hAnsi="Book Antiqua" w:cs="Arial"/>
        </w:rPr>
        <w:tab/>
        <w:t xml:space="preserve">Mr N Bramble, Home Office Presenting Officer  </w:t>
      </w:r>
    </w:p>
    <w:p w:rsidR="00E5220F" w:rsidRPr="00C03536" w:rsidRDefault="00E5220F" w:rsidP="00402B9E">
      <w:pPr>
        <w:tabs>
          <w:tab w:val="left" w:pos="2520"/>
        </w:tabs>
        <w:jc w:val="center"/>
        <w:rPr>
          <w:rFonts w:ascii="Book Antiqua" w:hAnsi="Book Antiqua" w:cs="Arial"/>
        </w:rPr>
      </w:pPr>
    </w:p>
    <w:p w:rsidR="00E5220F" w:rsidRPr="00C03536" w:rsidRDefault="00E5220F" w:rsidP="00402B9E">
      <w:pPr>
        <w:tabs>
          <w:tab w:val="left" w:pos="2520"/>
        </w:tabs>
        <w:jc w:val="center"/>
        <w:rPr>
          <w:rFonts w:ascii="Book Antiqua" w:hAnsi="Book Antiqua" w:cs="Arial"/>
        </w:rPr>
      </w:pPr>
    </w:p>
    <w:p w:rsidR="00E5220F" w:rsidRPr="00C03536" w:rsidRDefault="00E5220F" w:rsidP="00621A45">
      <w:pPr>
        <w:tabs>
          <w:tab w:val="left" w:pos="2520"/>
        </w:tabs>
        <w:jc w:val="center"/>
        <w:outlineLvl w:val="0"/>
        <w:rPr>
          <w:rFonts w:ascii="Book Antiqua" w:hAnsi="Book Antiqua" w:cs="Arial"/>
        </w:rPr>
      </w:pPr>
      <w:r w:rsidRPr="00C03536">
        <w:rPr>
          <w:rFonts w:ascii="Book Antiqua" w:hAnsi="Book Antiqua" w:cs="Arial"/>
          <w:b/>
          <w:u w:val="single"/>
        </w:rPr>
        <w:t>DECISION AND REASONS</w:t>
      </w:r>
    </w:p>
    <w:p w:rsidR="00E5220F" w:rsidRPr="00C03536" w:rsidRDefault="00E5220F" w:rsidP="00402B9E">
      <w:pPr>
        <w:tabs>
          <w:tab w:val="left" w:pos="2520"/>
        </w:tabs>
        <w:jc w:val="both"/>
        <w:rPr>
          <w:rFonts w:ascii="Book Antiqua" w:hAnsi="Book Antiqua" w:cs="Arial"/>
        </w:rPr>
      </w:pPr>
    </w:p>
    <w:p w:rsidR="00E5220F" w:rsidRPr="00C03536" w:rsidRDefault="00E5220F" w:rsidP="00BF23BB">
      <w:pPr>
        <w:tabs>
          <w:tab w:val="left" w:pos="567"/>
        </w:tabs>
        <w:ind w:left="567" w:hanging="567"/>
        <w:jc w:val="both"/>
        <w:rPr>
          <w:rFonts w:ascii="Book Antiqua" w:hAnsi="Book Antiqua" w:cs="Arial"/>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w:t>
      </w:r>
      <w:r w:rsidRPr="00C03536">
        <w:rPr>
          <w:rFonts w:ascii="Book Antiqua" w:hAnsi="Book Antiqua" w:cs="Calibri"/>
        </w:rPr>
        <w:tab/>
        <w:t>The appellant, a citizen of Bangladesh came to the UK as a student in February 200</w:t>
      </w:r>
      <w:r>
        <w:rPr>
          <w:rFonts w:ascii="Book Antiqua" w:hAnsi="Book Antiqua" w:cs="Calibri"/>
        </w:rPr>
        <w:t>7</w:t>
      </w:r>
      <w:r w:rsidRPr="00C03536">
        <w:rPr>
          <w:rFonts w:ascii="Book Antiqua" w:hAnsi="Book Antiqua" w:cs="Calibri"/>
        </w:rPr>
        <w:t xml:space="preserve"> which was extended </w:t>
      </w:r>
      <w:r w:rsidRPr="00C03536">
        <w:rPr>
          <w:rFonts w:ascii="Book Antiqua" w:hAnsi="Book Antiqua" w:cs="Calibri"/>
          <w:u w:val="single"/>
        </w:rPr>
        <w:t>until</w:t>
      </w:r>
      <w:r w:rsidRPr="00C03536">
        <w:rPr>
          <w:rFonts w:ascii="Book Antiqua" w:hAnsi="Book Antiqua" w:cs="Calibri"/>
        </w:rPr>
        <w:t xml:space="preserve"> December 2013: a subsequent application he made under Tier 1 was unsuccessful.  On 11 November 2015 he filed an application for leave to remain </w:t>
      </w:r>
      <w:proofErr w:type="gramStart"/>
      <w:r w:rsidRPr="00C03536">
        <w:rPr>
          <w:rFonts w:ascii="Book Antiqua" w:hAnsi="Book Antiqua" w:cs="Calibri"/>
        </w:rPr>
        <w:t>on the basis of</w:t>
      </w:r>
      <w:proofErr w:type="gramEnd"/>
      <w:r w:rsidRPr="00C03536">
        <w:rPr>
          <w:rFonts w:ascii="Book Antiqua" w:hAnsi="Book Antiqua" w:cs="Calibri"/>
        </w:rPr>
        <w:t xml:space="preserve"> long residence.  This was refused by the respondent on 11 November 2015.  The appellant’s appeal was heard in December 2017 by Judge Lingam of the First-tier Tribunal. Judge Lingam found that the respondent had not discharged the burden of proof on her to prove deception on the part of the appellant in taking TOEIC/ETS tests in 2011, but concluded that he had not met the substantive </w:t>
      </w:r>
      <w:r w:rsidRPr="00C03536">
        <w:rPr>
          <w:rFonts w:ascii="Book Antiqua" w:hAnsi="Book Antiqua" w:cs="Calibri"/>
        </w:rPr>
        <w:lastRenderedPageBreak/>
        <w:t>requirements of the Immigration Rules under paragraph 276B and had not shown t</w:t>
      </w:r>
      <w:bookmarkStart w:id="1" w:name="_GoBack"/>
      <w:bookmarkEnd w:id="1"/>
      <w:r w:rsidRPr="00C03536">
        <w:rPr>
          <w:rFonts w:ascii="Book Antiqua" w:hAnsi="Book Antiqua" w:cs="Calibri"/>
        </w:rPr>
        <w:t xml:space="preserve">hat the consequences of the decision would cause very substantial difficulties or exceptional circumstances or unjustified harshness for the appellant.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2.</w:t>
      </w:r>
      <w:r w:rsidRPr="00C03536">
        <w:rPr>
          <w:rFonts w:ascii="Book Antiqua" w:hAnsi="Book Antiqua" w:cs="Calibri"/>
        </w:rPr>
        <w:tab/>
        <w:t xml:space="preserve">The appellant’s grounds of appeal were fourfold, it being submitted that the judge erred in law in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34462B">
      <w:pPr>
        <w:tabs>
          <w:tab w:val="left" w:pos="567"/>
        </w:tabs>
        <w:ind w:left="1134" w:hanging="567"/>
        <w:jc w:val="both"/>
        <w:rPr>
          <w:rFonts w:ascii="Book Antiqua" w:hAnsi="Book Antiqua" w:cs="Calibri"/>
        </w:rPr>
      </w:pPr>
      <w:r w:rsidRPr="00C03536">
        <w:rPr>
          <w:rFonts w:ascii="Book Antiqua" w:hAnsi="Book Antiqua" w:cs="Calibri"/>
        </w:rPr>
        <w:t>(1)</w:t>
      </w:r>
      <w:r w:rsidRPr="00C03536">
        <w:rPr>
          <w:rFonts w:ascii="Book Antiqua" w:hAnsi="Book Antiqua" w:cs="Calibri"/>
        </w:rPr>
        <w:tab/>
        <w:t xml:space="preserve">failing to take proper account of the fact that at the date of the hearing it was accepted that the appellant met the requirements of the Rules; </w:t>
      </w:r>
    </w:p>
    <w:p w:rsidR="00E5220F" w:rsidRPr="00C03536" w:rsidRDefault="00E5220F" w:rsidP="0034462B">
      <w:pPr>
        <w:tabs>
          <w:tab w:val="left" w:pos="567"/>
        </w:tabs>
        <w:ind w:left="1134" w:hanging="567"/>
        <w:jc w:val="both"/>
        <w:rPr>
          <w:rFonts w:ascii="Book Antiqua" w:hAnsi="Book Antiqua" w:cs="Calibri"/>
        </w:rPr>
      </w:pPr>
    </w:p>
    <w:p w:rsidR="00E5220F" w:rsidRPr="00C03536" w:rsidRDefault="00E5220F" w:rsidP="0034462B">
      <w:pPr>
        <w:tabs>
          <w:tab w:val="left" w:pos="567"/>
        </w:tabs>
        <w:ind w:left="1134" w:hanging="567"/>
        <w:jc w:val="both"/>
        <w:rPr>
          <w:rFonts w:ascii="Book Antiqua" w:hAnsi="Book Antiqua" w:cs="Calibri"/>
        </w:rPr>
      </w:pPr>
      <w:r w:rsidRPr="00C03536">
        <w:rPr>
          <w:rFonts w:ascii="Book Antiqua" w:hAnsi="Book Antiqua" w:cs="Calibri"/>
        </w:rPr>
        <w:t>(2)</w:t>
      </w:r>
      <w:r w:rsidRPr="00C03536">
        <w:rPr>
          <w:rFonts w:ascii="Book Antiqua" w:hAnsi="Book Antiqua" w:cs="Calibri"/>
        </w:rPr>
        <w:tab/>
        <w:t xml:space="preserve">wrongly concluding that the appellant failed to qualify for leave under paragraph 276ADE;  </w:t>
      </w:r>
    </w:p>
    <w:p w:rsidR="00E5220F" w:rsidRPr="00C03536" w:rsidRDefault="00E5220F" w:rsidP="0034462B">
      <w:pPr>
        <w:tabs>
          <w:tab w:val="left" w:pos="567"/>
        </w:tabs>
        <w:ind w:left="1134" w:hanging="567"/>
        <w:jc w:val="both"/>
        <w:rPr>
          <w:rFonts w:ascii="Book Antiqua" w:hAnsi="Book Antiqua" w:cs="Calibri"/>
        </w:rPr>
      </w:pPr>
    </w:p>
    <w:p w:rsidR="00E5220F" w:rsidRPr="00C03536" w:rsidRDefault="00E5220F" w:rsidP="0034462B">
      <w:pPr>
        <w:tabs>
          <w:tab w:val="left" w:pos="567"/>
        </w:tabs>
        <w:ind w:left="1134" w:hanging="567"/>
        <w:jc w:val="both"/>
        <w:rPr>
          <w:rFonts w:ascii="Book Antiqua" w:hAnsi="Book Antiqua" w:cs="Calibri"/>
        </w:rPr>
      </w:pPr>
      <w:r w:rsidRPr="00C03536">
        <w:rPr>
          <w:rFonts w:ascii="Book Antiqua" w:hAnsi="Book Antiqua" w:cs="Calibri"/>
        </w:rPr>
        <w:t>(3)</w:t>
      </w:r>
      <w:r w:rsidRPr="00C03536">
        <w:rPr>
          <w:rFonts w:ascii="Book Antiqua" w:hAnsi="Book Antiqua" w:cs="Calibri"/>
        </w:rPr>
        <w:tab/>
        <w:t xml:space="preserve">failing to </w:t>
      </w:r>
      <w:proofErr w:type="gramStart"/>
      <w:r w:rsidRPr="00C03536">
        <w:rPr>
          <w:rFonts w:ascii="Book Antiqua" w:hAnsi="Book Antiqua" w:cs="Calibri"/>
        </w:rPr>
        <w:t>take into account</w:t>
      </w:r>
      <w:proofErr w:type="gramEnd"/>
      <w:r w:rsidRPr="00C03536">
        <w:rPr>
          <w:rFonts w:ascii="Book Antiqua" w:hAnsi="Book Antiqua" w:cs="Calibri"/>
        </w:rPr>
        <w:t xml:space="preserve"> the appellant’s Article 8 circumstances;  </w:t>
      </w:r>
    </w:p>
    <w:p w:rsidR="00E5220F" w:rsidRPr="00C03536" w:rsidRDefault="00E5220F" w:rsidP="0034462B">
      <w:pPr>
        <w:tabs>
          <w:tab w:val="left" w:pos="567"/>
        </w:tabs>
        <w:ind w:left="1134" w:hanging="567"/>
        <w:jc w:val="both"/>
        <w:rPr>
          <w:rFonts w:ascii="Book Antiqua" w:hAnsi="Book Antiqua" w:cs="Calibri"/>
        </w:rPr>
      </w:pPr>
    </w:p>
    <w:p w:rsidR="00E5220F" w:rsidRPr="00C03536" w:rsidRDefault="00E5220F" w:rsidP="0034462B">
      <w:pPr>
        <w:tabs>
          <w:tab w:val="left" w:pos="567"/>
        </w:tabs>
        <w:ind w:left="1134" w:hanging="567"/>
        <w:jc w:val="both"/>
        <w:rPr>
          <w:rFonts w:ascii="Book Antiqua" w:hAnsi="Book Antiqua" w:cs="Calibri"/>
        </w:rPr>
      </w:pPr>
      <w:r w:rsidRPr="00C03536">
        <w:rPr>
          <w:rFonts w:ascii="Book Antiqua" w:hAnsi="Book Antiqua" w:cs="Calibri"/>
        </w:rPr>
        <w:t>(4)</w:t>
      </w:r>
      <w:r w:rsidRPr="00C03536">
        <w:rPr>
          <w:rFonts w:ascii="Book Antiqua" w:hAnsi="Book Antiqua" w:cs="Calibri"/>
        </w:rPr>
        <w:tab/>
        <w:t xml:space="preserve">failing to properly take into consideration the bests interests of the appellant’s child.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3.</w:t>
      </w:r>
      <w:r w:rsidRPr="00C03536">
        <w:rPr>
          <w:rFonts w:ascii="Book Antiqua" w:hAnsi="Book Antiqua" w:cs="Calibri"/>
        </w:rPr>
        <w:tab/>
        <w:t xml:space="preserve">I heard concise submissions from both representatives.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4.</w:t>
      </w:r>
      <w:r w:rsidRPr="00C03536">
        <w:rPr>
          <w:rFonts w:ascii="Book Antiqua" w:hAnsi="Book Antiqua" w:cs="Calibri"/>
        </w:rPr>
        <w:tab/>
        <w:t>It is convenient if I take grounds (</w:t>
      </w:r>
      <w:r>
        <w:rPr>
          <w:rFonts w:ascii="Book Antiqua" w:hAnsi="Book Antiqua" w:cs="Calibri"/>
        </w:rPr>
        <w:t>4</w:t>
      </w:r>
      <w:r w:rsidRPr="00C03536">
        <w:rPr>
          <w:rFonts w:ascii="Book Antiqua" w:hAnsi="Book Antiqua" w:cs="Calibri"/>
        </w:rPr>
        <w:t xml:space="preserve">) and </w:t>
      </w:r>
      <w:r>
        <w:rPr>
          <w:rFonts w:ascii="Book Antiqua" w:hAnsi="Book Antiqua" w:cs="Calibri"/>
        </w:rPr>
        <w:t>(2</w:t>
      </w:r>
      <w:r w:rsidRPr="00C03536">
        <w:rPr>
          <w:rFonts w:ascii="Book Antiqua" w:hAnsi="Book Antiqua" w:cs="Calibri"/>
        </w:rPr>
        <w:t xml:space="preserve">) first.  </w:t>
      </w: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 xml:space="preserve">      </w:t>
      </w: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5.</w:t>
      </w:r>
      <w:r w:rsidRPr="00C03536">
        <w:rPr>
          <w:rFonts w:ascii="Book Antiqua" w:hAnsi="Book Antiqua" w:cs="Calibri"/>
        </w:rPr>
        <w:tab/>
        <w:t>I see no real force in ground (4).  It is t</w:t>
      </w:r>
      <w:r>
        <w:rPr>
          <w:rFonts w:ascii="Book Antiqua" w:hAnsi="Book Antiqua" w:cs="Calibri"/>
        </w:rPr>
        <w:t>rue</w:t>
      </w:r>
      <w:r w:rsidRPr="00C03536">
        <w:rPr>
          <w:rFonts w:ascii="Book Antiqua" w:hAnsi="Book Antiqua" w:cs="Calibri"/>
        </w:rPr>
        <w:t xml:space="preserve"> the judge did at </w:t>
      </w:r>
      <w:proofErr w:type="gramStart"/>
      <w:r w:rsidRPr="00C03536">
        <w:rPr>
          <w:rFonts w:ascii="Book Antiqua" w:hAnsi="Book Antiqua" w:cs="Calibri"/>
        </w:rPr>
        <w:t>one point</w:t>
      </w:r>
      <w:proofErr w:type="gramEnd"/>
      <w:r w:rsidRPr="00C03536">
        <w:rPr>
          <w:rFonts w:ascii="Book Antiqua" w:hAnsi="Book Antiqua" w:cs="Calibri"/>
        </w:rPr>
        <w:t xml:space="preserve"> state that she was “unable to determine the best interest of the appellant’s child” due to “scant information” even though it was her responsibility to ensure she had sufficient evidence before her to make such an assessment.  However, any error in this co</w:t>
      </w:r>
      <w:r>
        <w:rPr>
          <w:rFonts w:ascii="Book Antiqua" w:hAnsi="Book Antiqua" w:cs="Calibri"/>
        </w:rPr>
        <w:t>nn</w:t>
      </w:r>
      <w:r w:rsidRPr="00C03536">
        <w:rPr>
          <w:rFonts w:ascii="Book Antiqua" w:hAnsi="Book Antiqua" w:cs="Calibri"/>
        </w:rPr>
        <w:t>ection was not material as the judge went on to assess the child’s best interests in the alternative, based on the child’s very young age (2</w:t>
      </w:r>
      <w:r>
        <w:rPr>
          <w:rFonts w:ascii="Book Antiqua" w:hAnsi="Book Antiqua" w:cs="Calibri"/>
        </w:rPr>
        <w:t xml:space="preserve"> years</w:t>
      </w:r>
      <w:r w:rsidRPr="00C03536">
        <w:rPr>
          <w:rFonts w:ascii="Book Antiqua" w:hAnsi="Book Antiqua" w:cs="Calibri"/>
        </w:rPr>
        <w:t>), meaning that she was likely to be reliant on her mother for her ca</w:t>
      </w:r>
      <w:r>
        <w:rPr>
          <w:rFonts w:ascii="Book Antiqua" w:hAnsi="Book Antiqua" w:cs="Calibri"/>
        </w:rPr>
        <w:t>re</w:t>
      </w:r>
      <w:r w:rsidRPr="00C03536">
        <w:rPr>
          <w:rFonts w:ascii="Book Antiqua" w:hAnsi="Book Antiqua" w:cs="Calibri"/>
        </w:rPr>
        <w:t xml:space="preserve">.  There was no evidence produced by the appellant contradicting such an assessment and it was one that was consonant with Tribunal authority (the judge cited </w:t>
      </w:r>
      <w:proofErr w:type="spellStart"/>
      <w:r w:rsidRPr="00C03536">
        <w:rPr>
          <w:rFonts w:ascii="Book Antiqua" w:hAnsi="Book Antiqua" w:cs="Calibri"/>
          <w:b/>
          <w:u w:val="single"/>
        </w:rPr>
        <w:t>Azimi</w:t>
      </w:r>
      <w:proofErr w:type="spellEnd"/>
      <w:r w:rsidRPr="00C03536">
        <w:rPr>
          <w:rFonts w:ascii="Book Antiqua" w:hAnsi="Book Antiqua" w:cs="Calibri"/>
          <w:b/>
          <w:u w:val="single"/>
        </w:rPr>
        <w:t>-Moayed</w:t>
      </w:r>
      <w:r w:rsidRPr="00C03536">
        <w:rPr>
          <w:rFonts w:ascii="Book Antiqua" w:hAnsi="Book Antiqua" w:cs="Calibri"/>
          <w:b/>
        </w:rPr>
        <w:t xml:space="preserve"> </w:t>
      </w:r>
      <w:r w:rsidRPr="007F1B5F">
        <w:rPr>
          <w:rFonts w:ascii="Book Antiqua" w:hAnsi="Book Antiqua" w:cs="Calibri"/>
        </w:rPr>
        <w:t>[2013] UKUT 00197 (IAC</w:t>
      </w:r>
      <w:r w:rsidRPr="00C03536">
        <w:rPr>
          <w:rFonts w:ascii="Book Antiqua" w:hAnsi="Book Antiqua" w:cs="Calibri"/>
          <w:b/>
        </w:rPr>
        <w:t>)</w:t>
      </w:r>
      <w:r w:rsidRPr="00C03536">
        <w:rPr>
          <w:rFonts w:ascii="Book Antiqua" w:hAnsi="Book Antiqua" w:cs="Calibri"/>
        </w:rPr>
        <w:t xml:space="preserve">; Mr Bramble cited a recent decision to similar effect: </w:t>
      </w:r>
      <w:r w:rsidRPr="00C03536">
        <w:rPr>
          <w:rFonts w:ascii="Book Antiqua" w:hAnsi="Book Antiqua" w:cs="Calibri"/>
          <w:b/>
          <w:u w:val="single"/>
        </w:rPr>
        <w:t>MT and ET</w:t>
      </w:r>
      <w:r w:rsidRPr="00C03536">
        <w:rPr>
          <w:rFonts w:ascii="Book Antiqua" w:hAnsi="Book Antiqua" w:cs="Calibri"/>
          <w:b/>
        </w:rPr>
        <w:t xml:space="preserve"> [</w:t>
      </w:r>
      <w:r w:rsidRPr="007F1B5F">
        <w:rPr>
          <w:rFonts w:ascii="Book Antiqua" w:hAnsi="Book Antiqua" w:cs="Calibri"/>
        </w:rPr>
        <w:t>2018] UKUT 00088 (IAC)).</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6.</w:t>
      </w:r>
      <w:r w:rsidRPr="00C03536">
        <w:rPr>
          <w:rFonts w:ascii="Book Antiqua" w:hAnsi="Book Antiqua" w:cs="Calibri"/>
        </w:rPr>
        <w:tab/>
      </w:r>
      <w:proofErr w:type="gramStart"/>
      <w:r w:rsidRPr="00C03536">
        <w:rPr>
          <w:rFonts w:ascii="Book Antiqua" w:hAnsi="Book Antiqua" w:cs="Calibri"/>
        </w:rPr>
        <w:t>As regards</w:t>
      </w:r>
      <w:proofErr w:type="gramEnd"/>
      <w:r w:rsidRPr="00C03536">
        <w:rPr>
          <w:rFonts w:ascii="Book Antiqua" w:hAnsi="Book Antiqua" w:cs="Calibri"/>
        </w:rPr>
        <w:t xml:space="preserve"> ground (2), the judge recorded at paragraph 48 that this was not pursued by the appellant at the hearing and the </w:t>
      </w:r>
      <w:r>
        <w:rPr>
          <w:rFonts w:ascii="Book Antiqua" w:hAnsi="Book Antiqua" w:cs="Calibri"/>
        </w:rPr>
        <w:t xml:space="preserve">argumentation </w:t>
      </w:r>
      <w:r w:rsidRPr="00C03536">
        <w:rPr>
          <w:rFonts w:ascii="Book Antiqua" w:hAnsi="Book Antiqua" w:cs="Calibri"/>
        </w:rPr>
        <w:t xml:space="preserve">in support of it is markedly weak.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7.</w:t>
      </w:r>
      <w:r w:rsidRPr="00C03536">
        <w:rPr>
          <w:rFonts w:ascii="Book Antiqua" w:hAnsi="Book Antiqua" w:cs="Calibri"/>
        </w:rPr>
        <w:tab/>
        <w:t xml:space="preserve">I turn to consider grounds </w:t>
      </w:r>
      <w:r w:rsidRPr="00C03536">
        <w:rPr>
          <w:rFonts w:ascii="Book Antiqua" w:hAnsi="Book Antiqua"/>
        </w:rPr>
        <w:t>(1)</w:t>
      </w:r>
      <w:r w:rsidRPr="00C03536">
        <w:rPr>
          <w:rFonts w:ascii="Book Antiqua" w:hAnsi="Book Antiqua" w:cs="Calibri"/>
        </w:rPr>
        <w:t xml:space="preserve"> and </w:t>
      </w:r>
      <w:r w:rsidRPr="00C03536">
        <w:rPr>
          <w:rFonts w:ascii="Book Antiqua" w:hAnsi="Book Antiqua"/>
        </w:rPr>
        <w:t>(3)</w:t>
      </w:r>
      <w:r w:rsidRPr="00C03536">
        <w:rPr>
          <w:rFonts w:ascii="Book Antiqua" w:hAnsi="Book Antiqua" w:cs="Calibri"/>
        </w:rPr>
        <w:t xml:space="preserve"> which are interconnected.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8.</w:t>
      </w:r>
      <w:r w:rsidRPr="00C03536">
        <w:rPr>
          <w:rFonts w:ascii="Book Antiqua" w:hAnsi="Book Antiqua" w:cs="Calibri"/>
        </w:rPr>
        <w:tab/>
        <w:t>In relation to ground (1)</w:t>
      </w:r>
      <w:r>
        <w:rPr>
          <w:rFonts w:ascii="Book Antiqua" w:hAnsi="Book Antiqua" w:cs="Calibri"/>
        </w:rPr>
        <w:t>,</w:t>
      </w:r>
      <w:r w:rsidRPr="00C03536">
        <w:rPr>
          <w:rFonts w:ascii="Book Antiqua" w:hAnsi="Book Antiqua" w:cs="Calibri"/>
        </w:rPr>
        <w:t xml:space="preserve"> it is common ground between the parties that whilst at the date of the respondent’s decision the appellant did not have ten years’ long residence (he only had nine years, four months) by the date of the appeal hearing he did.  When his appeal came to be heard in December 2017 he had continually resided in the UK for ten years ten months.</w:t>
      </w: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 xml:space="preserve">   </w:t>
      </w: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9.</w:t>
      </w:r>
      <w:r w:rsidRPr="00C03536">
        <w:rPr>
          <w:rFonts w:ascii="Book Antiqua" w:hAnsi="Book Antiqua" w:cs="Calibri"/>
        </w:rPr>
        <w:tab/>
        <w:t>Accordingly, insofar as the appellant’s appeal lay against refusal by the respondent under paragraph 276B</w:t>
      </w:r>
      <w:r>
        <w:rPr>
          <w:rFonts w:ascii="Book Antiqua" w:hAnsi="Book Antiqua" w:cs="Calibri"/>
        </w:rPr>
        <w:t>,</w:t>
      </w:r>
      <w:r w:rsidRPr="00C03536">
        <w:rPr>
          <w:rFonts w:ascii="Book Antiqua" w:hAnsi="Book Antiqua" w:cs="Calibri"/>
        </w:rPr>
        <w:t xml:space="preserve"> the judge was clearly right to find that it could not succeed.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10.</w:t>
      </w:r>
      <w:r w:rsidRPr="00C03536">
        <w:rPr>
          <w:rFonts w:ascii="Book Antiqua" w:hAnsi="Book Antiqua" w:cs="Calibri"/>
        </w:rPr>
        <w:tab/>
        <w:t xml:space="preserve">However, the appellant’s appeal was brought on human rights grounds and in deciding whether there was a violation of Article 8 it was incumbent on the judge to consider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7F1B5F">
      <w:pPr>
        <w:tabs>
          <w:tab w:val="left" w:pos="567"/>
        </w:tabs>
        <w:ind w:left="1134" w:hanging="567"/>
        <w:jc w:val="both"/>
        <w:rPr>
          <w:rFonts w:ascii="Book Antiqua" w:hAnsi="Book Antiqua" w:cs="Calibri"/>
        </w:rPr>
      </w:pPr>
      <w:r w:rsidRPr="00C03536">
        <w:rPr>
          <w:rFonts w:ascii="Book Antiqua" w:hAnsi="Book Antiqua" w:cs="Calibri"/>
        </w:rPr>
        <w:t>(a)</w:t>
      </w:r>
      <w:r w:rsidRPr="00C03536">
        <w:rPr>
          <w:rFonts w:ascii="Book Antiqua" w:hAnsi="Book Antiqua" w:cs="Calibri"/>
        </w:rPr>
        <w:tab/>
        <w:t xml:space="preserve">whether the appellant met the requirements of the Rules, paragraph 276B </w:t>
      </w:r>
      <w:proofErr w:type="gramStart"/>
      <w:r w:rsidRPr="00C03536">
        <w:rPr>
          <w:rFonts w:ascii="Book Antiqua" w:hAnsi="Book Antiqua" w:cs="Calibri"/>
        </w:rPr>
        <w:t>in particular, at</w:t>
      </w:r>
      <w:proofErr w:type="gramEnd"/>
      <w:r w:rsidRPr="00C03536">
        <w:rPr>
          <w:rFonts w:ascii="Book Antiqua" w:hAnsi="Book Antiqua" w:cs="Calibri"/>
        </w:rPr>
        <w:t xml:space="preserve"> the date of hearing; and </w:t>
      </w:r>
    </w:p>
    <w:p w:rsidR="00E5220F" w:rsidRPr="00C03536" w:rsidRDefault="00E5220F" w:rsidP="007E1290">
      <w:pPr>
        <w:tabs>
          <w:tab w:val="left" w:pos="567"/>
        </w:tabs>
        <w:ind w:left="1134" w:hanging="567"/>
        <w:jc w:val="both"/>
        <w:rPr>
          <w:rFonts w:ascii="Book Antiqua" w:hAnsi="Book Antiqua" w:cs="Calibri"/>
        </w:rPr>
      </w:pPr>
    </w:p>
    <w:p w:rsidR="00E5220F" w:rsidRPr="00C03536" w:rsidRDefault="00E5220F" w:rsidP="007E1290">
      <w:pPr>
        <w:tabs>
          <w:tab w:val="left" w:pos="567"/>
        </w:tabs>
        <w:ind w:left="1134" w:hanging="567"/>
        <w:jc w:val="both"/>
        <w:rPr>
          <w:rFonts w:ascii="Book Antiqua" w:hAnsi="Book Antiqua" w:cs="Calibri"/>
        </w:rPr>
      </w:pPr>
      <w:r w:rsidRPr="00C03536">
        <w:rPr>
          <w:rFonts w:ascii="Book Antiqua" w:hAnsi="Book Antiqua" w:cs="Calibri"/>
        </w:rPr>
        <w:t>(</w:t>
      </w:r>
      <w:r>
        <w:rPr>
          <w:rFonts w:ascii="Book Antiqua" w:hAnsi="Book Antiqua" w:cs="Calibri"/>
        </w:rPr>
        <w:t>b</w:t>
      </w:r>
      <w:r w:rsidRPr="00C03536">
        <w:rPr>
          <w:rFonts w:ascii="Book Antiqua" w:hAnsi="Book Antiqua" w:cs="Calibri"/>
        </w:rPr>
        <w:t>)</w:t>
      </w:r>
      <w:r w:rsidRPr="00C03536">
        <w:rPr>
          <w:rFonts w:ascii="Book Antiqua" w:hAnsi="Book Antiqua" w:cs="Calibri"/>
        </w:rPr>
        <w:tab/>
        <w:t xml:space="preserve">if the appellant did meet these requirements, the consequences for the weighing in the balance of the appellant’s Article 8 rights against the public interest in immigration control.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11.</w:t>
      </w:r>
      <w:r w:rsidRPr="00C03536">
        <w:rPr>
          <w:rFonts w:ascii="Book Antiqua" w:hAnsi="Book Antiqua" w:cs="Calibri"/>
        </w:rPr>
        <w:tab/>
        <w:t>In relation to (</w:t>
      </w:r>
      <w:r>
        <w:rPr>
          <w:rFonts w:ascii="Book Antiqua" w:hAnsi="Book Antiqua" w:cs="Calibri"/>
        </w:rPr>
        <w:t>a),</w:t>
      </w:r>
      <w:r w:rsidRPr="00C03536">
        <w:rPr>
          <w:rFonts w:ascii="Book Antiqua" w:hAnsi="Book Antiqua" w:cs="Calibri"/>
        </w:rPr>
        <w:t xml:space="preserve"> the judge could not have been clearer, stating at </w:t>
      </w:r>
      <w:r>
        <w:rPr>
          <w:rFonts w:ascii="Book Antiqua" w:hAnsi="Book Antiqua" w:cs="Calibri"/>
        </w:rPr>
        <w:t xml:space="preserve">para </w:t>
      </w:r>
      <w:r w:rsidRPr="00C03536">
        <w:rPr>
          <w:rFonts w:ascii="Book Antiqua" w:hAnsi="Book Antiqua" w:cs="Calibri"/>
        </w:rPr>
        <w:t xml:space="preserve">44 that “[his appeal fails for the only reason that at [the SSHD] decision date he was not able to show at least ten years’ continuous lawful residence” but at </w:t>
      </w:r>
      <w:r>
        <w:rPr>
          <w:rFonts w:ascii="Book Antiqua" w:hAnsi="Book Antiqua" w:cs="Calibri"/>
        </w:rPr>
        <w:t xml:space="preserve">para </w:t>
      </w:r>
      <w:r w:rsidRPr="00C03536">
        <w:rPr>
          <w:rFonts w:ascii="Book Antiqua" w:hAnsi="Book Antiqua" w:cs="Calibri"/>
        </w:rPr>
        <w:t xml:space="preserve">41, “when his appeal was heard he had continuously resided in the UK for ten years ten months”.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12.</w:t>
      </w:r>
      <w:r w:rsidRPr="00C03536">
        <w:rPr>
          <w:rFonts w:ascii="Book Antiqua" w:hAnsi="Book Antiqua" w:cs="Calibri"/>
        </w:rPr>
        <w:tab/>
        <w:t>The judge also made clear that he was satisfied that the appellant did not fall foul of the suitability requireme</w:t>
      </w:r>
      <w:r>
        <w:rPr>
          <w:rFonts w:ascii="Book Antiqua" w:hAnsi="Book Antiqua" w:cs="Calibri"/>
        </w:rPr>
        <w:t>nts of paragraph 276B (para</w:t>
      </w:r>
      <w:r w:rsidRPr="00C03536">
        <w:rPr>
          <w:rFonts w:ascii="Book Antiqua" w:hAnsi="Book Antiqua" w:cs="Calibri"/>
        </w:rPr>
        <w:t xml:space="preserve"> 38).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13.</w:t>
      </w:r>
      <w:r w:rsidRPr="00C03536">
        <w:rPr>
          <w:rFonts w:ascii="Book Antiqua" w:hAnsi="Book Antiqua" w:cs="Calibri"/>
        </w:rPr>
        <w:tab/>
        <w:t xml:space="preserve">Given the judge’s findings </w:t>
      </w:r>
      <w:proofErr w:type="gramStart"/>
      <w:r w:rsidRPr="00C03536">
        <w:rPr>
          <w:rFonts w:ascii="Book Antiqua" w:hAnsi="Book Antiqua" w:cs="Calibri"/>
        </w:rPr>
        <w:t>as regards</w:t>
      </w:r>
      <w:proofErr w:type="gramEnd"/>
      <w:r w:rsidRPr="00C03536">
        <w:rPr>
          <w:rFonts w:ascii="Book Antiqua" w:hAnsi="Book Antiqua" w:cs="Calibri"/>
        </w:rPr>
        <w:t xml:space="preserve"> (a) above, the judge should have accepted that at the date of hearing there was no longer any significant public interest to be weighed against the appellant as he now met the requirements of paragraph 276B in full (Mr Bramble accepted that this was so).  </w:t>
      </w: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 xml:space="preserve">      </w:t>
      </w: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14.</w:t>
      </w:r>
      <w:r w:rsidRPr="00C03536">
        <w:rPr>
          <w:rFonts w:ascii="Book Antiqua" w:hAnsi="Book Antiqua" w:cs="Calibri"/>
        </w:rPr>
        <w:tab/>
        <w:t xml:space="preserve">It is clear from para 60 that the judge erroneously considered that the appellant’s present ability to meet the requirements of the Rules had no public interest implications.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15.</w:t>
      </w:r>
      <w:r w:rsidRPr="00C03536">
        <w:rPr>
          <w:rFonts w:ascii="Book Antiqua" w:hAnsi="Book Antiqua" w:cs="Calibri"/>
        </w:rPr>
        <w:tab/>
        <w:t xml:space="preserve">At paragraph 60 the judge stated: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398A">
      <w:pPr>
        <w:tabs>
          <w:tab w:val="left" w:pos="567"/>
        </w:tabs>
        <w:ind w:left="1134" w:hanging="567"/>
        <w:jc w:val="both"/>
        <w:rPr>
          <w:rFonts w:ascii="Book Antiqua" w:hAnsi="Book Antiqua" w:cs="Calibri"/>
        </w:rPr>
      </w:pPr>
      <w:r w:rsidRPr="00C03536">
        <w:rPr>
          <w:rFonts w:ascii="Book Antiqua" w:hAnsi="Book Antiqua" w:cs="Calibri"/>
        </w:rPr>
        <w:t>60.</w:t>
      </w:r>
      <w:r w:rsidRPr="00C03536">
        <w:rPr>
          <w:rFonts w:ascii="Book Antiqua" w:hAnsi="Book Antiqua" w:cs="Calibri"/>
        </w:rPr>
        <w:tab/>
        <w:t xml:space="preserve">I am satisfied that the appellant has established a significantly long presence of 14 years in the UK but this </w:t>
      </w:r>
      <w:proofErr w:type="gramStart"/>
      <w:r w:rsidRPr="00C03536">
        <w:rPr>
          <w:rFonts w:ascii="Book Antiqua" w:hAnsi="Book Antiqua" w:cs="Calibri"/>
        </w:rPr>
        <w:t>has to</w:t>
      </w:r>
      <w:proofErr w:type="gramEnd"/>
      <w:r w:rsidRPr="00C03536">
        <w:rPr>
          <w:rFonts w:ascii="Book Antiqua" w:hAnsi="Book Antiqua" w:cs="Calibri"/>
        </w:rPr>
        <w:t xml:space="preserve"> be weighed in balance against the public interest factor mentioned above.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16.</w:t>
      </w:r>
      <w:r w:rsidRPr="00C03536">
        <w:rPr>
          <w:rFonts w:ascii="Book Antiqua" w:hAnsi="Book Antiqua" w:cs="Calibri"/>
        </w:rPr>
        <w:tab/>
        <w:t xml:space="preserve">This was a material error necessitating that I set aside the decision of the </w:t>
      </w:r>
      <w:proofErr w:type="spellStart"/>
      <w:r w:rsidRPr="00C03536">
        <w:rPr>
          <w:rFonts w:ascii="Book Antiqua" w:hAnsi="Book Antiqua" w:cs="Calibri"/>
        </w:rPr>
        <w:t>FtT</w:t>
      </w:r>
      <w:proofErr w:type="spellEnd"/>
      <w:r w:rsidRPr="00C03536">
        <w:rPr>
          <w:rFonts w:ascii="Book Antiqua" w:hAnsi="Book Antiqua" w:cs="Calibri"/>
        </w:rPr>
        <w:t xml:space="preserve"> Judge.  It is sufficient to satisfy me that ground (3) is made out.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17.</w:t>
      </w:r>
      <w:r w:rsidRPr="00C03536">
        <w:rPr>
          <w:rFonts w:ascii="Book Antiqua" w:hAnsi="Book Antiqua" w:cs="Calibri"/>
        </w:rPr>
        <w:tab/>
        <w:t xml:space="preserve">I </w:t>
      </w:r>
      <w:proofErr w:type="gramStart"/>
      <w:r w:rsidRPr="00C03536">
        <w:rPr>
          <w:rFonts w:ascii="Book Antiqua" w:hAnsi="Book Antiqua" w:cs="Calibri"/>
        </w:rPr>
        <w:t>am able to</w:t>
      </w:r>
      <w:proofErr w:type="gramEnd"/>
      <w:r w:rsidRPr="00C03536">
        <w:rPr>
          <w:rFonts w:ascii="Book Antiqua" w:hAnsi="Book Antiqua" w:cs="Calibri"/>
        </w:rPr>
        <w:t xml:space="preserve"> proceed to re-make the decision without further ado.  Given that the appellant has now continuously resided in the UK for over ten years and that there are no suitability or English language requirements to be applied against him, he is entitled to succeed in his appeal on the basis that there is no longer any public interest in resisting his application for ILR.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BF23BB">
      <w:pPr>
        <w:tabs>
          <w:tab w:val="left" w:pos="567"/>
        </w:tabs>
        <w:ind w:left="567" w:hanging="567"/>
        <w:jc w:val="both"/>
        <w:rPr>
          <w:rFonts w:ascii="Book Antiqua" w:hAnsi="Book Antiqua" w:cs="Calibri"/>
        </w:rPr>
      </w:pPr>
      <w:r w:rsidRPr="00C03536">
        <w:rPr>
          <w:rFonts w:ascii="Book Antiqua" w:hAnsi="Book Antiqua" w:cs="Calibri"/>
        </w:rPr>
        <w:t>18.</w:t>
      </w:r>
      <w:r w:rsidRPr="00C03536">
        <w:rPr>
          <w:rFonts w:ascii="Book Antiqua" w:hAnsi="Book Antiqua" w:cs="Calibri"/>
        </w:rPr>
        <w:tab/>
        <w:t xml:space="preserve">To conclude: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621A45">
      <w:pPr>
        <w:tabs>
          <w:tab w:val="left" w:pos="567"/>
        </w:tabs>
        <w:ind w:left="567"/>
        <w:jc w:val="both"/>
        <w:outlineLvl w:val="0"/>
        <w:rPr>
          <w:rFonts w:ascii="Book Antiqua" w:hAnsi="Book Antiqua" w:cs="Calibri"/>
        </w:rPr>
      </w:pPr>
      <w:r w:rsidRPr="00C03536">
        <w:rPr>
          <w:rFonts w:ascii="Book Antiqua" w:hAnsi="Book Antiqua" w:cs="Calibri"/>
        </w:rPr>
        <w:t xml:space="preserve">The </w:t>
      </w:r>
      <w:proofErr w:type="spellStart"/>
      <w:r w:rsidRPr="00C03536">
        <w:rPr>
          <w:rFonts w:ascii="Book Antiqua" w:hAnsi="Book Antiqua" w:cs="Calibri"/>
        </w:rPr>
        <w:t>FtT</w:t>
      </w:r>
      <w:proofErr w:type="spellEnd"/>
      <w:r w:rsidRPr="00C03536">
        <w:rPr>
          <w:rFonts w:ascii="Book Antiqua" w:hAnsi="Book Antiqua" w:cs="Calibri"/>
        </w:rPr>
        <w:t xml:space="preserve"> Judge’s decision is set aside for material error of law.  </w:t>
      </w:r>
    </w:p>
    <w:p w:rsidR="00E5220F" w:rsidRPr="00C03536" w:rsidRDefault="00E5220F" w:rsidP="001D36C0">
      <w:pPr>
        <w:tabs>
          <w:tab w:val="left" w:pos="567"/>
        </w:tabs>
        <w:ind w:left="567"/>
        <w:jc w:val="both"/>
        <w:rPr>
          <w:rFonts w:ascii="Book Antiqua" w:hAnsi="Book Antiqua" w:cs="Calibri"/>
        </w:rPr>
      </w:pPr>
    </w:p>
    <w:p w:rsidR="00E5220F" w:rsidRPr="00C03536" w:rsidRDefault="00E5220F" w:rsidP="00621A45">
      <w:pPr>
        <w:tabs>
          <w:tab w:val="left" w:pos="567"/>
        </w:tabs>
        <w:ind w:left="567"/>
        <w:jc w:val="both"/>
        <w:outlineLvl w:val="0"/>
        <w:rPr>
          <w:rFonts w:ascii="Book Antiqua" w:hAnsi="Book Antiqua" w:cs="Calibri"/>
        </w:rPr>
      </w:pPr>
      <w:r w:rsidRPr="00C03536">
        <w:rPr>
          <w:rFonts w:ascii="Book Antiqua" w:hAnsi="Book Antiqua" w:cs="Calibri"/>
        </w:rPr>
        <w:t xml:space="preserve">The decision I re-make is to allow the appellant’s appeal on Article 8 grounds.  </w:t>
      </w:r>
    </w:p>
    <w:p w:rsidR="00E5220F" w:rsidRPr="00C03536" w:rsidRDefault="00E5220F" w:rsidP="00BF23BB">
      <w:pPr>
        <w:tabs>
          <w:tab w:val="left" w:pos="567"/>
        </w:tabs>
        <w:ind w:left="567" w:hanging="567"/>
        <w:jc w:val="both"/>
        <w:rPr>
          <w:rFonts w:ascii="Book Antiqua" w:hAnsi="Book Antiqua" w:cs="Calibri"/>
        </w:rPr>
      </w:pPr>
    </w:p>
    <w:p w:rsidR="00E5220F" w:rsidRPr="00C03536" w:rsidRDefault="00E5220F" w:rsidP="00621A45">
      <w:pPr>
        <w:jc w:val="both"/>
        <w:outlineLvl w:val="0"/>
        <w:rPr>
          <w:rFonts w:ascii="Book Antiqua" w:hAnsi="Book Antiqua" w:cs="Arial"/>
        </w:rPr>
      </w:pPr>
      <w:r w:rsidRPr="00C03536">
        <w:rPr>
          <w:rFonts w:ascii="Book Antiqua" w:hAnsi="Book Antiqua" w:cs="Arial"/>
        </w:rPr>
        <w:t>No anonymity direction is made.</w:t>
      </w:r>
    </w:p>
    <w:p w:rsidR="00E5220F" w:rsidRPr="00C03536" w:rsidRDefault="00E5220F" w:rsidP="00780F86">
      <w:pPr>
        <w:ind w:left="540" w:hanging="540"/>
        <w:jc w:val="both"/>
        <w:rPr>
          <w:rFonts w:ascii="Book Antiqua" w:hAnsi="Book Antiqua" w:cs="Arial"/>
        </w:rPr>
      </w:pPr>
    </w:p>
    <w:p w:rsidR="00E5220F" w:rsidRPr="00C03536" w:rsidRDefault="00E5220F" w:rsidP="00780F86">
      <w:pPr>
        <w:ind w:left="540" w:hanging="540"/>
        <w:jc w:val="both"/>
        <w:rPr>
          <w:rFonts w:ascii="Book Antiqua" w:hAnsi="Book Antiqua" w:cs="Arial"/>
        </w:rPr>
      </w:pPr>
    </w:p>
    <w:p w:rsidR="00E5220F" w:rsidRPr="00C03536" w:rsidRDefault="00E5220F" w:rsidP="00780F86">
      <w:pPr>
        <w:ind w:left="540" w:hanging="540"/>
        <w:jc w:val="both"/>
        <w:rPr>
          <w:rFonts w:ascii="Book Antiqua" w:hAnsi="Book Antiqua" w:cs="Arial"/>
        </w:rPr>
      </w:pPr>
    </w:p>
    <w:p w:rsidR="00E5220F" w:rsidRPr="00C03536" w:rsidRDefault="00E5220F" w:rsidP="00621A45">
      <w:pPr>
        <w:ind w:left="540" w:hanging="540"/>
        <w:jc w:val="both"/>
        <w:outlineLvl w:val="0"/>
        <w:rPr>
          <w:rFonts w:ascii="Book Antiqua" w:hAnsi="Book Antiqua" w:cs="Arial"/>
        </w:rPr>
      </w:pPr>
      <w:r w:rsidRPr="00C03536">
        <w:rPr>
          <w:rFonts w:ascii="Book Antiqua" w:hAnsi="Book Antiqua" w:cs="Arial"/>
        </w:rPr>
        <w:t>Signed</w:t>
      </w:r>
      <w:r>
        <w:rPr>
          <w:rFonts w:ascii="Book Antiqua" w:hAnsi="Book Antiqua" w:cs="Arial"/>
        </w:rPr>
        <w:t>:</w:t>
      </w:r>
      <w:r w:rsidRPr="00C03536">
        <w:rPr>
          <w:rFonts w:ascii="Book Antiqua" w:hAnsi="Book Antiqua" w:cs="Arial"/>
        </w:rPr>
        <w:tab/>
      </w:r>
      <w:r w:rsidRPr="00C03536">
        <w:rPr>
          <w:rFonts w:ascii="Book Antiqua" w:hAnsi="Book Antiqua" w:cs="Arial"/>
        </w:rPr>
        <w:tab/>
      </w:r>
      <w:r w:rsidRPr="00C03536">
        <w:rPr>
          <w:rFonts w:ascii="Book Antiqua" w:hAnsi="Book Antiqua" w:cs="Arial"/>
        </w:rPr>
        <w:tab/>
      </w:r>
      <w:r w:rsidRPr="00C03536">
        <w:rPr>
          <w:rFonts w:ascii="Book Antiqua" w:hAnsi="Book Antiqua" w:cs="Arial"/>
        </w:rPr>
        <w:tab/>
      </w:r>
      <w:r w:rsidRPr="00C03536">
        <w:rPr>
          <w:rFonts w:ascii="Book Antiqua" w:hAnsi="Book Antiqua" w:cs="Arial"/>
        </w:rPr>
        <w:tab/>
      </w:r>
      <w:r w:rsidRPr="00C03536">
        <w:rPr>
          <w:rFonts w:ascii="Book Antiqua" w:hAnsi="Book Antiqua" w:cs="Arial"/>
        </w:rPr>
        <w:tab/>
      </w:r>
      <w:r w:rsidRPr="00C03536">
        <w:rPr>
          <w:rFonts w:ascii="Book Antiqua" w:hAnsi="Book Antiqua" w:cs="Arial"/>
        </w:rPr>
        <w:tab/>
      </w:r>
      <w:r w:rsidRPr="00C03536">
        <w:rPr>
          <w:rFonts w:ascii="Book Antiqua" w:hAnsi="Book Antiqua" w:cs="Arial"/>
        </w:rPr>
        <w:tab/>
        <w:t>Date</w:t>
      </w:r>
      <w:r>
        <w:rPr>
          <w:rFonts w:ascii="Book Antiqua" w:hAnsi="Book Antiqua" w:cs="Arial"/>
        </w:rPr>
        <w:t>: 6 July 2018</w:t>
      </w:r>
    </w:p>
    <w:p w:rsidR="00E5220F" w:rsidRPr="00C03536" w:rsidRDefault="00E5220F" w:rsidP="00402B9E">
      <w:pPr>
        <w:tabs>
          <w:tab w:val="left" w:pos="2520"/>
        </w:tabs>
        <w:ind w:left="540" w:hanging="540"/>
        <w:jc w:val="both"/>
        <w:rPr>
          <w:rFonts w:ascii="Book Antiqua" w:hAnsi="Book Antiqua" w:cs="Arial"/>
        </w:rPr>
      </w:pPr>
      <w:r>
        <w:rPr>
          <w:rFonts w:ascii="Book Antiqua" w:hAnsi="Book Antiqua" w:cs="Arial"/>
        </w:rPr>
        <w:t xml:space="preserve">             </w:t>
      </w:r>
    </w:p>
    <w:p w:rsidR="00E5220F" w:rsidRPr="00C03536" w:rsidRDefault="002D7EC5" w:rsidP="00402B9E">
      <w:pPr>
        <w:tabs>
          <w:tab w:val="left" w:pos="2520"/>
        </w:tabs>
        <w:ind w:left="540" w:hanging="540"/>
        <w:jc w:val="both"/>
        <w:rPr>
          <w:rFonts w:ascii="Book Antiqua" w:hAnsi="Book Antiqua" w:cs="Arial"/>
        </w:rPr>
      </w:pPr>
      <w:r>
        <w:rPr>
          <w:noProof/>
        </w:rPr>
        <w:drawing>
          <wp:inline distT="0" distB="0" distL="0" distR="0">
            <wp:extent cx="1684020"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4020" cy="518160"/>
                    </a:xfrm>
                    <a:prstGeom prst="rect">
                      <a:avLst/>
                    </a:prstGeom>
                    <a:noFill/>
                    <a:ln>
                      <a:noFill/>
                    </a:ln>
                  </pic:spPr>
                </pic:pic>
              </a:graphicData>
            </a:graphic>
          </wp:inline>
        </w:drawing>
      </w:r>
    </w:p>
    <w:p w:rsidR="00E5220F" w:rsidRPr="00C03536" w:rsidRDefault="00E5220F" w:rsidP="00621A45">
      <w:pPr>
        <w:tabs>
          <w:tab w:val="left" w:pos="2520"/>
        </w:tabs>
        <w:ind w:left="540" w:hanging="540"/>
        <w:jc w:val="both"/>
        <w:outlineLvl w:val="0"/>
        <w:rPr>
          <w:rFonts w:ascii="Book Antiqua" w:hAnsi="Book Antiqua" w:cs="Arial"/>
          <w:color w:val="000000"/>
        </w:rPr>
      </w:pPr>
      <w:r w:rsidRPr="00C03536">
        <w:rPr>
          <w:rFonts w:ascii="Book Antiqua" w:hAnsi="Book Antiqua" w:cs="Arial"/>
          <w:color w:val="000000"/>
        </w:rPr>
        <w:t xml:space="preserve">Dr H </w:t>
      </w:r>
      <w:proofErr w:type="spellStart"/>
      <w:r w:rsidRPr="00C03536">
        <w:rPr>
          <w:rFonts w:ascii="Book Antiqua" w:hAnsi="Book Antiqua" w:cs="Arial"/>
          <w:color w:val="000000"/>
        </w:rPr>
        <w:t>H</w:t>
      </w:r>
      <w:proofErr w:type="spellEnd"/>
      <w:r w:rsidRPr="00C03536">
        <w:rPr>
          <w:rFonts w:ascii="Book Antiqua" w:hAnsi="Book Antiqua" w:cs="Arial"/>
          <w:color w:val="000000"/>
        </w:rPr>
        <w:t xml:space="preserve"> Storey</w:t>
      </w:r>
    </w:p>
    <w:p w:rsidR="00E5220F" w:rsidRPr="00C03536" w:rsidRDefault="00E5220F" w:rsidP="007702DD">
      <w:pPr>
        <w:tabs>
          <w:tab w:val="left" w:pos="2520"/>
        </w:tabs>
        <w:ind w:left="540" w:hanging="540"/>
        <w:jc w:val="both"/>
        <w:rPr>
          <w:rFonts w:ascii="Book Antiqua" w:hAnsi="Book Antiqua" w:cs="Arial"/>
          <w:color w:val="000000"/>
        </w:rPr>
      </w:pPr>
      <w:r w:rsidRPr="00C03536">
        <w:rPr>
          <w:rFonts w:ascii="Book Antiqua" w:hAnsi="Book Antiqua" w:cs="Arial"/>
          <w:color w:val="000000"/>
        </w:rPr>
        <w:t xml:space="preserve">Judge of the Upper Tribunal </w:t>
      </w:r>
    </w:p>
    <w:p w:rsidR="00E5220F" w:rsidRPr="00C03536" w:rsidRDefault="00E5220F" w:rsidP="007702DD">
      <w:pPr>
        <w:tabs>
          <w:tab w:val="left" w:pos="2520"/>
        </w:tabs>
        <w:ind w:left="540" w:hanging="540"/>
        <w:jc w:val="both"/>
        <w:rPr>
          <w:rFonts w:ascii="Book Antiqua" w:hAnsi="Book Antiqua" w:cs="Arial"/>
          <w:color w:val="000000"/>
        </w:rPr>
      </w:pPr>
    </w:p>
    <w:p w:rsidR="00E5220F" w:rsidRPr="00C03536" w:rsidRDefault="00E5220F" w:rsidP="007702DD">
      <w:pPr>
        <w:tabs>
          <w:tab w:val="left" w:pos="2520"/>
        </w:tabs>
        <w:ind w:left="540" w:hanging="540"/>
        <w:jc w:val="both"/>
        <w:rPr>
          <w:rFonts w:ascii="Book Antiqua" w:hAnsi="Book Antiqua" w:cs="Arial"/>
          <w:color w:val="000000"/>
        </w:rPr>
      </w:pPr>
    </w:p>
    <w:p w:rsidR="00E5220F" w:rsidRPr="00B57D66" w:rsidRDefault="00E5220F" w:rsidP="00B95326">
      <w:pPr>
        <w:rPr>
          <w:rFonts w:ascii="Book Antiqua" w:hAnsi="Book Antiqua" w:cs="Arial"/>
        </w:rPr>
      </w:pPr>
    </w:p>
    <w:p w:rsidR="00E5220F" w:rsidRPr="00B57D66" w:rsidRDefault="00E5220F" w:rsidP="00402B9E">
      <w:pPr>
        <w:tabs>
          <w:tab w:val="left" w:pos="2520"/>
        </w:tabs>
        <w:ind w:left="540" w:hanging="540"/>
        <w:jc w:val="both"/>
        <w:rPr>
          <w:rFonts w:ascii="Book Antiqua" w:hAnsi="Book Antiqua" w:cs="Arial"/>
        </w:rPr>
      </w:pPr>
    </w:p>
    <w:sectPr w:rsidR="00E5220F" w:rsidRPr="00B57D66" w:rsidSect="006E7C45">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148" w:rsidRDefault="00412148">
      <w:r>
        <w:separator/>
      </w:r>
    </w:p>
  </w:endnote>
  <w:endnote w:type="continuationSeparator" w:id="0">
    <w:p w:rsidR="00412148" w:rsidRDefault="0041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0F" w:rsidRPr="006E7C45" w:rsidRDefault="00E5220F" w:rsidP="00593795">
    <w:pPr>
      <w:pStyle w:val="Footer"/>
      <w:jc w:val="center"/>
      <w:rPr>
        <w:rFonts w:ascii="Book Antiqua" w:hAnsi="Book Antiqua" w:cs="Arial"/>
      </w:rPr>
    </w:pPr>
    <w:r w:rsidRPr="006E7C45">
      <w:rPr>
        <w:rStyle w:val="PageNumber"/>
        <w:rFonts w:ascii="Book Antiqua" w:hAnsi="Book Antiqua" w:cs="Arial"/>
      </w:rPr>
      <w:fldChar w:fldCharType="begin"/>
    </w:r>
    <w:r w:rsidRPr="006E7C45">
      <w:rPr>
        <w:rStyle w:val="PageNumber"/>
        <w:rFonts w:ascii="Book Antiqua" w:hAnsi="Book Antiqua" w:cs="Arial"/>
      </w:rPr>
      <w:instrText xml:space="preserve"> PAGE </w:instrText>
    </w:r>
    <w:r w:rsidRPr="006E7C45">
      <w:rPr>
        <w:rStyle w:val="PageNumber"/>
        <w:rFonts w:ascii="Book Antiqua" w:hAnsi="Book Antiqua" w:cs="Arial"/>
      </w:rPr>
      <w:fldChar w:fldCharType="separate"/>
    </w:r>
    <w:r w:rsidR="0027101C">
      <w:rPr>
        <w:rStyle w:val="PageNumber"/>
        <w:rFonts w:ascii="Book Antiqua" w:hAnsi="Book Antiqua" w:cs="Arial"/>
        <w:noProof/>
      </w:rPr>
      <w:t>4</w:t>
    </w:r>
    <w:r w:rsidRPr="006E7C4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0F" w:rsidRPr="00B57D66" w:rsidRDefault="00E5220F"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148" w:rsidRDefault="00412148">
      <w:r>
        <w:separator/>
      </w:r>
    </w:p>
  </w:footnote>
  <w:footnote w:type="continuationSeparator" w:id="0">
    <w:p w:rsidR="00412148" w:rsidRDefault="00412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0F" w:rsidRDefault="00E5220F"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71047C">
      <w:rPr>
        <w:rFonts w:ascii="Book Antiqua" w:hAnsi="Book Antiqua" w:cs="Arial"/>
        <w:sz w:val="16"/>
        <w:szCs w:val="16"/>
      </w:rPr>
      <w:t>HU/15827/2016</w:t>
    </w:r>
  </w:p>
  <w:p w:rsidR="006E7C45" w:rsidRPr="00B57D66" w:rsidRDefault="006E7C4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0F" w:rsidRPr="00B57D66" w:rsidRDefault="00E5220F">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7C"/>
    <w:rsid w:val="00000621"/>
    <w:rsid w:val="000036C2"/>
    <w:rsid w:val="000313E1"/>
    <w:rsid w:val="00033D3D"/>
    <w:rsid w:val="00041A05"/>
    <w:rsid w:val="00047F8B"/>
    <w:rsid w:val="00062F02"/>
    <w:rsid w:val="00063A0D"/>
    <w:rsid w:val="00071A7E"/>
    <w:rsid w:val="000746C0"/>
    <w:rsid w:val="00074D1D"/>
    <w:rsid w:val="00082E32"/>
    <w:rsid w:val="00092580"/>
    <w:rsid w:val="00093D4D"/>
    <w:rsid w:val="000A2820"/>
    <w:rsid w:val="000A383D"/>
    <w:rsid w:val="000C1D19"/>
    <w:rsid w:val="000D2E87"/>
    <w:rsid w:val="000D326A"/>
    <w:rsid w:val="000D5D94"/>
    <w:rsid w:val="000D6C3F"/>
    <w:rsid w:val="000E7A29"/>
    <w:rsid w:val="000F1A0E"/>
    <w:rsid w:val="001165A7"/>
    <w:rsid w:val="00147423"/>
    <w:rsid w:val="00152059"/>
    <w:rsid w:val="00167D3A"/>
    <w:rsid w:val="00173CC6"/>
    <w:rsid w:val="001A3082"/>
    <w:rsid w:val="001B186A"/>
    <w:rsid w:val="001B2F75"/>
    <w:rsid w:val="001D36C0"/>
    <w:rsid w:val="001D4DD2"/>
    <w:rsid w:val="001E5D43"/>
    <w:rsid w:val="001F2716"/>
    <w:rsid w:val="00200F1B"/>
    <w:rsid w:val="00207617"/>
    <w:rsid w:val="0023134B"/>
    <w:rsid w:val="0027101C"/>
    <w:rsid w:val="00277CB5"/>
    <w:rsid w:val="00283659"/>
    <w:rsid w:val="002841C5"/>
    <w:rsid w:val="002B22D4"/>
    <w:rsid w:val="002C6BD4"/>
    <w:rsid w:val="002D68BF"/>
    <w:rsid w:val="002D7EC5"/>
    <w:rsid w:val="002E476B"/>
    <w:rsid w:val="002F6B98"/>
    <w:rsid w:val="00307FF9"/>
    <w:rsid w:val="003275F1"/>
    <w:rsid w:val="00327658"/>
    <w:rsid w:val="00327AD8"/>
    <w:rsid w:val="00336CBF"/>
    <w:rsid w:val="00343FE3"/>
    <w:rsid w:val="0034462B"/>
    <w:rsid w:val="003546C8"/>
    <w:rsid w:val="00367FC0"/>
    <w:rsid w:val="00373562"/>
    <w:rsid w:val="00396C9C"/>
    <w:rsid w:val="003A09BE"/>
    <w:rsid w:val="003A7CF2"/>
    <w:rsid w:val="003B29D1"/>
    <w:rsid w:val="003C5CE5"/>
    <w:rsid w:val="003E267B"/>
    <w:rsid w:val="003E7CD1"/>
    <w:rsid w:val="003F367D"/>
    <w:rsid w:val="003F7ADF"/>
    <w:rsid w:val="00402B9E"/>
    <w:rsid w:val="00412148"/>
    <w:rsid w:val="004249CB"/>
    <w:rsid w:val="00426616"/>
    <w:rsid w:val="00430BA8"/>
    <w:rsid w:val="00430D86"/>
    <w:rsid w:val="0043201F"/>
    <w:rsid w:val="004352F5"/>
    <w:rsid w:val="0044127D"/>
    <w:rsid w:val="004448DB"/>
    <w:rsid w:val="00446C9A"/>
    <w:rsid w:val="00452F2B"/>
    <w:rsid w:val="00457AAA"/>
    <w:rsid w:val="0046454F"/>
    <w:rsid w:val="00471B09"/>
    <w:rsid w:val="00476569"/>
    <w:rsid w:val="00477193"/>
    <w:rsid w:val="004A1848"/>
    <w:rsid w:val="004A6F4A"/>
    <w:rsid w:val="004A77BF"/>
    <w:rsid w:val="004B5AEF"/>
    <w:rsid w:val="004E4717"/>
    <w:rsid w:val="00500E0C"/>
    <w:rsid w:val="005065CA"/>
    <w:rsid w:val="00507121"/>
    <w:rsid w:val="005076C0"/>
    <w:rsid w:val="00507FEC"/>
    <w:rsid w:val="00510F0E"/>
    <w:rsid w:val="005154CE"/>
    <w:rsid w:val="00531ADC"/>
    <w:rsid w:val="00532FD3"/>
    <w:rsid w:val="005339AD"/>
    <w:rsid w:val="005479E1"/>
    <w:rsid w:val="00553E0A"/>
    <w:rsid w:val="005570FD"/>
    <w:rsid w:val="005575EA"/>
    <w:rsid w:val="00565204"/>
    <w:rsid w:val="005665A9"/>
    <w:rsid w:val="005672D1"/>
    <w:rsid w:val="0057790C"/>
    <w:rsid w:val="00593165"/>
    <w:rsid w:val="00593795"/>
    <w:rsid w:val="005A13AD"/>
    <w:rsid w:val="005A487B"/>
    <w:rsid w:val="005A75FF"/>
    <w:rsid w:val="005D10AB"/>
    <w:rsid w:val="005F7FA2"/>
    <w:rsid w:val="00601D8F"/>
    <w:rsid w:val="00604E00"/>
    <w:rsid w:val="006215B3"/>
    <w:rsid w:val="00621A45"/>
    <w:rsid w:val="00630B45"/>
    <w:rsid w:val="00653768"/>
    <w:rsid w:val="00653E97"/>
    <w:rsid w:val="00684A74"/>
    <w:rsid w:val="00690B8A"/>
    <w:rsid w:val="006B2B73"/>
    <w:rsid w:val="006C5560"/>
    <w:rsid w:val="006E7C45"/>
    <w:rsid w:val="006F0C69"/>
    <w:rsid w:val="006F2CF1"/>
    <w:rsid w:val="00700CB3"/>
    <w:rsid w:val="00703016"/>
    <w:rsid w:val="007038ED"/>
    <w:rsid w:val="00703BC3"/>
    <w:rsid w:val="00704B61"/>
    <w:rsid w:val="0071047C"/>
    <w:rsid w:val="00720D28"/>
    <w:rsid w:val="00740EB9"/>
    <w:rsid w:val="0074439E"/>
    <w:rsid w:val="007552A9"/>
    <w:rsid w:val="00761858"/>
    <w:rsid w:val="00761DDA"/>
    <w:rsid w:val="0076570F"/>
    <w:rsid w:val="007678E2"/>
    <w:rsid w:val="00767D59"/>
    <w:rsid w:val="007702DD"/>
    <w:rsid w:val="00776E97"/>
    <w:rsid w:val="00780F86"/>
    <w:rsid w:val="00790B9E"/>
    <w:rsid w:val="007912AD"/>
    <w:rsid w:val="00792DDD"/>
    <w:rsid w:val="007A4FEE"/>
    <w:rsid w:val="007A686B"/>
    <w:rsid w:val="007B0824"/>
    <w:rsid w:val="007B5D3C"/>
    <w:rsid w:val="007C159F"/>
    <w:rsid w:val="007C1919"/>
    <w:rsid w:val="007D0B04"/>
    <w:rsid w:val="007E1290"/>
    <w:rsid w:val="007F1B5F"/>
    <w:rsid w:val="00821B72"/>
    <w:rsid w:val="00823EF2"/>
    <w:rsid w:val="00827383"/>
    <w:rsid w:val="008303B8"/>
    <w:rsid w:val="00833DCE"/>
    <w:rsid w:val="00842F3A"/>
    <w:rsid w:val="008501A3"/>
    <w:rsid w:val="00852D67"/>
    <w:rsid w:val="00871D34"/>
    <w:rsid w:val="00872D99"/>
    <w:rsid w:val="00887DA7"/>
    <w:rsid w:val="008A01DD"/>
    <w:rsid w:val="008A151B"/>
    <w:rsid w:val="008B0520"/>
    <w:rsid w:val="008B270C"/>
    <w:rsid w:val="008B4F43"/>
    <w:rsid w:val="008B5078"/>
    <w:rsid w:val="008C3D3D"/>
    <w:rsid w:val="008D4131"/>
    <w:rsid w:val="008E7F2B"/>
    <w:rsid w:val="008F0203"/>
    <w:rsid w:val="008F1932"/>
    <w:rsid w:val="008F1BC2"/>
    <w:rsid w:val="00921062"/>
    <w:rsid w:val="009407F7"/>
    <w:rsid w:val="009722BC"/>
    <w:rsid w:val="009727A3"/>
    <w:rsid w:val="00975893"/>
    <w:rsid w:val="00987774"/>
    <w:rsid w:val="009A11E8"/>
    <w:rsid w:val="009B4673"/>
    <w:rsid w:val="009C7CF9"/>
    <w:rsid w:val="009F5220"/>
    <w:rsid w:val="00A15234"/>
    <w:rsid w:val="00A201AB"/>
    <w:rsid w:val="00A2306E"/>
    <w:rsid w:val="00A31C8B"/>
    <w:rsid w:val="00A4540E"/>
    <w:rsid w:val="00A50368"/>
    <w:rsid w:val="00A509FA"/>
    <w:rsid w:val="00A64E38"/>
    <w:rsid w:val="00A67C11"/>
    <w:rsid w:val="00A845DC"/>
    <w:rsid w:val="00A9409A"/>
    <w:rsid w:val="00AA2BAE"/>
    <w:rsid w:val="00AB71CA"/>
    <w:rsid w:val="00AD02DB"/>
    <w:rsid w:val="00AD17CF"/>
    <w:rsid w:val="00B07B37"/>
    <w:rsid w:val="00B130D5"/>
    <w:rsid w:val="00B26AA2"/>
    <w:rsid w:val="00B3524D"/>
    <w:rsid w:val="00B40F69"/>
    <w:rsid w:val="00B448D5"/>
    <w:rsid w:val="00B46616"/>
    <w:rsid w:val="00B57D66"/>
    <w:rsid w:val="00B64C6E"/>
    <w:rsid w:val="00B7040A"/>
    <w:rsid w:val="00B71654"/>
    <w:rsid w:val="00B83391"/>
    <w:rsid w:val="00B94775"/>
    <w:rsid w:val="00B95326"/>
    <w:rsid w:val="00BA1B50"/>
    <w:rsid w:val="00BB45A9"/>
    <w:rsid w:val="00BD4196"/>
    <w:rsid w:val="00BE2D3A"/>
    <w:rsid w:val="00BE2F3A"/>
    <w:rsid w:val="00BF22CA"/>
    <w:rsid w:val="00BF23BB"/>
    <w:rsid w:val="00BF398A"/>
    <w:rsid w:val="00BF51B9"/>
    <w:rsid w:val="00C03536"/>
    <w:rsid w:val="00C07E6E"/>
    <w:rsid w:val="00C20102"/>
    <w:rsid w:val="00C26032"/>
    <w:rsid w:val="00C345E1"/>
    <w:rsid w:val="00C43BFD"/>
    <w:rsid w:val="00C70CD5"/>
    <w:rsid w:val="00C732A8"/>
    <w:rsid w:val="00C816AD"/>
    <w:rsid w:val="00C96FFA"/>
    <w:rsid w:val="00CA1A62"/>
    <w:rsid w:val="00CA335D"/>
    <w:rsid w:val="00CB6E35"/>
    <w:rsid w:val="00CC26E8"/>
    <w:rsid w:val="00CD27ED"/>
    <w:rsid w:val="00CD4CBE"/>
    <w:rsid w:val="00CE1A46"/>
    <w:rsid w:val="00CE2366"/>
    <w:rsid w:val="00CE2F34"/>
    <w:rsid w:val="00CE7550"/>
    <w:rsid w:val="00CF63CB"/>
    <w:rsid w:val="00D015C1"/>
    <w:rsid w:val="00D20757"/>
    <w:rsid w:val="00D22636"/>
    <w:rsid w:val="00D40FD9"/>
    <w:rsid w:val="00D53769"/>
    <w:rsid w:val="00D7040C"/>
    <w:rsid w:val="00D85C13"/>
    <w:rsid w:val="00D86468"/>
    <w:rsid w:val="00D90D03"/>
    <w:rsid w:val="00D9111A"/>
    <w:rsid w:val="00D91BE3"/>
    <w:rsid w:val="00D94AFC"/>
    <w:rsid w:val="00D97B17"/>
    <w:rsid w:val="00DA1880"/>
    <w:rsid w:val="00DA384F"/>
    <w:rsid w:val="00DB70AE"/>
    <w:rsid w:val="00DC0232"/>
    <w:rsid w:val="00DC375C"/>
    <w:rsid w:val="00DC4CB8"/>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220F"/>
    <w:rsid w:val="00E556B8"/>
    <w:rsid w:val="00E574BF"/>
    <w:rsid w:val="00E61292"/>
    <w:rsid w:val="00E64A89"/>
    <w:rsid w:val="00E67EEE"/>
    <w:rsid w:val="00E77C4D"/>
    <w:rsid w:val="00E81D01"/>
    <w:rsid w:val="00E82519"/>
    <w:rsid w:val="00ED62A5"/>
    <w:rsid w:val="00ED6E0E"/>
    <w:rsid w:val="00EE45D8"/>
    <w:rsid w:val="00F17123"/>
    <w:rsid w:val="00F17B47"/>
    <w:rsid w:val="00F22EDA"/>
    <w:rsid w:val="00F32BEA"/>
    <w:rsid w:val="00F35C16"/>
    <w:rsid w:val="00F465D5"/>
    <w:rsid w:val="00F47952"/>
    <w:rsid w:val="00F516F6"/>
    <w:rsid w:val="00F609F5"/>
    <w:rsid w:val="00F934A8"/>
    <w:rsid w:val="00F93ABB"/>
    <w:rsid w:val="00F95BB7"/>
    <w:rsid w:val="00FA54DB"/>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30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3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link w:val="Header"/>
    <w:uiPriority w:val="99"/>
    <w:semiHidden/>
    <w:rsid w:val="00374D2F"/>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link w:val="Footer"/>
    <w:uiPriority w:val="99"/>
    <w:semiHidden/>
    <w:rsid w:val="00374D2F"/>
    <w:rPr>
      <w:sz w:val="24"/>
      <w:szCs w:val="24"/>
    </w:rPr>
  </w:style>
  <w:style w:type="character" w:styleId="PageNumber">
    <w:name w:val="page number"/>
    <w:uiPriority w:val="99"/>
    <w:rsid w:val="007552A9"/>
    <w:rPr>
      <w:rFonts w:cs="Times New Roman"/>
    </w:rPr>
  </w:style>
  <w:style w:type="table" w:styleId="TableGrid">
    <w:name w:val="Table Grid"/>
    <w:basedOn w:val="TableNormal"/>
    <w:uiPriority w:val="99"/>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link w:val="BalloonText"/>
    <w:uiPriority w:val="99"/>
    <w:semiHidden/>
    <w:rsid w:val="00374D2F"/>
    <w:rPr>
      <w:sz w:val="0"/>
      <w:szCs w:val="0"/>
    </w:rPr>
  </w:style>
  <w:style w:type="character" w:styleId="Hyperlink">
    <w:name w:val="Hyperlink"/>
    <w:uiPriority w:val="99"/>
    <w:rsid w:val="00B95326"/>
    <w:rPr>
      <w:rFonts w:cs="Times New Roman"/>
      <w:color w:val="0000FF"/>
      <w:u w:val="single"/>
    </w:rPr>
  </w:style>
  <w:style w:type="paragraph" w:styleId="DocumentMap">
    <w:name w:val="Document Map"/>
    <w:basedOn w:val="Normal"/>
    <w:link w:val="DocumentMapChar"/>
    <w:uiPriority w:val="99"/>
    <w:semiHidden/>
    <w:rsid w:val="00621A45"/>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374D2F"/>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2018-07-24T14:54:00Z</dcterms:created>
  <dcterms:modified xsi:type="dcterms:W3CDTF">2018-07-24T14:55:00Z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