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BE0" w:rsidRPr="00BE77B8" w:rsidRDefault="00CF084C" w:rsidP="00931D50">
      <w:pPr>
        <w:jc w:val="center"/>
        <w:rPr>
          <w:rFonts w:ascii="Book Antiqua" w:hAnsi="Book Antiqua" w:cs="Arial"/>
          <w:sz w:val="16"/>
          <w:szCs w:val="16"/>
        </w:rPr>
      </w:pPr>
      <w:r w:rsidRPr="00BE77B8">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297BE0" w:rsidRPr="00BE77B8" w:rsidRDefault="00297BE0">
      <w:pPr>
        <w:rPr>
          <w:rFonts w:ascii="Book Antiqua" w:hAnsi="Book Antiqua" w:cs="Arial"/>
          <w:sz w:val="16"/>
          <w:szCs w:val="16"/>
        </w:rPr>
      </w:pPr>
    </w:p>
    <w:p w:rsidR="00297BE0" w:rsidRDefault="00297BE0">
      <w:pPr>
        <w:tabs>
          <w:tab w:val="right" w:pos="9639"/>
        </w:tabs>
        <w:rPr>
          <w:rFonts w:ascii="Book Antiqua" w:hAnsi="Book Antiqua" w:cs="Arial"/>
          <w:b/>
        </w:rPr>
      </w:pPr>
      <w:r>
        <w:rPr>
          <w:rFonts w:ascii="Book Antiqua" w:hAnsi="Book Antiqua" w:cs="Arial"/>
          <w:b/>
        </w:rPr>
        <w:t>Upper Tribunal</w:t>
      </w:r>
    </w:p>
    <w:p w:rsidR="00297BE0" w:rsidRDefault="00297BE0">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r w:rsidR="00A45B36">
        <w:rPr>
          <w:rFonts w:ascii="Book Antiqua" w:hAnsi="Book Antiqua" w:cs="Arial"/>
        </w:rPr>
        <w:t>HU/16030/2016</w:t>
      </w:r>
    </w:p>
    <w:p w:rsidR="00297BE0" w:rsidRDefault="00297BE0" w:rsidP="00ED5054">
      <w:pPr>
        <w:rPr>
          <w:rFonts w:ascii="Book Antiqua" w:hAnsi="Book Antiqua" w:cs="Arial"/>
        </w:rPr>
      </w:pPr>
    </w:p>
    <w:p w:rsidR="00297BE0" w:rsidRDefault="00297BE0">
      <w:pPr>
        <w:jc w:val="center"/>
        <w:rPr>
          <w:rFonts w:ascii="Book Antiqua" w:hAnsi="Book Antiqua" w:cs="Arial"/>
        </w:rPr>
      </w:pPr>
    </w:p>
    <w:p w:rsidR="00297BE0" w:rsidRDefault="00297BE0">
      <w:pPr>
        <w:jc w:val="center"/>
        <w:rPr>
          <w:rFonts w:ascii="Book Antiqua" w:hAnsi="Book Antiqua" w:cs="Arial"/>
          <w:b/>
          <w:u w:val="single"/>
        </w:rPr>
      </w:pPr>
      <w:r>
        <w:rPr>
          <w:rFonts w:ascii="Book Antiqua" w:hAnsi="Book Antiqua" w:cs="Arial"/>
          <w:b/>
          <w:u w:val="single"/>
        </w:rPr>
        <w:t>THE IMMIGRATION ACTS</w:t>
      </w:r>
    </w:p>
    <w:p w:rsidR="00297BE0" w:rsidRDefault="00297BE0">
      <w:pPr>
        <w:jc w:val="center"/>
        <w:rPr>
          <w:rFonts w:ascii="Book Antiqua" w:hAnsi="Book Antiqua" w:cs="Arial"/>
          <w:b/>
          <w:u w:val="single"/>
        </w:rPr>
      </w:pPr>
    </w:p>
    <w:p w:rsidR="00297BE0" w:rsidRDefault="00297BE0">
      <w:pPr>
        <w:jc w:val="center"/>
        <w:rPr>
          <w:rFonts w:ascii="Book Antiqua" w:hAnsi="Book Antiqua" w:cs="Arial"/>
          <w:b/>
          <w:u w:val="single"/>
        </w:rPr>
      </w:pPr>
    </w:p>
    <w:tbl>
      <w:tblPr>
        <w:tblW w:w="0" w:type="auto"/>
        <w:tblLayout w:type="fixed"/>
        <w:tblLook w:val="0000" w:firstRow="0" w:lastRow="0" w:firstColumn="0" w:lastColumn="0" w:noHBand="0" w:noVBand="0"/>
      </w:tblPr>
      <w:tblGrid>
        <w:gridCol w:w="5211"/>
        <w:gridCol w:w="657"/>
        <w:gridCol w:w="3986"/>
      </w:tblGrid>
      <w:tr w:rsidR="00297BE0" w:rsidTr="00F84B72">
        <w:tc>
          <w:tcPr>
            <w:tcW w:w="5211" w:type="dxa"/>
          </w:tcPr>
          <w:p w:rsidR="00297BE0" w:rsidRDefault="00297BE0">
            <w:pPr>
              <w:jc w:val="both"/>
              <w:rPr>
                <w:rFonts w:ascii="Book Antiqua" w:hAnsi="Book Antiqua" w:cs="Arial"/>
                <w:b/>
              </w:rPr>
            </w:pPr>
            <w:r>
              <w:rPr>
                <w:rFonts w:ascii="Book Antiqua" w:hAnsi="Book Antiqua" w:cs="Arial"/>
                <w:b/>
              </w:rPr>
              <w:t>Heard at Field House</w:t>
            </w:r>
          </w:p>
        </w:tc>
        <w:tc>
          <w:tcPr>
            <w:tcW w:w="4643" w:type="dxa"/>
            <w:gridSpan w:val="2"/>
          </w:tcPr>
          <w:p w:rsidR="00297BE0" w:rsidRDefault="00297BE0" w:rsidP="00F84B72">
            <w:pPr>
              <w:rPr>
                <w:rFonts w:ascii="Book Antiqua" w:hAnsi="Book Antiqua" w:cs="Arial"/>
                <w:b/>
              </w:rPr>
            </w:pPr>
            <w:r>
              <w:rPr>
                <w:rFonts w:ascii="Book Antiqua" w:hAnsi="Book Antiqua" w:cs="Arial"/>
                <w:b/>
              </w:rPr>
              <w:t>Decision &amp; Reasons Promulgated</w:t>
            </w:r>
          </w:p>
        </w:tc>
      </w:tr>
      <w:tr w:rsidR="00297BE0" w:rsidTr="00F84B72">
        <w:tc>
          <w:tcPr>
            <w:tcW w:w="5211" w:type="dxa"/>
          </w:tcPr>
          <w:p w:rsidR="00297BE0" w:rsidRDefault="00BC5302">
            <w:pPr>
              <w:jc w:val="both"/>
              <w:rPr>
                <w:rFonts w:ascii="Book Antiqua" w:hAnsi="Book Antiqua" w:cs="Arial"/>
                <w:b/>
              </w:rPr>
            </w:pPr>
            <w:r>
              <w:rPr>
                <w:rFonts w:ascii="Book Antiqua" w:hAnsi="Book Antiqua" w:cs="Arial"/>
                <w:b/>
              </w:rPr>
              <w:t xml:space="preserve">On 15 June 2018 </w:t>
            </w:r>
          </w:p>
        </w:tc>
        <w:tc>
          <w:tcPr>
            <w:tcW w:w="4643" w:type="dxa"/>
            <w:gridSpan w:val="2"/>
          </w:tcPr>
          <w:p w:rsidR="00297BE0" w:rsidRDefault="00F84B72">
            <w:pPr>
              <w:jc w:val="both"/>
              <w:rPr>
                <w:rFonts w:ascii="Book Antiqua" w:hAnsi="Book Antiqua" w:cs="Arial"/>
                <w:b/>
              </w:rPr>
            </w:pPr>
            <w:r>
              <w:rPr>
                <w:rFonts w:ascii="Book Antiqua" w:hAnsi="Book Antiqua" w:cs="Arial"/>
                <w:b/>
              </w:rPr>
              <w:t xml:space="preserve">On 19 June 2018 </w:t>
            </w:r>
          </w:p>
        </w:tc>
      </w:tr>
      <w:tr w:rsidR="00297BE0" w:rsidTr="00F84B72">
        <w:tc>
          <w:tcPr>
            <w:tcW w:w="5868" w:type="dxa"/>
            <w:gridSpan w:val="2"/>
          </w:tcPr>
          <w:p w:rsidR="00297BE0" w:rsidRDefault="00297BE0">
            <w:pPr>
              <w:jc w:val="both"/>
              <w:rPr>
                <w:rFonts w:ascii="Book Antiqua" w:hAnsi="Book Antiqua" w:cs="Arial"/>
                <w:b/>
              </w:rPr>
            </w:pPr>
          </w:p>
        </w:tc>
        <w:tc>
          <w:tcPr>
            <w:tcW w:w="3986" w:type="dxa"/>
          </w:tcPr>
          <w:p w:rsidR="00297BE0" w:rsidRDefault="00297BE0">
            <w:pPr>
              <w:jc w:val="both"/>
              <w:rPr>
                <w:rFonts w:ascii="Book Antiqua" w:hAnsi="Book Antiqua" w:cs="Arial"/>
                <w:b/>
              </w:rPr>
            </w:pPr>
          </w:p>
        </w:tc>
      </w:tr>
    </w:tbl>
    <w:p w:rsidR="00297BE0" w:rsidRDefault="00297BE0" w:rsidP="00ED5054">
      <w:pPr>
        <w:rPr>
          <w:rFonts w:ascii="Book Antiqua" w:hAnsi="Book Antiqua" w:cs="Arial"/>
        </w:rPr>
      </w:pPr>
    </w:p>
    <w:p w:rsidR="00297BE0" w:rsidRDefault="00297BE0">
      <w:pPr>
        <w:jc w:val="center"/>
        <w:rPr>
          <w:rFonts w:ascii="Book Antiqua" w:hAnsi="Book Antiqua" w:cs="Arial"/>
          <w:b/>
        </w:rPr>
      </w:pPr>
      <w:r>
        <w:rPr>
          <w:rFonts w:ascii="Book Antiqua" w:hAnsi="Book Antiqua" w:cs="Arial"/>
          <w:b/>
        </w:rPr>
        <w:t>Before</w:t>
      </w:r>
    </w:p>
    <w:p w:rsidR="00297BE0" w:rsidRDefault="00297BE0">
      <w:pPr>
        <w:jc w:val="center"/>
        <w:rPr>
          <w:rFonts w:ascii="Book Antiqua" w:hAnsi="Book Antiqua" w:cs="Arial"/>
          <w:b/>
        </w:rPr>
      </w:pPr>
    </w:p>
    <w:p w:rsidR="00297BE0" w:rsidRDefault="00297BE0">
      <w:pPr>
        <w:jc w:val="center"/>
        <w:rPr>
          <w:rFonts w:ascii="Book Antiqua" w:hAnsi="Book Antiqua" w:cs="Arial"/>
          <w:b/>
        </w:rPr>
      </w:pPr>
      <w:r>
        <w:rPr>
          <w:rFonts w:ascii="Book Antiqua" w:hAnsi="Book Antiqua" w:cs="Arial"/>
          <w:b/>
        </w:rPr>
        <w:t>DEPUTY UPPER TRIBUNAL JUDGE MONSON</w:t>
      </w:r>
    </w:p>
    <w:p w:rsidR="00297BE0" w:rsidRDefault="00297BE0">
      <w:pPr>
        <w:jc w:val="center"/>
        <w:rPr>
          <w:rFonts w:ascii="Book Antiqua" w:hAnsi="Book Antiqua" w:cs="Arial"/>
          <w:b/>
        </w:rPr>
      </w:pPr>
    </w:p>
    <w:p w:rsidR="00BE77B8" w:rsidRDefault="00BE77B8">
      <w:pPr>
        <w:jc w:val="center"/>
        <w:rPr>
          <w:rFonts w:ascii="Book Antiqua" w:hAnsi="Book Antiqua" w:cs="Arial"/>
          <w:b/>
        </w:rPr>
      </w:pPr>
    </w:p>
    <w:p w:rsidR="00297BE0" w:rsidRDefault="00297BE0">
      <w:pPr>
        <w:jc w:val="center"/>
        <w:rPr>
          <w:rFonts w:ascii="Book Antiqua" w:hAnsi="Book Antiqua" w:cs="Arial"/>
          <w:b/>
        </w:rPr>
      </w:pPr>
      <w:r>
        <w:rPr>
          <w:rFonts w:ascii="Book Antiqua" w:hAnsi="Book Antiqua" w:cs="Arial"/>
          <w:b/>
        </w:rPr>
        <w:t>Between</w:t>
      </w:r>
    </w:p>
    <w:p w:rsidR="003B68B7" w:rsidRDefault="003B68B7">
      <w:pPr>
        <w:jc w:val="center"/>
        <w:rPr>
          <w:rFonts w:ascii="Book Antiqua" w:hAnsi="Book Antiqua" w:cs="Arial"/>
          <w:b/>
        </w:rPr>
      </w:pPr>
    </w:p>
    <w:p w:rsidR="003B68B7" w:rsidRDefault="003B68B7" w:rsidP="003B68B7">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297BE0" w:rsidRPr="00ED5054" w:rsidRDefault="00297BE0" w:rsidP="00ED5054">
      <w:pPr>
        <w:jc w:val="right"/>
        <w:rPr>
          <w:rFonts w:ascii="Book Antiqua" w:hAnsi="Book Antiqua" w:cs="Arial"/>
          <w:u w:val="single"/>
        </w:rPr>
      </w:pPr>
      <w:r>
        <w:rPr>
          <w:rFonts w:ascii="Book Antiqua" w:hAnsi="Book Antiqua" w:cs="Arial"/>
          <w:u w:val="single"/>
        </w:rPr>
        <w:t>Appellant</w:t>
      </w:r>
    </w:p>
    <w:p w:rsidR="00297BE0" w:rsidRDefault="003B68B7">
      <w:pPr>
        <w:jc w:val="center"/>
        <w:rPr>
          <w:rFonts w:ascii="Book Antiqua" w:hAnsi="Book Antiqua" w:cs="Arial"/>
          <w:b/>
        </w:rPr>
      </w:pPr>
      <w:r>
        <w:rPr>
          <w:rFonts w:ascii="Book Antiqua" w:hAnsi="Book Antiqua" w:cs="Arial"/>
          <w:b/>
        </w:rPr>
        <w:t>a</w:t>
      </w:r>
      <w:r w:rsidR="00297BE0">
        <w:rPr>
          <w:rFonts w:ascii="Book Antiqua" w:hAnsi="Book Antiqua" w:cs="Arial"/>
          <w:b/>
        </w:rPr>
        <w:t>nd</w:t>
      </w:r>
    </w:p>
    <w:p w:rsidR="003B68B7" w:rsidRDefault="003B68B7">
      <w:pPr>
        <w:jc w:val="center"/>
        <w:rPr>
          <w:rFonts w:ascii="Book Antiqua" w:hAnsi="Book Antiqua" w:cs="Arial"/>
          <w:b/>
        </w:rPr>
      </w:pPr>
    </w:p>
    <w:p w:rsidR="003B68B7" w:rsidRDefault="00A45B36" w:rsidP="003B68B7">
      <w:pPr>
        <w:jc w:val="center"/>
        <w:rPr>
          <w:rFonts w:ascii="Book Antiqua" w:hAnsi="Book Antiqua" w:cs="Arial"/>
          <w:b/>
          <w:caps/>
        </w:rPr>
      </w:pPr>
      <w:r>
        <w:rPr>
          <w:rFonts w:ascii="Book Antiqua" w:hAnsi="Book Antiqua" w:cs="Arial"/>
          <w:b/>
          <w:caps/>
        </w:rPr>
        <w:t xml:space="preserve">MARIA </w:t>
      </w:r>
      <w:r w:rsidR="00D54283">
        <w:rPr>
          <w:rFonts w:ascii="Book Antiqua" w:hAnsi="Book Antiqua" w:cs="Arial"/>
          <w:b/>
          <w:caps/>
        </w:rPr>
        <w:t>[</w:t>
      </w:r>
      <w:r>
        <w:rPr>
          <w:rFonts w:ascii="Book Antiqua" w:hAnsi="Book Antiqua" w:cs="Arial"/>
          <w:b/>
          <w:caps/>
        </w:rPr>
        <w:t>N</w:t>
      </w:r>
      <w:r w:rsidR="00D54283">
        <w:rPr>
          <w:rFonts w:ascii="Book Antiqua" w:hAnsi="Book Antiqua" w:cs="Arial"/>
          <w:b/>
          <w:caps/>
        </w:rPr>
        <w:t>]</w:t>
      </w:r>
    </w:p>
    <w:p w:rsidR="003B68B7" w:rsidRDefault="003B68B7" w:rsidP="003B68B7">
      <w:pPr>
        <w:jc w:val="center"/>
        <w:rPr>
          <w:rFonts w:ascii="Book Antiqua" w:hAnsi="Book Antiqua" w:cs="Arial"/>
          <w:b/>
          <w:caps/>
        </w:rPr>
      </w:pPr>
      <w:r>
        <w:rPr>
          <w:rFonts w:ascii="Book Antiqua" w:hAnsi="Book Antiqua" w:cs="Arial"/>
          <w:b/>
          <w:caps/>
        </w:rPr>
        <w:t>(anonymity direction NOT MADE)</w:t>
      </w:r>
    </w:p>
    <w:p w:rsidR="00297BE0" w:rsidRDefault="00297BE0">
      <w:pPr>
        <w:jc w:val="right"/>
        <w:rPr>
          <w:rFonts w:ascii="Book Antiqua" w:hAnsi="Book Antiqua" w:cs="Arial"/>
          <w:u w:val="single"/>
        </w:rPr>
      </w:pPr>
      <w:r>
        <w:rPr>
          <w:rFonts w:ascii="Book Antiqua" w:hAnsi="Book Antiqua" w:cs="Arial"/>
          <w:u w:val="single"/>
        </w:rPr>
        <w:t>Respondent</w:t>
      </w:r>
      <w:r w:rsidR="00A45B36">
        <w:rPr>
          <w:rFonts w:ascii="Book Antiqua" w:hAnsi="Book Antiqua" w:cs="Arial"/>
          <w:u w:val="single"/>
        </w:rPr>
        <w:t>/Claimant</w:t>
      </w:r>
    </w:p>
    <w:p w:rsidR="00297BE0" w:rsidRDefault="00297BE0">
      <w:pPr>
        <w:rPr>
          <w:rFonts w:ascii="Book Antiqua" w:hAnsi="Book Antiqua" w:cs="Arial"/>
          <w:u w:val="single"/>
        </w:rPr>
      </w:pPr>
    </w:p>
    <w:p w:rsidR="00BE77B8" w:rsidRDefault="00BE77B8">
      <w:pPr>
        <w:rPr>
          <w:rFonts w:ascii="Book Antiqua" w:hAnsi="Book Antiqua" w:cs="Arial"/>
          <w:u w:val="single"/>
        </w:rPr>
      </w:pPr>
    </w:p>
    <w:p w:rsidR="00297BE0" w:rsidRDefault="00297BE0">
      <w:pPr>
        <w:rPr>
          <w:rFonts w:ascii="Book Antiqua" w:hAnsi="Book Antiqua" w:cs="Arial"/>
        </w:rPr>
      </w:pPr>
      <w:r>
        <w:rPr>
          <w:rFonts w:ascii="Book Antiqua" w:hAnsi="Book Antiqua" w:cs="Arial"/>
          <w:b/>
          <w:u w:val="single"/>
        </w:rPr>
        <w:t>Representation</w:t>
      </w:r>
      <w:r>
        <w:rPr>
          <w:rFonts w:ascii="Book Antiqua" w:hAnsi="Book Antiqua" w:cs="Arial"/>
          <w:b/>
        </w:rPr>
        <w:t>:</w:t>
      </w:r>
    </w:p>
    <w:p w:rsidR="003B68B7" w:rsidRDefault="003B68B7">
      <w:pPr>
        <w:tabs>
          <w:tab w:val="left" w:pos="2520"/>
        </w:tabs>
        <w:rPr>
          <w:rFonts w:ascii="Book Antiqua" w:hAnsi="Book Antiqua" w:cs="Arial"/>
        </w:rPr>
      </w:pPr>
      <w:r>
        <w:rPr>
          <w:rFonts w:ascii="Book Antiqua" w:hAnsi="Book Antiqua" w:cs="Arial"/>
        </w:rPr>
        <w:t>For the Appellant</w:t>
      </w:r>
      <w:r w:rsidR="00297BE0">
        <w:rPr>
          <w:rFonts w:ascii="Book Antiqua" w:hAnsi="Book Antiqua" w:cs="Arial"/>
        </w:rPr>
        <w:t>:</w:t>
      </w:r>
      <w:r w:rsidR="00297BE0">
        <w:rPr>
          <w:rFonts w:ascii="Book Antiqua" w:hAnsi="Book Antiqua" w:cs="Arial"/>
        </w:rPr>
        <w:tab/>
      </w:r>
      <w:r w:rsidR="00A45B36">
        <w:rPr>
          <w:rFonts w:ascii="Book Antiqua" w:hAnsi="Book Antiqua" w:cs="Arial"/>
        </w:rPr>
        <w:t>Miss J. Isherwood</w:t>
      </w:r>
      <w:r>
        <w:rPr>
          <w:rFonts w:ascii="Book Antiqua" w:hAnsi="Book Antiqua" w:cs="Arial"/>
        </w:rPr>
        <w:t>, Senior Home Office Presenting Officer</w:t>
      </w:r>
    </w:p>
    <w:p w:rsidR="003B68B7" w:rsidRDefault="00297BE0" w:rsidP="003B68B7">
      <w:pPr>
        <w:tabs>
          <w:tab w:val="left" w:pos="2520"/>
        </w:tabs>
        <w:rPr>
          <w:rFonts w:ascii="Book Antiqua" w:hAnsi="Book Antiqua" w:cs="Arial"/>
        </w:rPr>
      </w:pPr>
      <w:r>
        <w:rPr>
          <w:rFonts w:ascii="Book Antiqua" w:hAnsi="Book Antiqua" w:cs="Arial"/>
        </w:rPr>
        <w:t>For the Respondent</w:t>
      </w:r>
      <w:r w:rsidR="003B68B7">
        <w:rPr>
          <w:rFonts w:ascii="Book Antiqua" w:hAnsi="Book Antiqua" w:cs="Arial"/>
        </w:rPr>
        <w:t>/Claimant</w:t>
      </w:r>
      <w:r>
        <w:rPr>
          <w:rFonts w:ascii="Book Antiqua" w:hAnsi="Book Antiqua" w:cs="Arial"/>
        </w:rPr>
        <w:t>:</w:t>
      </w:r>
      <w:r>
        <w:rPr>
          <w:rFonts w:ascii="Book Antiqua" w:hAnsi="Book Antiqua" w:cs="Arial"/>
        </w:rPr>
        <w:tab/>
      </w:r>
      <w:r w:rsidR="00A45B36">
        <w:rPr>
          <w:rFonts w:ascii="Book Antiqua" w:hAnsi="Book Antiqua" w:cs="Arial"/>
        </w:rPr>
        <w:t>In person</w:t>
      </w:r>
    </w:p>
    <w:p w:rsidR="00297BE0" w:rsidRDefault="00297BE0" w:rsidP="003B68B7">
      <w:pPr>
        <w:tabs>
          <w:tab w:val="left" w:pos="2520"/>
        </w:tabs>
        <w:rPr>
          <w:rFonts w:ascii="Book Antiqua" w:hAnsi="Book Antiqua" w:cs="Arial"/>
        </w:rPr>
      </w:pPr>
    </w:p>
    <w:p w:rsidR="00297BE0" w:rsidRDefault="00297BE0">
      <w:pPr>
        <w:tabs>
          <w:tab w:val="left" w:pos="2520"/>
        </w:tabs>
        <w:jc w:val="center"/>
        <w:rPr>
          <w:rFonts w:ascii="Book Antiqua" w:hAnsi="Book Antiqua" w:cs="Arial"/>
        </w:rPr>
      </w:pPr>
    </w:p>
    <w:p w:rsidR="00297BE0" w:rsidRDefault="00297BE0">
      <w:pPr>
        <w:tabs>
          <w:tab w:val="left" w:pos="2520"/>
        </w:tabs>
        <w:jc w:val="center"/>
        <w:rPr>
          <w:rFonts w:ascii="Book Antiqua" w:hAnsi="Book Antiqua" w:cs="Arial"/>
        </w:rPr>
      </w:pPr>
      <w:r>
        <w:rPr>
          <w:rFonts w:ascii="Book Antiqua" w:hAnsi="Book Antiqua" w:cs="Arial"/>
          <w:b/>
          <w:u w:val="single"/>
        </w:rPr>
        <w:t>DECISION AND REASONS</w:t>
      </w:r>
    </w:p>
    <w:p w:rsidR="00297BE0" w:rsidRPr="00E9418E" w:rsidRDefault="003B68B7" w:rsidP="00E9418E">
      <w:pPr>
        <w:numPr>
          <w:ilvl w:val="0"/>
          <w:numId w:val="1"/>
        </w:numPr>
        <w:spacing w:before="240"/>
        <w:jc w:val="both"/>
        <w:rPr>
          <w:rFonts w:ascii="Book Antiqua" w:hAnsi="Book Antiqua" w:cs="Arial"/>
        </w:rPr>
      </w:pPr>
      <w:r>
        <w:rPr>
          <w:rFonts w:ascii="Book Antiqua" w:hAnsi="Book Antiqua" w:cs="Arial"/>
        </w:rPr>
        <w:t>The Secretary of State</w:t>
      </w:r>
      <w:r w:rsidR="00297BE0">
        <w:rPr>
          <w:rFonts w:ascii="Book Antiqua" w:hAnsi="Book Antiqua" w:cs="Arial"/>
        </w:rPr>
        <w:t xml:space="preserve"> appeal</w:t>
      </w:r>
      <w:r w:rsidR="00931D50">
        <w:rPr>
          <w:rFonts w:ascii="Book Antiqua" w:hAnsi="Book Antiqua" w:cs="Arial"/>
        </w:rPr>
        <w:t>s</w:t>
      </w:r>
      <w:r w:rsidR="00297BE0">
        <w:rPr>
          <w:rFonts w:ascii="Book Antiqua" w:hAnsi="Book Antiqua" w:cs="Arial"/>
        </w:rPr>
        <w:t xml:space="preserve"> to the Upper Tribunal </w:t>
      </w:r>
      <w:r w:rsidR="00931D50">
        <w:rPr>
          <w:rFonts w:ascii="Book Antiqua" w:hAnsi="Book Antiqua" w:cs="Arial"/>
        </w:rPr>
        <w:t xml:space="preserve">from </w:t>
      </w:r>
      <w:r w:rsidR="00297BE0">
        <w:rPr>
          <w:rFonts w:ascii="Book Antiqua" w:hAnsi="Book Antiqua" w:cs="Arial"/>
        </w:rPr>
        <w:t>the decision of th</w:t>
      </w:r>
      <w:r>
        <w:rPr>
          <w:rFonts w:ascii="Book Antiqua" w:hAnsi="Book Antiqua" w:cs="Arial"/>
        </w:rPr>
        <w:t xml:space="preserve">e First-tier Tribunal </w:t>
      </w:r>
      <w:r w:rsidR="00A45B36">
        <w:rPr>
          <w:rFonts w:ascii="Book Antiqua" w:hAnsi="Book Antiqua" w:cs="Arial"/>
        </w:rPr>
        <w:t>(Judge Boyes sit</w:t>
      </w:r>
      <w:r w:rsidR="00ED5054">
        <w:rPr>
          <w:rFonts w:ascii="Book Antiqua" w:hAnsi="Book Antiqua" w:cs="Arial"/>
        </w:rPr>
        <w:t>ting at Newport on 1 August 2017</w:t>
      </w:r>
      <w:r w:rsidR="001B215D">
        <w:rPr>
          <w:rFonts w:ascii="Book Antiqua" w:hAnsi="Book Antiqua" w:cs="Arial"/>
        </w:rPr>
        <w:t xml:space="preserve">) </w:t>
      </w:r>
      <w:r>
        <w:rPr>
          <w:rFonts w:ascii="Book Antiqua" w:hAnsi="Book Antiqua" w:cs="Arial"/>
        </w:rPr>
        <w:t>allow</w:t>
      </w:r>
      <w:r w:rsidR="001B215D">
        <w:rPr>
          <w:rFonts w:ascii="Book Antiqua" w:hAnsi="Book Antiqua" w:cs="Arial"/>
        </w:rPr>
        <w:t>ing</w:t>
      </w:r>
      <w:r>
        <w:rPr>
          <w:rFonts w:ascii="Book Antiqua" w:hAnsi="Book Antiqua" w:cs="Arial"/>
        </w:rPr>
        <w:t xml:space="preserve"> the </w:t>
      </w:r>
      <w:r w:rsidR="00297BE0">
        <w:rPr>
          <w:rFonts w:ascii="Book Antiqua" w:hAnsi="Book Antiqua" w:cs="Arial"/>
        </w:rPr>
        <w:t>appeal</w:t>
      </w:r>
      <w:r>
        <w:rPr>
          <w:rFonts w:ascii="Book Antiqua" w:hAnsi="Book Antiqua" w:cs="Arial"/>
        </w:rPr>
        <w:t xml:space="preserve"> of the claimant</w:t>
      </w:r>
      <w:r w:rsidR="006F7496">
        <w:rPr>
          <w:rFonts w:ascii="Book Antiqua" w:hAnsi="Book Antiqua" w:cs="Arial"/>
        </w:rPr>
        <w:t xml:space="preserve">, a citizen of Brazil, </w:t>
      </w:r>
      <w:r w:rsidR="001B215D">
        <w:rPr>
          <w:rFonts w:ascii="Book Antiqua" w:hAnsi="Book Antiqua" w:cs="Arial"/>
        </w:rPr>
        <w:t xml:space="preserve">against </w:t>
      </w:r>
      <w:r>
        <w:rPr>
          <w:rFonts w:ascii="Book Antiqua" w:hAnsi="Book Antiqua" w:cs="Arial"/>
        </w:rPr>
        <w:t>the dec</w:t>
      </w:r>
      <w:r w:rsidR="001B215D">
        <w:rPr>
          <w:rFonts w:ascii="Book Antiqua" w:hAnsi="Book Antiqua" w:cs="Arial"/>
        </w:rPr>
        <w:t xml:space="preserve">ision made </w:t>
      </w:r>
      <w:r w:rsidR="00E9418E">
        <w:rPr>
          <w:rFonts w:ascii="Book Antiqua" w:hAnsi="Book Antiqua" w:cs="Arial"/>
        </w:rPr>
        <w:t xml:space="preserve">on 10 June 2016 to refuse to grant her ILR, or further leave to remain, on the ground of ten years’ </w:t>
      </w:r>
      <w:r>
        <w:rPr>
          <w:rFonts w:ascii="Book Antiqua" w:hAnsi="Book Antiqua" w:cs="Arial"/>
        </w:rPr>
        <w:t>continuous lawf</w:t>
      </w:r>
      <w:r w:rsidR="001B215D">
        <w:rPr>
          <w:rFonts w:ascii="Book Antiqua" w:hAnsi="Book Antiqua" w:cs="Arial"/>
        </w:rPr>
        <w:t xml:space="preserve">ul residence </w:t>
      </w:r>
      <w:r w:rsidR="00E9418E">
        <w:rPr>
          <w:rFonts w:ascii="Book Antiqua" w:hAnsi="Book Antiqua" w:cs="Arial"/>
        </w:rPr>
        <w:t xml:space="preserve">or on the ground of family life established with her British national spouse since December 2007. </w:t>
      </w:r>
      <w:r w:rsidR="00297BE0" w:rsidRPr="00E9418E">
        <w:rPr>
          <w:rFonts w:ascii="Book Antiqua" w:hAnsi="Book Antiqua" w:cs="Arial"/>
        </w:rPr>
        <w:t>The First-tier Tribunal did not make an anonymity direction, and I do not consider that</w:t>
      </w:r>
      <w:r w:rsidRPr="00E9418E">
        <w:rPr>
          <w:rFonts w:ascii="Book Antiqua" w:hAnsi="Book Antiqua" w:cs="Arial"/>
        </w:rPr>
        <w:t xml:space="preserve"> such a direction is warranted </w:t>
      </w:r>
      <w:r w:rsidR="00297BE0" w:rsidRPr="00E9418E">
        <w:rPr>
          <w:rFonts w:ascii="Book Antiqua" w:hAnsi="Book Antiqua" w:cs="Arial"/>
        </w:rPr>
        <w:t>for these proceedings in the Upper Tribunal.</w:t>
      </w:r>
      <w:r w:rsidRPr="00E9418E">
        <w:rPr>
          <w:rFonts w:ascii="Book Antiqua" w:hAnsi="Book Antiqua" w:cs="Arial"/>
        </w:rPr>
        <w:t xml:space="preserve"> </w:t>
      </w:r>
    </w:p>
    <w:p w:rsidR="00297BE0" w:rsidRDefault="00297BE0">
      <w:pPr>
        <w:spacing w:before="240"/>
        <w:jc w:val="both"/>
        <w:rPr>
          <w:rFonts w:ascii="Book Antiqua" w:hAnsi="Book Antiqua" w:cs="Arial"/>
          <w:b/>
          <w:bCs/>
          <w:u w:val="single"/>
        </w:rPr>
      </w:pPr>
      <w:r>
        <w:rPr>
          <w:rFonts w:ascii="Book Antiqua" w:hAnsi="Book Antiqua" w:cs="Arial"/>
          <w:b/>
          <w:bCs/>
          <w:u w:val="single"/>
        </w:rPr>
        <w:lastRenderedPageBreak/>
        <w:t>The Reason for the Grant for Permission to Appeal</w:t>
      </w:r>
    </w:p>
    <w:p w:rsidR="00931D50" w:rsidRDefault="00E9418E">
      <w:pPr>
        <w:numPr>
          <w:ilvl w:val="0"/>
          <w:numId w:val="1"/>
        </w:numPr>
        <w:spacing w:before="240"/>
        <w:jc w:val="both"/>
        <w:rPr>
          <w:rFonts w:ascii="Book Antiqua" w:hAnsi="Book Antiqua" w:cs="Arial"/>
        </w:rPr>
      </w:pPr>
      <w:r>
        <w:rPr>
          <w:rFonts w:ascii="Book Antiqua" w:hAnsi="Book Antiqua" w:cs="Arial"/>
        </w:rPr>
        <w:t>On 30</w:t>
      </w:r>
      <w:r w:rsidR="001B215D">
        <w:rPr>
          <w:rFonts w:ascii="Book Antiqua" w:hAnsi="Book Antiqua" w:cs="Arial"/>
        </w:rPr>
        <w:t xml:space="preserve"> January 2018 </w:t>
      </w:r>
      <w:r w:rsidR="00297BE0">
        <w:rPr>
          <w:rFonts w:ascii="Book Antiqua" w:hAnsi="Book Antiqua" w:cs="Arial"/>
        </w:rPr>
        <w:t xml:space="preserve">First-tier Tribunal Judge </w:t>
      </w:r>
      <w:proofErr w:type="spellStart"/>
      <w:r>
        <w:rPr>
          <w:rFonts w:ascii="Book Antiqua" w:hAnsi="Book Antiqua" w:cs="Arial"/>
        </w:rPr>
        <w:t>Ransley</w:t>
      </w:r>
      <w:proofErr w:type="spellEnd"/>
      <w:r w:rsidR="001B215D">
        <w:rPr>
          <w:rFonts w:ascii="Book Antiqua" w:hAnsi="Book Antiqua" w:cs="Arial"/>
        </w:rPr>
        <w:t xml:space="preserve"> granted the Secretary of State permission to appeal as it was arguable that </w:t>
      </w:r>
      <w:r w:rsidR="00CD6C01">
        <w:rPr>
          <w:rFonts w:ascii="Book Antiqua" w:hAnsi="Book Antiqua" w:cs="Arial"/>
        </w:rPr>
        <w:t xml:space="preserve">Judge Boyes </w:t>
      </w:r>
      <w:r>
        <w:rPr>
          <w:rFonts w:ascii="Book Antiqua" w:hAnsi="Book Antiqua" w:cs="Arial"/>
        </w:rPr>
        <w:t>had failed to give adequate reasons for his findings on the material issues in the appeal; that he had failed to engage with the clear reasons for refusal; and that he had also failed to give adequate reasons for allowing the appeal.</w:t>
      </w:r>
    </w:p>
    <w:p w:rsidR="00297BE0" w:rsidRDefault="001B215D">
      <w:pPr>
        <w:spacing w:before="240"/>
        <w:jc w:val="both"/>
        <w:rPr>
          <w:rFonts w:ascii="Book Antiqua" w:hAnsi="Book Antiqua" w:cs="Arial"/>
          <w:b/>
          <w:bCs/>
          <w:u w:val="single"/>
        </w:rPr>
      </w:pPr>
      <w:r>
        <w:rPr>
          <w:rFonts w:ascii="Book Antiqua" w:hAnsi="Book Antiqua" w:cs="Arial"/>
          <w:b/>
          <w:bCs/>
          <w:u w:val="single"/>
        </w:rPr>
        <w:t xml:space="preserve">The </w:t>
      </w:r>
      <w:r w:rsidR="004152C3">
        <w:rPr>
          <w:rFonts w:ascii="Book Antiqua" w:hAnsi="Book Antiqua" w:cs="Arial"/>
          <w:b/>
          <w:bCs/>
          <w:u w:val="single"/>
        </w:rPr>
        <w:t xml:space="preserve">Error of Law </w:t>
      </w:r>
      <w:r w:rsidR="000B39A3">
        <w:rPr>
          <w:rFonts w:ascii="Book Antiqua" w:hAnsi="Book Antiqua" w:cs="Arial"/>
          <w:b/>
          <w:bCs/>
          <w:u w:val="single"/>
        </w:rPr>
        <w:t>Hearing on 26 April 2018</w:t>
      </w:r>
    </w:p>
    <w:p w:rsidR="004152C3" w:rsidRDefault="00F61358">
      <w:pPr>
        <w:numPr>
          <w:ilvl w:val="0"/>
          <w:numId w:val="1"/>
        </w:numPr>
        <w:spacing w:before="240"/>
        <w:jc w:val="both"/>
        <w:rPr>
          <w:rFonts w:ascii="Book Antiqua" w:hAnsi="Book Antiqua" w:cs="Arial"/>
        </w:rPr>
      </w:pPr>
      <w:r>
        <w:rPr>
          <w:rFonts w:ascii="Book Antiqua" w:hAnsi="Book Antiqua" w:cs="Arial"/>
        </w:rPr>
        <w:t>At the hearing before me</w:t>
      </w:r>
      <w:r w:rsidR="00CD6C01">
        <w:rPr>
          <w:rFonts w:ascii="Book Antiqua" w:hAnsi="Book Antiqua" w:cs="Arial"/>
        </w:rPr>
        <w:t xml:space="preserve"> to determine whether an error of law was made out</w:t>
      </w:r>
      <w:r>
        <w:rPr>
          <w:rFonts w:ascii="Book Antiqua" w:hAnsi="Book Antiqua" w:cs="Arial"/>
        </w:rPr>
        <w:t xml:space="preserve">, </w:t>
      </w:r>
      <w:r w:rsidR="00CD6C01">
        <w:rPr>
          <w:rFonts w:ascii="Book Antiqua" w:hAnsi="Book Antiqua" w:cs="Arial"/>
        </w:rPr>
        <w:t xml:space="preserve">the claimant was in attendance. </w:t>
      </w:r>
      <w:r>
        <w:rPr>
          <w:rFonts w:ascii="Book Antiqua" w:hAnsi="Book Antiqua" w:cs="Arial"/>
        </w:rPr>
        <w:t>Miss Isherwood developed the case advanced in the grounds of appeal</w:t>
      </w:r>
      <w:r w:rsidR="00CD6C01">
        <w:rPr>
          <w:rFonts w:ascii="Book Antiqua" w:hAnsi="Book Antiqua" w:cs="Arial"/>
        </w:rPr>
        <w:t xml:space="preserve">. </w:t>
      </w:r>
      <w:r w:rsidR="00D54283">
        <w:rPr>
          <w:rFonts w:ascii="Book Antiqua" w:hAnsi="Book Antiqua" w:cs="Arial"/>
        </w:rPr>
        <w:t>[</w:t>
      </w:r>
      <w:r w:rsidR="00CD6C01">
        <w:rPr>
          <w:rFonts w:ascii="Book Antiqua" w:hAnsi="Book Antiqua" w:cs="Arial"/>
        </w:rPr>
        <w:t>AK</w:t>
      </w:r>
      <w:r w:rsidR="00D54283">
        <w:rPr>
          <w:rFonts w:ascii="Book Antiqua" w:hAnsi="Book Antiqua" w:cs="Arial"/>
        </w:rPr>
        <w:t>]</w:t>
      </w:r>
      <w:r w:rsidR="00CD6C01">
        <w:rPr>
          <w:rFonts w:ascii="Book Antiqua" w:hAnsi="Book Antiqua" w:cs="Arial"/>
        </w:rPr>
        <w:t>, the claim</w:t>
      </w:r>
      <w:r>
        <w:rPr>
          <w:rFonts w:ascii="Book Antiqua" w:hAnsi="Book Antiqua" w:cs="Arial"/>
        </w:rPr>
        <w:t xml:space="preserve">ant’s spouse and sponsor, responded on her behalf. He gave me an account of the hearing before Judge Boyes and he answered questions from me for clarification purposes arising from the limited documentary evidence in the file, which included a communication from him to the Home Office in April 2016 confirming that he was not pressing charges against his wife for – as he confirmed orally – an alleged offence of domestic violence committed </w:t>
      </w:r>
      <w:r w:rsidR="004152C3">
        <w:rPr>
          <w:rFonts w:ascii="Book Antiqua" w:hAnsi="Book Antiqua" w:cs="Arial"/>
        </w:rPr>
        <w:t xml:space="preserve">by her against him, which led to the police being called and, at his request, his wife being taken away into police custody. </w:t>
      </w:r>
    </w:p>
    <w:p w:rsidR="0073369C" w:rsidRDefault="004152C3">
      <w:pPr>
        <w:numPr>
          <w:ilvl w:val="0"/>
          <w:numId w:val="1"/>
        </w:numPr>
        <w:spacing w:before="240"/>
        <w:jc w:val="both"/>
        <w:rPr>
          <w:rFonts w:ascii="Book Antiqua" w:hAnsi="Book Antiqua" w:cs="Arial"/>
        </w:rPr>
      </w:pPr>
      <w:r>
        <w:rPr>
          <w:rFonts w:ascii="Book Antiqua" w:hAnsi="Book Antiqua" w:cs="Arial"/>
        </w:rPr>
        <w:t xml:space="preserve">I ruled that an error of law was made out such that the decision of the First-tier Tribunal should be set aside, and I indicated my reasons for so finding in short form. My written reasons are set out below. After a further discussion, it was agreed that the second stage (the remaking of the decision) should be adjourned to a further hearing </w:t>
      </w:r>
      <w:r w:rsidR="0073369C">
        <w:rPr>
          <w:rFonts w:ascii="Book Antiqua" w:hAnsi="Book Antiqua" w:cs="Arial"/>
        </w:rPr>
        <w:t xml:space="preserve">before me </w:t>
      </w:r>
      <w:r>
        <w:rPr>
          <w:rFonts w:ascii="Book Antiqua" w:hAnsi="Book Antiqua" w:cs="Arial"/>
        </w:rPr>
        <w:t xml:space="preserve">on 15 June 2016 at Field House so as to enable the sponsor to assemble and serve </w:t>
      </w:r>
      <w:r w:rsidR="0073369C">
        <w:rPr>
          <w:rFonts w:ascii="Book Antiqua" w:hAnsi="Book Antiqua" w:cs="Arial"/>
        </w:rPr>
        <w:t xml:space="preserve">beforehand </w:t>
      </w:r>
      <w:r>
        <w:rPr>
          <w:rFonts w:ascii="Book Antiqua" w:hAnsi="Book Antiqua" w:cs="Arial"/>
        </w:rPr>
        <w:t>the specified evidence in Appen</w:t>
      </w:r>
      <w:r w:rsidR="0073369C">
        <w:rPr>
          <w:rFonts w:ascii="Book Antiqua" w:hAnsi="Book Antiqua" w:cs="Arial"/>
        </w:rPr>
        <w:t>dix FM-SE to prove</w:t>
      </w:r>
      <w:r>
        <w:rPr>
          <w:rFonts w:ascii="Book Antiqua" w:hAnsi="Book Antiqua" w:cs="Arial"/>
        </w:rPr>
        <w:t xml:space="preserve"> that he is</w:t>
      </w:r>
      <w:r w:rsidR="0073369C">
        <w:rPr>
          <w:rFonts w:ascii="Book Antiqua" w:hAnsi="Book Antiqua" w:cs="Arial"/>
        </w:rPr>
        <w:t xml:space="preserve"> in stable and permanent employment, earning an annual s</w:t>
      </w:r>
      <w:r w:rsidR="006F7496">
        <w:rPr>
          <w:rFonts w:ascii="Book Antiqua" w:hAnsi="Book Antiqua" w:cs="Arial"/>
        </w:rPr>
        <w:t>alary which matches or exceeds</w:t>
      </w:r>
      <w:r w:rsidR="0073369C">
        <w:rPr>
          <w:rFonts w:ascii="Book Antiqua" w:hAnsi="Book Antiqua" w:cs="Arial"/>
        </w:rPr>
        <w:t xml:space="preserve"> the Minimum Income Requirement (“MIR”) of £18,600 per a</w:t>
      </w:r>
      <w:r w:rsidR="00CD6C01">
        <w:rPr>
          <w:rFonts w:ascii="Book Antiqua" w:hAnsi="Book Antiqua" w:cs="Arial"/>
        </w:rPr>
        <w:t>nnum. I also directed the claimant and the sponsor to serve</w:t>
      </w:r>
      <w:r w:rsidR="0073369C">
        <w:rPr>
          <w:rFonts w:ascii="Book Antiqua" w:hAnsi="Book Antiqua" w:cs="Arial"/>
        </w:rPr>
        <w:t xml:space="preserve"> signed witness statements testifying to the fact that their marriage is genuine and subsisting, as no such evidence had been provided to Judge Boyes. </w:t>
      </w:r>
    </w:p>
    <w:p w:rsidR="0073369C" w:rsidRPr="0073369C" w:rsidRDefault="0073369C" w:rsidP="0073369C">
      <w:pPr>
        <w:spacing w:before="240"/>
        <w:jc w:val="both"/>
        <w:rPr>
          <w:rFonts w:ascii="Book Antiqua" w:hAnsi="Book Antiqua" w:cs="Arial"/>
          <w:b/>
          <w:u w:val="single"/>
        </w:rPr>
      </w:pPr>
      <w:r>
        <w:rPr>
          <w:rFonts w:ascii="Book Antiqua" w:hAnsi="Book Antiqua" w:cs="Arial"/>
          <w:b/>
          <w:u w:val="single"/>
        </w:rPr>
        <w:t>Reasons for finding an Error of Law</w:t>
      </w:r>
    </w:p>
    <w:p w:rsidR="00FB0691" w:rsidRDefault="0073369C" w:rsidP="0073369C">
      <w:pPr>
        <w:numPr>
          <w:ilvl w:val="0"/>
          <w:numId w:val="1"/>
        </w:numPr>
        <w:spacing w:before="240"/>
        <w:jc w:val="both"/>
        <w:rPr>
          <w:rFonts w:ascii="Book Antiqua" w:hAnsi="Book Antiqua" w:cs="Arial"/>
        </w:rPr>
      </w:pPr>
      <w:r>
        <w:rPr>
          <w:rFonts w:ascii="Book Antiqua" w:hAnsi="Book Antiqua" w:cs="Arial"/>
        </w:rPr>
        <w:t>Judge Boyes’ very short decision failed to fulfil the essential function of explaining to the losing party why they had lost. He also appears to have proceeded on the</w:t>
      </w:r>
      <w:r w:rsidR="00CD6C01">
        <w:rPr>
          <w:rFonts w:ascii="Book Antiqua" w:hAnsi="Book Antiqua" w:cs="Arial"/>
        </w:rPr>
        <w:t xml:space="preserve"> erroneous basis that the claim</w:t>
      </w:r>
      <w:r>
        <w:rPr>
          <w:rFonts w:ascii="Book Antiqua" w:hAnsi="Book Antiqua" w:cs="Arial"/>
        </w:rPr>
        <w:t xml:space="preserve">ant qualified for ILR under the Rules </w:t>
      </w:r>
      <w:r w:rsidR="00FB0691">
        <w:rPr>
          <w:rFonts w:ascii="Book Antiqua" w:hAnsi="Book Antiqua" w:cs="Arial"/>
        </w:rPr>
        <w:t>as she had accrued over ten years’ continuous lawful residence. While it was true that she had ben lawfully resident</w:t>
      </w:r>
      <w:r w:rsidR="00CD6C01">
        <w:rPr>
          <w:rFonts w:ascii="Book Antiqua" w:hAnsi="Book Antiqua" w:cs="Arial"/>
        </w:rPr>
        <w:t xml:space="preserve"> in the UK from 7 January 2005 (</w:t>
      </w:r>
      <w:r w:rsidR="00FB0691">
        <w:rPr>
          <w:rFonts w:ascii="Book Antiqua" w:hAnsi="Book Antiqua" w:cs="Arial"/>
        </w:rPr>
        <w:t>when she was granted limit</w:t>
      </w:r>
      <w:r w:rsidR="00CD6C01">
        <w:rPr>
          <w:rFonts w:ascii="Book Antiqua" w:hAnsi="Book Antiqua" w:cs="Arial"/>
        </w:rPr>
        <w:t>ed leave to remain as a student)</w:t>
      </w:r>
      <w:r w:rsidR="00FB0691">
        <w:rPr>
          <w:rFonts w:ascii="Book Antiqua" w:hAnsi="Book Antiqua" w:cs="Arial"/>
        </w:rPr>
        <w:t xml:space="preserve"> </w:t>
      </w:r>
      <w:r w:rsidR="00CD6C01">
        <w:rPr>
          <w:rFonts w:ascii="Book Antiqua" w:hAnsi="Book Antiqua" w:cs="Arial"/>
        </w:rPr>
        <w:t>through a combination of successive</w:t>
      </w:r>
      <w:r w:rsidR="00FB0691">
        <w:rPr>
          <w:rFonts w:ascii="Book Antiqua" w:hAnsi="Book Antiqua" w:cs="Arial"/>
        </w:rPr>
        <w:t xml:space="preserve"> grants of leave and - latterly - Section 3C leave, he failed to appreciate that her two grants of DL </w:t>
      </w:r>
      <w:r w:rsidR="00FD36FC">
        <w:rPr>
          <w:rFonts w:ascii="Book Antiqua" w:hAnsi="Book Antiqua" w:cs="Arial"/>
        </w:rPr>
        <w:t xml:space="preserve">as the spouse of the sponsor </w:t>
      </w:r>
      <w:r w:rsidR="00FB0691">
        <w:rPr>
          <w:rFonts w:ascii="Book Antiqua" w:hAnsi="Book Antiqua" w:cs="Arial"/>
        </w:rPr>
        <w:t>from 22 June 2010 to 23 July 2016 did not count towards lawful residence for the purposes of compliance with Rule 276.</w:t>
      </w:r>
    </w:p>
    <w:p w:rsidR="00FD36FC" w:rsidRDefault="00FB0691" w:rsidP="0073369C">
      <w:pPr>
        <w:numPr>
          <w:ilvl w:val="0"/>
          <w:numId w:val="1"/>
        </w:numPr>
        <w:spacing w:before="240"/>
        <w:jc w:val="both"/>
        <w:rPr>
          <w:rFonts w:ascii="Book Antiqua" w:hAnsi="Book Antiqua" w:cs="Arial"/>
        </w:rPr>
      </w:pPr>
      <w:r>
        <w:rPr>
          <w:rFonts w:ascii="Book Antiqua" w:hAnsi="Book Antiqua" w:cs="Arial"/>
        </w:rPr>
        <w:t xml:space="preserve">For the </w:t>
      </w:r>
      <w:r w:rsidR="00CD6C01">
        <w:rPr>
          <w:rFonts w:ascii="Book Antiqua" w:hAnsi="Book Antiqua" w:cs="Arial"/>
        </w:rPr>
        <w:t>above reason, the claim</w:t>
      </w:r>
      <w:r>
        <w:rPr>
          <w:rFonts w:ascii="Book Antiqua" w:hAnsi="Book Antiqua" w:cs="Arial"/>
        </w:rPr>
        <w:t xml:space="preserve">ant was always only potentially eligible for a grant of further limited leave to remain. </w:t>
      </w:r>
      <w:r w:rsidR="00FD36FC">
        <w:rPr>
          <w:rFonts w:ascii="Book Antiqua" w:hAnsi="Book Antiqua" w:cs="Arial"/>
        </w:rPr>
        <w:t xml:space="preserve">As the sponsor agreed in discussion with me, it is reasonable to infer that the requests for the couple to attend a marriage interview made </w:t>
      </w:r>
      <w:r w:rsidR="00FD36FC">
        <w:rPr>
          <w:rFonts w:ascii="Book Antiqua" w:hAnsi="Book Antiqua" w:cs="Arial"/>
        </w:rPr>
        <w:lastRenderedPageBreak/>
        <w:t xml:space="preserve">on 17 April 2016 and again on 25 May 2016 – which the Home Office say were sent by post to the couple’s address </w:t>
      </w:r>
      <w:r w:rsidR="00FD36FC">
        <w:rPr>
          <w:rFonts w:ascii="Book Antiqua" w:hAnsi="Book Antiqua" w:cs="Arial"/>
          <w:u w:val="single"/>
        </w:rPr>
        <w:t>and</w:t>
      </w:r>
      <w:r w:rsidR="00FD36FC">
        <w:rPr>
          <w:rFonts w:ascii="Book Antiqua" w:hAnsi="Book Antiqua" w:cs="Arial"/>
        </w:rPr>
        <w:t xml:space="preserve"> by email to the sponsor -  were triggered by legitimate concerns about the subsistence of the marriage following an apparent tip off from the police to </w:t>
      </w:r>
      <w:r>
        <w:rPr>
          <w:rFonts w:ascii="Book Antiqua" w:hAnsi="Book Antiqua" w:cs="Arial"/>
        </w:rPr>
        <w:t xml:space="preserve">the Home Office </w:t>
      </w:r>
      <w:r w:rsidR="00CD6C01">
        <w:rPr>
          <w:rFonts w:ascii="Book Antiqua" w:hAnsi="Book Antiqua" w:cs="Arial"/>
        </w:rPr>
        <w:t>about the claim</w:t>
      </w:r>
      <w:r w:rsidR="00FD36FC">
        <w:rPr>
          <w:rFonts w:ascii="Book Antiqua" w:hAnsi="Book Antiqua" w:cs="Arial"/>
        </w:rPr>
        <w:t>ant being arrested and held overnight for an offence of domestic violence.</w:t>
      </w:r>
    </w:p>
    <w:p w:rsidR="0036661C" w:rsidRDefault="00FD36FC" w:rsidP="0073369C">
      <w:pPr>
        <w:numPr>
          <w:ilvl w:val="0"/>
          <w:numId w:val="1"/>
        </w:numPr>
        <w:spacing w:before="240"/>
        <w:jc w:val="both"/>
        <w:rPr>
          <w:rFonts w:ascii="Book Antiqua" w:hAnsi="Book Antiqua" w:cs="Arial"/>
        </w:rPr>
      </w:pPr>
      <w:r>
        <w:rPr>
          <w:rFonts w:ascii="Book Antiqua" w:hAnsi="Book Antiqua" w:cs="Arial"/>
        </w:rPr>
        <w:t xml:space="preserve">Against this background, </w:t>
      </w:r>
      <w:r w:rsidR="0036661C">
        <w:rPr>
          <w:rFonts w:ascii="Book Antiqua" w:hAnsi="Book Antiqua" w:cs="Arial"/>
        </w:rPr>
        <w:t xml:space="preserve">to which the Judge made no reference at all (even though it was signposted in the Home Office bundle), </w:t>
      </w:r>
      <w:r>
        <w:rPr>
          <w:rFonts w:ascii="Book Antiqua" w:hAnsi="Book Antiqua" w:cs="Arial"/>
        </w:rPr>
        <w:t xml:space="preserve">the Judge did not give adequate reasons for </w:t>
      </w:r>
      <w:r w:rsidR="0036661C">
        <w:rPr>
          <w:rFonts w:ascii="Book Antiqua" w:hAnsi="Book Antiqua" w:cs="Arial"/>
        </w:rPr>
        <w:t>accepting that the reason for the couple not responding to either request was because they had never received them; or for finding that the marriage was genuine and subsisting.</w:t>
      </w:r>
    </w:p>
    <w:p w:rsidR="00CD6C01" w:rsidRDefault="00CD6C01" w:rsidP="0073369C">
      <w:pPr>
        <w:numPr>
          <w:ilvl w:val="0"/>
          <w:numId w:val="1"/>
        </w:numPr>
        <w:spacing w:before="240"/>
        <w:jc w:val="both"/>
        <w:rPr>
          <w:rFonts w:ascii="Book Antiqua" w:hAnsi="Book Antiqua" w:cs="Arial"/>
        </w:rPr>
      </w:pPr>
      <w:r>
        <w:rPr>
          <w:rFonts w:ascii="Book Antiqua" w:hAnsi="Book Antiqua" w:cs="Arial"/>
        </w:rPr>
        <w:t>Moreover, while it was open to the Judge to find that</w:t>
      </w:r>
      <w:r w:rsidR="0036661C">
        <w:rPr>
          <w:rFonts w:ascii="Book Antiqua" w:hAnsi="Book Antiqua" w:cs="Arial"/>
        </w:rPr>
        <w:t xml:space="preserve"> the marriage was genuine and subsisting</w:t>
      </w:r>
      <w:r>
        <w:rPr>
          <w:rFonts w:ascii="Book Antiqua" w:hAnsi="Book Antiqua" w:cs="Arial"/>
        </w:rPr>
        <w:t xml:space="preserve"> (provided he gave adequate reasons for doing so)</w:t>
      </w:r>
      <w:r w:rsidR="0036661C">
        <w:rPr>
          <w:rFonts w:ascii="Book Antiqua" w:hAnsi="Book Antiqua" w:cs="Arial"/>
        </w:rPr>
        <w:t xml:space="preserve">, the Judge </w:t>
      </w:r>
      <w:r>
        <w:rPr>
          <w:rFonts w:ascii="Book Antiqua" w:hAnsi="Book Antiqua" w:cs="Arial"/>
        </w:rPr>
        <w:t xml:space="preserve">also needed to engage with </w:t>
      </w:r>
      <w:r w:rsidR="0036661C">
        <w:rPr>
          <w:rFonts w:ascii="Book Antiqua" w:hAnsi="Book Antiqua" w:cs="Arial"/>
        </w:rPr>
        <w:t>other relevant requi</w:t>
      </w:r>
      <w:r>
        <w:rPr>
          <w:rFonts w:ascii="Book Antiqua" w:hAnsi="Book Antiqua" w:cs="Arial"/>
        </w:rPr>
        <w:t>rements in</w:t>
      </w:r>
      <w:r w:rsidR="0036661C">
        <w:rPr>
          <w:rFonts w:ascii="Book Antiqua" w:hAnsi="Book Antiqua" w:cs="Arial"/>
        </w:rPr>
        <w:t xml:space="preserve"> Appendix FM</w:t>
      </w:r>
      <w:r>
        <w:rPr>
          <w:rFonts w:ascii="Book Antiqua" w:hAnsi="Book Antiqua" w:cs="Arial"/>
        </w:rPr>
        <w:t xml:space="preserve"> in order to explain why he was allowing the claimant’s human rights claim</w:t>
      </w:r>
      <w:r w:rsidR="0036661C">
        <w:rPr>
          <w:rFonts w:ascii="Book Antiqua" w:hAnsi="Book Antiqua" w:cs="Arial"/>
        </w:rPr>
        <w:t xml:space="preserve">. It was not </w:t>
      </w:r>
      <w:r>
        <w:rPr>
          <w:rFonts w:ascii="Book Antiqua" w:hAnsi="Book Antiqua" w:cs="Arial"/>
        </w:rPr>
        <w:t>the claim</w:t>
      </w:r>
      <w:r w:rsidR="0036661C">
        <w:rPr>
          <w:rFonts w:ascii="Book Antiqua" w:hAnsi="Book Antiqua" w:cs="Arial"/>
        </w:rPr>
        <w:t xml:space="preserve">ant’s case that EX.1 was in play, and so </w:t>
      </w:r>
      <w:r w:rsidR="00252017">
        <w:rPr>
          <w:rFonts w:ascii="Book Antiqua" w:hAnsi="Book Antiqua" w:cs="Arial"/>
        </w:rPr>
        <w:t xml:space="preserve">to qualify for further limited leave to remain under the Rules </w:t>
      </w:r>
      <w:r w:rsidR="0036661C">
        <w:rPr>
          <w:rFonts w:ascii="Book Antiqua" w:hAnsi="Book Antiqua" w:cs="Arial"/>
        </w:rPr>
        <w:t>she needed to satisfy the financial requir</w:t>
      </w:r>
      <w:r w:rsidR="00252017">
        <w:rPr>
          <w:rFonts w:ascii="Book Antiqua" w:hAnsi="Book Antiqua" w:cs="Arial"/>
        </w:rPr>
        <w:t>ements of Appendix FM. But the Judge made no finding on whether she was likely to meet the MIR.</w:t>
      </w:r>
    </w:p>
    <w:p w:rsidR="00CD6C01" w:rsidRDefault="00CD6C01" w:rsidP="0073369C">
      <w:pPr>
        <w:numPr>
          <w:ilvl w:val="0"/>
          <w:numId w:val="1"/>
        </w:numPr>
        <w:spacing w:before="240"/>
        <w:jc w:val="both"/>
        <w:rPr>
          <w:rFonts w:ascii="Book Antiqua" w:hAnsi="Book Antiqua" w:cs="Arial"/>
        </w:rPr>
      </w:pPr>
      <w:r>
        <w:rPr>
          <w:rFonts w:ascii="Book Antiqua" w:hAnsi="Book Antiqua" w:cs="Arial"/>
        </w:rPr>
        <w:t>The upshot is that the Judge did not give adequate reasons for allowing the claimant’</w:t>
      </w:r>
      <w:r w:rsidR="00252017">
        <w:rPr>
          <w:rFonts w:ascii="Book Antiqua" w:hAnsi="Book Antiqua" w:cs="Arial"/>
        </w:rPr>
        <w:t>s appeal, and so his decision is vitiated by a material error of law such that it must be set aside in its entirety.</w:t>
      </w:r>
    </w:p>
    <w:p w:rsidR="00252017" w:rsidRPr="00252017" w:rsidRDefault="000B39A3" w:rsidP="00252017">
      <w:pPr>
        <w:spacing w:before="240"/>
        <w:jc w:val="both"/>
        <w:rPr>
          <w:rFonts w:ascii="Book Antiqua" w:hAnsi="Book Antiqua" w:cs="Arial"/>
          <w:b/>
          <w:u w:val="single"/>
        </w:rPr>
      </w:pPr>
      <w:r>
        <w:rPr>
          <w:rFonts w:ascii="Book Antiqua" w:hAnsi="Book Antiqua" w:cs="Arial"/>
          <w:b/>
          <w:u w:val="single"/>
        </w:rPr>
        <w:t>The Resumed Hearing on 15 June 2018</w:t>
      </w:r>
    </w:p>
    <w:p w:rsidR="006F7496" w:rsidRDefault="000B39A3" w:rsidP="00252017">
      <w:pPr>
        <w:numPr>
          <w:ilvl w:val="0"/>
          <w:numId w:val="1"/>
        </w:numPr>
        <w:spacing w:before="240"/>
        <w:jc w:val="both"/>
        <w:rPr>
          <w:rFonts w:ascii="Book Antiqua" w:hAnsi="Book Antiqua" w:cs="Arial"/>
        </w:rPr>
      </w:pPr>
      <w:r>
        <w:rPr>
          <w:rFonts w:ascii="Book Antiqua" w:hAnsi="Book Antiqua" w:cs="Arial"/>
        </w:rPr>
        <w:t>At the outset of the resumed hearing to remake the decision it was apparent that there had been only partial compliance with my directions. The sponsor had served some of the specified evidence in Appendix FM-SE, but there were still gaps, such as an absence of a run of bank statements covering the same period as the payslips. Also, nei</w:t>
      </w:r>
      <w:r w:rsidR="00244BA2">
        <w:rPr>
          <w:rFonts w:ascii="Book Antiqua" w:hAnsi="Book Antiqua" w:cs="Arial"/>
        </w:rPr>
        <w:t xml:space="preserve">ther he nor his wife had made </w:t>
      </w:r>
      <w:r>
        <w:rPr>
          <w:rFonts w:ascii="Book Antiqua" w:hAnsi="Book Antiqua" w:cs="Arial"/>
        </w:rPr>
        <w:t>witness statement</w:t>
      </w:r>
      <w:r w:rsidR="00244BA2">
        <w:rPr>
          <w:rFonts w:ascii="Book Antiqua" w:hAnsi="Book Antiqua" w:cs="Arial"/>
        </w:rPr>
        <w:t>s testifying to the status of their marital</w:t>
      </w:r>
      <w:r>
        <w:rPr>
          <w:rFonts w:ascii="Book Antiqua" w:hAnsi="Book Antiqua" w:cs="Arial"/>
        </w:rPr>
        <w:t xml:space="preserve"> relationship.</w:t>
      </w:r>
      <w:r w:rsidR="00244BA2">
        <w:rPr>
          <w:rFonts w:ascii="Book Antiqua" w:hAnsi="Book Antiqua" w:cs="Arial"/>
        </w:rPr>
        <w:t xml:space="preserve"> However, this was less of a problem</w:t>
      </w:r>
      <w:r>
        <w:rPr>
          <w:rFonts w:ascii="Book Antiqua" w:hAnsi="Book Antiqua" w:cs="Arial"/>
        </w:rPr>
        <w:t xml:space="preserve"> as they were available to be cross-examined.</w:t>
      </w:r>
    </w:p>
    <w:p w:rsidR="000B39A3" w:rsidRDefault="000B39A3" w:rsidP="00252017">
      <w:pPr>
        <w:numPr>
          <w:ilvl w:val="0"/>
          <w:numId w:val="1"/>
        </w:numPr>
        <w:spacing w:before="240"/>
        <w:jc w:val="both"/>
        <w:rPr>
          <w:rFonts w:ascii="Book Antiqua" w:hAnsi="Book Antiqua" w:cs="Arial"/>
        </w:rPr>
      </w:pPr>
      <w:r>
        <w:rPr>
          <w:rFonts w:ascii="Book Antiqua" w:hAnsi="Book Antiqua" w:cs="Arial"/>
        </w:rPr>
        <w:t>I arranged to have copied an email which each of them had sent</w:t>
      </w:r>
      <w:r w:rsidR="002D3D63">
        <w:rPr>
          <w:rFonts w:ascii="Book Antiqua" w:hAnsi="Book Antiqua" w:cs="Arial"/>
        </w:rPr>
        <w:t xml:space="preserve"> to Miss Isherwood confirming that they were still happily married</w:t>
      </w:r>
      <w:r>
        <w:rPr>
          <w:rFonts w:ascii="Book Antiqua" w:hAnsi="Book Antiqua" w:cs="Arial"/>
        </w:rPr>
        <w:t>, and also</w:t>
      </w:r>
      <w:r w:rsidR="002D3D63">
        <w:rPr>
          <w:rFonts w:ascii="Book Antiqua" w:hAnsi="Book Antiqua" w:cs="Arial"/>
        </w:rPr>
        <w:t xml:space="preserve"> an email dated 11 June 2018 from </w:t>
      </w:r>
      <w:r w:rsidR="00CE5FF7">
        <w:rPr>
          <w:rFonts w:ascii="Book Antiqua" w:hAnsi="Book Antiqua" w:cs="Arial"/>
        </w:rPr>
        <w:t>[</w:t>
      </w:r>
      <w:r w:rsidR="002D3D63">
        <w:rPr>
          <w:rFonts w:ascii="Book Antiqua" w:hAnsi="Book Antiqua" w:cs="Arial"/>
        </w:rPr>
        <w:t>NW</w:t>
      </w:r>
      <w:r w:rsidR="00CE5FF7">
        <w:rPr>
          <w:rFonts w:ascii="Book Antiqua" w:hAnsi="Book Antiqua" w:cs="Arial"/>
        </w:rPr>
        <w:t>]</w:t>
      </w:r>
      <w:r w:rsidR="002D3D63">
        <w:rPr>
          <w:rFonts w:ascii="Book Antiqua" w:hAnsi="Book Antiqua" w:cs="Arial"/>
        </w:rPr>
        <w:t xml:space="preserve">, Senior Site Manager at </w:t>
      </w:r>
      <w:r w:rsidR="00CE5FF7">
        <w:rPr>
          <w:rFonts w:ascii="Book Antiqua" w:hAnsi="Book Antiqua" w:cs="Arial"/>
        </w:rPr>
        <w:t xml:space="preserve">[ ] </w:t>
      </w:r>
      <w:r w:rsidR="002D3D63">
        <w:rPr>
          <w:rFonts w:ascii="Book Antiqua" w:hAnsi="Book Antiqua" w:cs="Arial"/>
        </w:rPr>
        <w:t xml:space="preserve">in Ealing, London, who said that he had known </w:t>
      </w:r>
      <w:r w:rsidR="00CE5FF7">
        <w:rPr>
          <w:rFonts w:ascii="Book Antiqua" w:hAnsi="Book Antiqua" w:cs="Arial"/>
        </w:rPr>
        <w:t>[AK]</w:t>
      </w:r>
      <w:r w:rsidR="002D3D63">
        <w:rPr>
          <w:rFonts w:ascii="Book Antiqua" w:hAnsi="Book Antiqua" w:cs="Arial"/>
        </w:rPr>
        <w:t xml:space="preserve"> (the sponsor) for over 15 years; that he had attended </w:t>
      </w:r>
      <w:r w:rsidR="00CE5FF7">
        <w:rPr>
          <w:rFonts w:ascii="Book Antiqua" w:hAnsi="Book Antiqua" w:cs="Arial"/>
        </w:rPr>
        <w:t>[AK]</w:t>
      </w:r>
      <w:r w:rsidR="002D3D63">
        <w:rPr>
          <w:rFonts w:ascii="Book Antiqua" w:hAnsi="Book Antiqua" w:cs="Arial"/>
        </w:rPr>
        <w:t xml:space="preserve"> and Maria’s wedding 10 years ago; that he still played golf with </w:t>
      </w:r>
      <w:r w:rsidR="00CE5FF7">
        <w:rPr>
          <w:rFonts w:ascii="Book Antiqua" w:hAnsi="Book Antiqua" w:cs="Arial"/>
        </w:rPr>
        <w:t>[AK]</w:t>
      </w:r>
      <w:r w:rsidR="002D3D63">
        <w:rPr>
          <w:rFonts w:ascii="Book Antiqua" w:hAnsi="Book Antiqua" w:cs="Arial"/>
        </w:rPr>
        <w:t xml:space="preserve"> every Sunday </w:t>
      </w:r>
      <w:r w:rsidR="002D3D63">
        <w:rPr>
          <w:rFonts w:ascii="Book Antiqua" w:hAnsi="Book Antiqua" w:cs="Arial"/>
          <w:i/>
        </w:rPr>
        <w:t>“where I get a wave off Maria before we leave”</w:t>
      </w:r>
      <w:r w:rsidR="002D3D63">
        <w:rPr>
          <w:rFonts w:ascii="Book Antiqua" w:hAnsi="Book Antiqua" w:cs="Arial"/>
        </w:rPr>
        <w:t xml:space="preserve">; and that he had been to their house on several occasions and they were a </w:t>
      </w:r>
      <w:r w:rsidR="002D3D63">
        <w:rPr>
          <w:rFonts w:ascii="Book Antiqua" w:hAnsi="Book Antiqua" w:cs="Arial"/>
          <w:i/>
        </w:rPr>
        <w:t>“perfectly normal loving couple”.</w:t>
      </w:r>
      <w:r>
        <w:rPr>
          <w:rFonts w:ascii="Book Antiqua" w:hAnsi="Book Antiqua" w:cs="Arial"/>
        </w:rPr>
        <w:t xml:space="preserve"> </w:t>
      </w:r>
    </w:p>
    <w:p w:rsidR="00586C91" w:rsidRDefault="002D3D63" w:rsidP="00252017">
      <w:pPr>
        <w:numPr>
          <w:ilvl w:val="0"/>
          <w:numId w:val="1"/>
        </w:numPr>
        <w:spacing w:before="240"/>
        <w:jc w:val="both"/>
        <w:rPr>
          <w:rFonts w:ascii="Book Antiqua" w:hAnsi="Book Antiqua" w:cs="Arial"/>
        </w:rPr>
      </w:pPr>
      <w:r>
        <w:rPr>
          <w:rFonts w:ascii="Book Antiqua" w:hAnsi="Book Antiqua" w:cs="Arial"/>
        </w:rPr>
        <w:t>The claim</w:t>
      </w:r>
      <w:r w:rsidR="000B39A3">
        <w:rPr>
          <w:rFonts w:ascii="Book Antiqua" w:hAnsi="Book Antiqua" w:cs="Arial"/>
        </w:rPr>
        <w:t>ant gave evidence first</w:t>
      </w:r>
      <w:r>
        <w:rPr>
          <w:rFonts w:ascii="Book Antiqua" w:hAnsi="Book Antiqua" w:cs="Arial"/>
        </w:rPr>
        <w:t xml:space="preserve">, in the sponsor’s absence. She was cross-examined about their daily routine, and about how they had celebrated their last wedding anniversary and her last Birthday. When the sponsor gave evidence, the same questions were addressed to him. Both of them were also asked about the incident which had led to the sponsor calling the police, and the claimant being taken away to spend a night in a police cell. The sponsor said </w:t>
      </w:r>
      <w:r w:rsidR="00586C91">
        <w:rPr>
          <w:rFonts w:ascii="Book Antiqua" w:hAnsi="Book Antiqua" w:cs="Arial"/>
        </w:rPr>
        <w:t>that</w:t>
      </w:r>
      <w:r w:rsidR="00591317">
        <w:rPr>
          <w:rFonts w:ascii="Book Antiqua" w:hAnsi="Book Antiqua" w:cs="Arial"/>
        </w:rPr>
        <w:t xml:space="preserve"> to his knowledge there was not</w:t>
      </w:r>
      <w:r w:rsidR="00586C91">
        <w:rPr>
          <w:rFonts w:ascii="Book Antiqua" w:hAnsi="Book Antiqua" w:cs="Arial"/>
        </w:rPr>
        <w:t xml:space="preserve"> an </w:t>
      </w:r>
      <w:r w:rsidR="00586C91">
        <w:rPr>
          <w:rFonts w:ascii="Book Antiqua" w:hAnsi="Book Antiqua" w:cs="Arial"/>
        </w:rPr>
        <w:lastRenderedPageBreak/>
        <w:t xml:space="preserve">outstanding </w:t>
      </w:r>
      <w:r w:rsidR="00591317">
        <w:rPr>
          <w:rFonts w:ascii="Book Antiqua" w:hAnsi="Book Antiqua" w:cs="Arial"/>
        </w:rPr>
        <w:t xml:space="preserve">criminal </w:t>
      </w:r>
      <w:r w:rsidR="00586C91">
        <w:rPr>
          <w:rFonts w:ascii="Book Antiqua" w:hAnsi="Book Antiqua" w:cs="Arial"/>
        </w:rPr>
        <w:t>prosecution as he did not bring charges and he told the police when they took his wife away that he did not want to press charges. He had just wanted her to spend a night in a police cell in order to teach her a lesson.</w:t>
      </w:r>
    </w:p>
    <w:p w:rsidR="006F7496" w:rsidRPr="00586C91" w:rsidRDefault="00586C91" w:rsidP="006F7496">
      <w:pPr>
        <w:spacing w:before="240"/>
        <w:jc w:val="both"/>
        <w:rPr>
          <w:rFonts w:ascii="Book Antiqua" w:hAnsi="Book Antiqua" w:cs="Arial"/>
        </w:rPr>
      </w:pPr>
      <w:r>
        <w:rPr>
          <w:rFonts w:ascii="Book Antiqua" w:hAnsi="Book Antiqua" w:cs="Arial"/>
          <w:b/>
          <w:u w:val="single"/>
        </w:rPr>
        <w:t>Discussion and Findings on Remaking</w:t>
      </w:r>
      <w:r w:rsidR="002D3D63">
        <w:rPr>
          <w:rFonts w:ascii="Book Antiqua" w:hAnsi="Book Antiqua" w:cs="Arial"/>
        </w:rPr>
        <w:t xml:space="preserve"> </w:t>
      </w:r>
    </w:p>
    <w:p w:rsidR="00DF2E90" w:rsidRDefault="00586C91" w:rsidP="00252017">
      <w:pPr>
        <w:numPr>
          <w:ilvl w:val="0"/>
          <w:numId w:val="1"/>
        </w:numPr>
        <w:spacing w:before="240"/>
        <w:jc w:val="both"/>
        <w:rPr>
          <w:rFonts w:ascii="Book Antiqua" w:hAnsi="Book Antiqua" w:cs="Arial"/>
        </w:rPr>
      </w:pPr>
      <w:r>
        <w:rPr>
          <w:rFonts w:ascii="Book Antiqua" w:hAnsi="Book Antiqua" w:cs="Arial"/>
        </w:rPr>
        <w:t>The couple gave credible evidence about the incident</w:t>
      </w:r>
      <w:r w:rsidR="00DF2E90">
        <w:rPr>
          <w:rFonts w:ascii="Book Antiqua" w:hAnsi="Book Antiqua" w:cs="Arial"/>
        </w:rPr>
        <w:t xml:space="preserve"> which led to the claimant’s arrest. Both of them had been drinking, and they had a blazing row. The claimant said she smashed various items of kitchen crockery. She was not pressed as to whether she admitted assaulting the sponsor, but the fact that the police took her away to spend a nig</w:t>
      </w:r>
      <w:r w:rsidR="00591317">
        <w:rPr>
          <w:rFonts w:ascii="Book Antiqua" w:hAnsi="Book Antiqua" w:cs="Arial"/>
        </w:rPr>
        <w:t>ht in a police</w:t>
      </w:r>
      <w:r w:rsidR="00DF2E90">
        <w:rPr>
          <w:rFonts w:ascii="Book Antiqua" w:hAnsi="Book Antiqua" w:cs="Arial"/>
        </w:rPr>
        <w:t xml:space="preserve"> cell implies that they </w:t>
      </w:r>
      <w:r w:rsidR="001A2B20">
        <w:rPr>
          <w:rFonts w:ascii="Book Antiqua" w:hAnsi="Book Antiqua" w:cs="Arial"/>
        </w:rPr>
        <w:t>took her husband’s word for it</w:t>
      </w:r>
      <w:r w:rsidR="00DF2E90">
        <w:rPr>
          <w:rFonts w:ascii="Book Antiqua" w:hAnsi="Book Antiqua" w:cs="Arial"/>
        </w:rPr>
        <w:t xml:space="preserve"> that she was the aggressor, and </w:t>
      </w:r>
      <w:r w:rsidR="001A2B20">
        <w:rPr>
          <w:rFonts w:ascii="Book Antiqua" w:hAnsi="Book Antiqua" w:cs="Arial"/>
        </w:rPr>
        <w:t>he</w:t>
      </w:r>
      <w:r w:rsidR="00DF2E90">
        <w:rPr>
          <w:rFonts w:ascii="Book Antiqua" w:hAnsi="Book Antiqua" w:cs="Arial"/>
        </w:rPr>
        <w:t xml:space="preserve"> was the victim. </w:t>
      </w:r>
    </w:p>
    <w:p w:rsidR="006F7496" w:rsidRDefault="00DF2E90" w:rsidP="00252017">
      <w:pPr>
        <w:numPr>
          <w:ilvl w:val="0"/>
          <w:numId w:val="1"/>
        </w:numPr>
        <w:spacing w:before="240"/>
        <w:jc w:val="both"/>
        <w:rPr>
          <w:rFonts w:ascii="Book Antiqua" w:hAnsi="Book Antiqua" w:cs="Arial"/>
        </w:rPr>
      </w:pPr>
      <w:r>
        <w:rPr>
          <w:rFonts w:ascii="Book Antiqua" w:hAnsi="Book Antiqua" w:cs="Arial"/>
        </w:rPr>
        <w:t>The claimant said that this was an isolated incident, whereas the spons</w:t>
      </w:r>
      <w:r w:rsidR="0088534C">
        <w:rPr>
          <w:rFonts w:ascii="Book Antiqua" w:hAnsi="Book Antiqua" w:cs="Arial"/>
        </w:rPr>
        <w:t xml:space="preserve">or said they argued quite often </w:t>
      </w:r>
      <w:r w:rsidR="0088534C">
        <w:rPr>
          <w:rFonts w:ascii="Book Antiqua" w:hAnsi="Book Antiqua" w:cs="Arial"/>
          <w:i/>
        </w:rPr>
        <w:t>“mostly about her being late”</w:t>
      </w:r>
      <w:r>
        <w:rPr>
          <w:rFonts w:ascii="Book Antiqua" w:hAnsi="Book Antiqua" w:cs="Arial"/>
        </w:rPr>
        <w:t>. Miss Isherwood submitted that this discrepancy cast doubt on the true status of the relationship. But I consider that there was no real discrepancy</w:t>
      </w:r>
      <w:r w:rsidR="0088534C">
        <w:rPr>
          <w:rFonts w:ascii="Book Antiqua" w:hAnsi="Book Antiqua" w:cs="Arial"/>
        </w:rPr>
        <w:t xml:space="preserve"> in their evidence.</w:t>
      </w:r>
      <w:r>
        <w:rPr>
          <w:rFonts w:ascii="Book Antiqua" w:hAnsi="Book Antiqua" w:cs="Arial"/>
        </w:rPr>
        <w:t xml:space="preserve"> </w:t>
      </w:r>
      <w:r w:rsidR="0088534C">
        <w:rPr>
          <w:rFonts w:ascii="Book Antiqua" w:hAnsi="Book Antiqua" w:cs="Arial"/>
        </w:rPr>
        <w:t xml:space="preserve"> It</w:t>
      </w:r>
      <w:r>
        <w:rPr>
          <w:rFonts w:ascii="Book Antiqua" w:hAnsi="Book Antiqua" w:cs="Arial"/>
        </w:rPr>
        <w:t xml:space="preserve"> was apparent </w:t>
      </w:r>
      <w:r w:rsidR="0088534C">
        <w:rPr>
          <w:rFonts w:ascii="Book Antiqua" w:hAnsi="Book Antiqua" w:cs="Arial"/>
        </w:rPr>
        <w:t xml:space="preserve">to me </w:t>
      </w:r>
      <w:r>
        <w:rPr>
          <w:rFonts w:ascii="Book Antiqua" w:hAnsi="Book Antiqua" w:cs="Arial"/>
        </w:rPr>
        <w:t xml:space="preserve">that the claimant was saying that this was an isolated </w:t>
      </w:r>
      <w:r w:rsidRPr="00DF2E90">
        <w:rPr>
          <w:rFonts w:ascii="Book Antiqua" w:hAnsi="Book Antiqua" w:cs="Arial"/>
          <w:u w:val="single"/>
        </w:rPr>
        <w:t>major</w:t>
      </w:r>
      <w:r>
        <w:rPr>
          <w:rFonts w:ascii="Book Antiqua" w:hAnsi="Book Antiqua" w:cs="Arial"/>
        </w:rPr>
        <w:t xml:space="preserve"> </w:t>
      </w:r>
      <w:r w:rsidRPr="00DF2E90">
        <w:rPr>
          <w:rFonts w:ascii="Book Antiqua" w:hAnsi="Book Antiqua" w:cs="Arial"/>
        </w:rPr>
        <w:t>incident</w:t>
      </w:r>
      <w:r w:rsidR="0088534C">
        <w:rPr>
          <w:rFonts w:ascii="Book Antiqua" w:hAnsi="Book Antiqua" w:cs="Arial"/>
        </w:rPr>
        <w:t xml:space="preserve">. She did not in terms say that this was the only time </w:t>
      </w:r>
      <w:r w:rsidR="00591317">
        <w:rPr>
          <w:rFonts w:ascii="Book Antiqua" w:hAnsi="Book Antiqua" w:cs="Arial"/>
        </w:rPr>
        <w:t xml:space="preserve">that </w:t>
      </w:r>
      <w:r w:rsidR="0088534C">
        <w:rPr>
          <w:rFonts w:ascii="Book Antiqua" w:hAnsi="Book Antiqua" w:cs="Arial"/>
        </w:rPr>
        <w:t xml:space="preserve">they had ever quarrelled. Equally, it was apparent from what the sponsor </w:t>
      </w:r>
      <w:r w:rsidR="00244BA2">
        <w:rPr>
          <w:rFonts w:ascii="Book Antiqua" w:hAnsi="Book Antiqua" w:cs="Arial"/>
        </w:rPr>
        <w:t xml:space="preserve">said </w:t>
      </w:r>
      <w:r w:rsidR="0088534C">
        <w:rPr>
          <w:rFonts w:ascii="Book Antiqua" w:hAnsi="Book Antiqua" w:cs="Arial"/>
        </w:rPr>
        <w:t xml:space="preserve">that he was referring to them having fairly frequent </w:t>
      </w:r>
      <w:r w:rsidR="0088534C" w:rsidRPr="0088534C">
        <w:rPr>
          <w:rFonts w:ascii="Book Antiqua" w:hAnsi="Book Antiqua" w:cs="Arial"/>
          <w:u w:val="single"/>
        </w:rPr>
        <w:t>minor</w:t>
      </w:r>
      <w:r w:rsidR="0088534C">
        <w:rPr>
          <w:rFonts w:ascii="Book Antiqua" w:hAnsi="Book Antiqua" w:cs="Arial"/>
        </w:rPr>
        <w:t xml:space="preserve"> arguments, mainly over his wife being late.</w:t>
      </w:r>
    </w:p>
    <w:p w:rsidR="0088534C" w:rsidRPr="00577691" w:rsidRDefault="0088534C" w:rsidP="00577691">
      <w:pPr>
        <w:numPr>
          <w:ilvl w:val="0"/>
          <w:numId w:val="1"/>
        </w:numPr>
        <w:spacing w:before="240"/>
        <w:jc w:val="both"/>
        <w:rPr>
          <w:rFonts w:ascii="Book Antiqua" w:hAnsi="Book Antiqua" w:cs="Arial"/>
        </w:rPr>
      </w:pPr>
      <w:r>
        <w:rPr>
          <w:rFonts w:ascii="Book Antiqua" w:hAnsi="Book Antiqua" w:cs="Arial"/>
        </w:rPr>
        <w:t>In every other respect, the account which the couple gave of their shared l</w:t>
      </w:r>
      <w:r w:rsidR="00577691">
        <w:rPr>
          <w:rFonts w:ascii="Book Antiqua" w:hAnsi="Book Antiqua" w:cs="Arial"/>
        </w:rPr>
        <w:t>ife together was fully congruent, as Miss Isherwood acknowledged.</w:t>
      </w:r>
      <w:r w:rsidR="00577691" w:rsidRPr="00577691">
        <w:rPr>
          <w:rFonts w:ascii="Book Antiqua" w:hAnsi="Book Antiqua" w:cs="Arial"/>
        </w:rPr>
        <w:t xml:space="preserve"> </w:t>
      </w:r>
      <w:r w:rsidRPr="00577691">
        <w:rPr>
          <w:rFonts w:ascii="Book Antiqua" w:hAnsi="Book Antiqua" w:cs="Arial"/>
        </w:rPr>
        <w:t xml:space="preserve"> </w:t>
      </w:r>
    </w:p>
    <w:p w:rsidR="00577691" w:rsidRDefault="00577691" w:rsidP="00577691">
      <w:pPr>
        <w:numPr>
          <w:ilvl w:val="0"/>
          <w:numId w:val="1"/>
        </w:numPr>
        <w:spacing w:before="240"/>
        <w:jc w:val="both"/>
        <w:rPr>
          <w:rFonts w:ascii="Book Antiqua" w:hAnsi="Book Antiqua" w:cs="Arial"/>
        </w:rPr>
      </w:pPr>
      <w:r>
        <w:rPr>
          <w:rFonts w:ascii="Book Antiqua" w:hAnsi="Book Antiqua" w:cs="Arial"/>
        </w:rPr>
        <w:t>So, having had the benefit of receiving oral evidence from the claimant and the sponsor</w:t>
      </w:r>
      <w:r w:rsidR="00244BA2">
        <w:rPr>
          <w:rFonts w:ascii="Book Antiqua" w:hAnsi="Book Antiqua" w:cs="Arial"/>
        </w:rPr>
        <w:t xml:space="preserve"> which was tested in cross-examination</w:t>
      </w:r>
      <w:r>
        <w:rPr>
          <w:rFonts w:ascii="Book Antiqua" w:hAnsi="Book Antiqua" w:cs="Arial"/>
        </w:rPr>
        <w:t xml:space="preserve">, I am persuaded on the balance of probabilities that their marriage is genuine and subsisting. </w:t>
      </w:r>
    </w:p>
    <w:p w:rsidR="00577691" w:rsidRDefault="00577691" w:rsidP="00252017">
      <w:pPr>
        <w:numPr>
          <w:ilvl w:val="0"/>
          <w:numId w:val="1"/>
        </w:numPr>
        <w:spacing w:before="240"/>
        <w:jc w:val="both"/>
        <w:rPr>
          <w:rFonts w:ascii="Book Antiqua" w:hAnsi="Book Antiqua" w:cs="Arial"/>
        </w:rPr>
      </w:pPr>
      <w:r>
        <w:rPr>
          <w:rFonts w:ascii="Book Antiqua" w:hAnsi="Book Antiqua" w:cs="Arial"/>
        </w:rPr>
        <w:t xml:space="preserve">Miss Isherwood did not cross-examine the sponsor on his </w:t>
      </w:r>
      <w:r w:rsidR="00080C55">
        <w:rPr>
          <w:rFonts w:ascii="Book Antiqua" w:hAnsi="Book Antiqua" w:cs="Arial"/>
        </w:rPr>
        <w:t>explanation</w:t>
      </w:r>
      <w:r>
        <w:rPr>
          <w:rFonts w:ascii="Book Antiqua" w:hAnsi="Book Antiqua" w:cs="Arial"/>
        </w:rPr>
        <w:t xml:space="preserve"> for him and his wife not attending a marriage interview as requested, which was that they had never </w:t>
      </w:r>
      <w:r w:rsidR="00591317">
        <w:rPr>
          <w:rFonts w:ascii="Book Antiqua" w:hAnsi="Book Antiqua" w:cs="Arial"/>
        </w:rPr>
        <w:t>received the first request</w:t>
      </w:r>
      <w:r>
        <w:rPr>
          <w:rFonts w:ascii="Book Antiqua" w:hAnsi="Book Antiqua" w:cs="Arial"/>
        </w:rPr>
        <w:t xml:space="preserve">; and that the second </w:t>
      </w:r>
      <w:r w:rsidR="00591317">
        <w:rPr>
          <w:rFonts w:ascii="Book Antiqua" w:hAnsi="Book Antiqua" w:cs="Arial"/>
        </w:rPr>
        <w:t>request</w:t>
      </w:r>
      <w:r>
        <w:rPr>
          <w:rFonts w:ascii="Book Antiqua" w:hAnsi="Book Antiqua" w:cs="Arial"/>
        </w:rPr>
        <w:t xml:space="preserve"> </w:t>
      </w:r>
      <w:r w:rsidR="00080C55">
        <w:rPr>
          <w:rFonts w:ascii="Book Antiqua" w:hAnsi="Book Antiqua" w:cs="Arial"/>
        </w:rPr>
        <w:t xml:space="preserve">had </w:t>
      </w:r>
      <w:r>
        <w:rPr>
          <w:rFonts w:ascii="Book Antiqua" w:hAnsi="Book Antiqua" w:cs="Arial"/>
        </w:rPr>
        <w:t xml:space="preserve">arrived after </w:t>
      </w:r>
      <w:r w:rsidR="00080C55">
        <w:rPr>
          <w:rFonts w:ascii="Book Antiqua" w:hAnsi="Book Antiqua" w:cs="Arial"/>
        </w:rPr>
        <w:t>the application had been refused. Having assessed the evidence in the round, I find that the sponsor’s explanation is probably true</w:t>
      </w:r>
      <w:r w:rsidR="00A44D52">
        <w:rPr>
          <w:rFonts w:ascii="Book Antiqua" w:hAnsi="Book Antiqua" w:cs="Arial"/>
        </w:rPr>
        <w:t xml:space="preserve">, and hence that the couple were not at fault in failing to respond to a request to attend a marriage interview to assess the status of their marriage which, hitherto, had been accepted to be genuine and subsisting – as is reflected in the fact that the claimant had previously been granted DL twice. </w:t>
      </w:r>
      <w:r w:rsidR="00080C55">
        <w:rPr>
          <w:rFonts w:ascii="Book Antiqua" w:hAnsi="Book Antiqua" w:cs="Arial"/>
        </w:rPr>
        <w:t xml:space="preserve"> </w:t>
      </w:r>
    </w:p>
    <w:p w:rsidR="00080C55" w:rsidRDefault="00080C55" w:rsidP="00252017">
      <w:pPr>
        <w:numPr>
          <w:ilvl w:val="0"/>
          <w:numId w:val="1"/>
        </w:numPr>
        <w:spacing w:before="240"/>
        <w:jc w:val="both"/>
        <w:rPr>
          <w:rFonts w:ascii="Book Antiqua" w:hAnsi="Book Antiqua" w:cs="Arial"/>
        </w:rPr>
      </w:pPr>
      <w:r>
        <w:rPr>
          <w:rFonts w:ascii="Book Antiqua" w:hAnsi="Book Antiqua" w:cs="Arial"/>
        </w:rPr>
        <w:t>As noted previously, it is not the claimant’s case that there are insurmountable obstacles to family life being carried on Brazil</w:t>
      </w:r>
      <w:r w:rsidR="00591317">
        <w:rPr>
          <w:rFonts w:ascii="Book Antiqua" w:hAnsi="Book Antiqua" w:cs="Arial"/>
        </w:rPr>
        <w:t xml:space="preserve">, which the couple </w:t>
      </w:r>
      <w:r>
        <w:rPr>
          <w:rFonts w:ascii="Book Antiqua" w:hAnsi="Book Antiqua" w:cs="Arial"/>
        </w:rPr>
        <w:t>have apparently visited t</w:t>
      </w:r>
      <w:r w:rsidR="00591317">
        <w:rPr>
          <w:rFonts w:ascii="Book Antiqua" w:hAnsi="Book Antiqua" w:cs="Arial"/>
        </w:rPr>
        <w:t>hree times together.</w:t>
      </w:r>
      <w:r>
        <w:rPr>
          <w:rFonts w:ascii="Book Antiqua" w:hAnsi="Book Antiqua" w:cs="Arial"/>
        </w:rPr>
        <w:t xml:space="preserve"> Although her parents are deceased, she told me that she has a number of siblings living there, including one who is a judge and another who is a lawyer.</w:t>
      </w:r>
    </w:p>
    <w:p w:rsidR="00080C55" w:rsidRDefault="00080C55" w:rsidP="00252017">
      <w:pPr>
        <w:numPr>
          <w:ilvl w:val="0"/>
          <w:numId w:val="1"/>
        </w:numPr>
        <w:spacing w:before="240"/>
        <w:jc w:val="both"/>
        <w:rPr>
          <w:rFonts w:ascii="Book Antiqua" w:hAnsi="Book Antiqua" w:cs="Arial"/>
        </w:rPr>
      </w:pPr>
      <w:r>
        <w:rPr>
          <w:rFonts w:ascii="Book Antiqua" w:hAnsi="Book Antiqua" w:cs="Arial"/>
        </w:rPr>
        <w:t xml:space="preserve">As the claimant cannot rely on EX.1, </w:t>
      </w:r>
      <w:r w:rsidR="00211A59">
        <w:rPr>
          <w:rFonts w:ascii="Book Antiqua" w:hAnsi="Book Antiqua" w:cs="Arial"/>
        </w:rPr>
        <w:t xml:space="preserve">she </w:t>
      </w:r>
      <w:r w:rsidR="00E24657">
        <w:rPr>
          <w:rFonts w:ascii="Book Antiqua" w:hAnsi="Book Antiqua" w:cs="Arial"/>
        </w:rPr>
        <w:t>must show that her</w:t>
      </w:r>
      <w:r w:rsidR="00211A59">
        <w:rPr>
          <w:rFonts w:ascii="Book Antiqua" w:hAnsi="Book Antiqua" w:cs="Arial"/>
        </w:rPr>
        <w:t xml:space="preserve"> sponsor is earning at least £18,600 per annum. The evidence produced by the sponsor includes his P60 for the year to April 2018 issued by his employer, United Living (South) Ltd. It shows that he earned £51,858.01 gross in the last tax year.  The sponsor also produced a letter from </w:t>
      </w:r>
      <w:r w:rsidR="00211A59">
        <w:rPr>
          <w:rFonts w:ascii="Book Antiqua" w:hAnsi="Book Antiqua" w:cs="Arial"/>
        </w:rPr>
        <w:lastRenderedPageBreak/>
        <w:t>his employer dated 11 June 2018 in which it was confirmed that his basic salary was going to be increased to £49,277 per annum.</w:t>
      </w:r>
    </w:p>
    <w:p w:rsidR="00211A59" w:rsidRDefault="006F75AA" w:rsidP="00252017">
      <w:pPr>
        <w:numPr>
          <w:ilvl w:val="0"/>
          <w:numId w:val="1"/>
        </w:numPr>
        <w:spacing w:before="240"/>
        <w:jc w:val="both"/>
        <w:rPr>
          <w:rFonts w:ascii="Book Antiqua" w:hAnsi="Book Antiqua" w:cs="Arial"/>
        </w:rPr>
      </w:pPr>
      <w:r>
        <w:rPr>
          <w:rFonts w:ascii="Book Antiqua" w:hAnsi="Book Antiqua" w:cs="Arial"/>
        </w:rPr>
        <w:t>However, the following specified evidence in paragraph 2 of Appendix FM-SE is missing:</w:t>
      </w:r>
    </w:p>
    <w:p w:rsidR="006F75AA" w:rsidRDefault="006F75AA" w:rsidP="00BE77B8">
      <w:pPr>
        <w:numPr>
          <w:ilvl w:val="2"/>
          <w:numId w:val="1"/>
        </w:numPr>
        <w:spacing w:before="120"/>
        <w:jc w:val="both"/>
        <w:rPr>
          <w:rFonts w:ascii="Book Antiqua" w:hAnsi="Book Antiqua" w:cs="Arial"/>
        </w:rPr>
      </w:pPr>
      <w:r>
        <w:rPr>
          <w:rFonts w:ascii="Book Antiqua" w:hAnsi="Book Antiqua" w:cs="Arial"/>
        </w:rPr>
        <w:t xml:space="preserve">A letter from the employer who issued the payslips confirming the sponsor’s employment and gross annual salary; the length of his employment: the period over which he has been paid the level of salary </w:t>
      </w:r>
      <w:r>
        <w:rPr>
          <w:rFonts w:ascii="Book Antiqua" w:hAnsi="Book Antiqua" w:cs="Arial"/>
          <w:i/>
        </w:rPr>
        <w:t>“relied upon in the application”</w:t>
      </w:r>
      <w:r>
        <w:rPr>
          <w:rFonts w:ascii="Book Antiqua" w:hAnsi="Book Antiqua" w:cs="Arial"/>
        </w:rPr>
        <w:t>; and the type of employment;</w:t>
      </w:r>
    </w:p>
    <w:p w:rsidR="006F75AA" w:rsidRDefault="006F75AA" w:rsidP="00BE77B8">
      <w:pPr>
        <w:numPr>
          <w:ilvl w:val="2"/>
          <w:numId w:val="1"/>
        </w:numPr>
        <w:spacing w:before="120"/>
        <w:jc w:val="both"/>
        <w:rPr>
          <w:rFonts w:ascii="Book Antiqua" w:hAnsi="Book Antiqua" w:cs="Arial"/>
        </w:rPr>
      </w:pPr>
      <w:r>
        <w:rPr>
          <w:rFonts w:ascii="Book Antiqua" w:hAnsi="Book Antiqua" w:cs="Arial"/>
        </w:rPr>
        <w:t>Personal banks statements corresponding to the same period as the payslips, showing that the salary has been paid into an account in the sponsor’s name.</w:t>
      </w:r>
    </w:p>
    <w:p w:rsidR="00970EBC" w:rsidRDefault="00970EBC" w:rsidP="006F75AA">
      <w:pPr>
        <w:numPr>
          <w:ilvl w:val="0"/>
          <w:numId w:val="1"/>
        </w:numPr>
        <w:spacing w:before="240"/>
        <w:jc w:val="both"/>
        <w:rPr>
          <w:rFonts w:ascii="Book Antiqua" w:hAnsi="Book Antiqua" w:cs="Arial"/>
        </w:rPr>
      </w:pPr>
      <w:r>
        <w:rPr>
          <w:rFonts w:ascii="Book Antiqua" w:hAnsi="Book Antiqua" w:cs="Arial"/>
        </w:rPr>
        <w:t xml:space="preserve">As to (b) the sponsor produced a mini-statement from his account with Santander showing that he was paid £3,273.92 on 31 May 2018. </w:t>
      </w:r>
      <w:r w:rsidR="006F75AA">
        <w:rPr>
          <w:rFonts w:ascii="Book Antiqua" w:hAnsi="Book Antiqua" w:cs="Arial"/>
        </w:rPr>
        <w:t xml:space="preserve"> </w:t>
      </w:r>
    </w:p>
    <w:p w:rsidR="00A44D52" w:rsidRDefault="00970EBC" w:rsidP="006F75AA">
      <w:pPr>
        <w:numPr>
          <w:ilvl w:val="0"/>
          <w:numId w:val="1"/>
        </w:numPr>
        <w:spacing w:before="240"/>
        <w:jc w:val="both"/>
        <w:rPr>
          <w:rFonts w:ascii="Book Antiqua" w:hAnsi="Book Antiqua" w:cs="Arial"/>
        </w:rPr>
      </w:pPr>
      <w:r>
        <w:rPr>
          <w:rFonts w:ascii="Book Antiqua" w:hAnsi="Book Antiqua" w:cs="Arial"/>
        </w:rPr>
        <w:t xml:space="preserve">Miss Isherwood acknowledged that the </w:t>
      </w:r>
      <w:r w:rsidR="00962A63">
        <w:rPr>
          <w:rFonts w:ascii="Book Antiqua" w:hAnsi="Book Antiqua" w:cs="Arial"/>
        </w:rPr>
        <w:t>sponsor was probably earning the salary disclosed in the P60 and that the MIR was thus</w:t>
      </w:r>
      <w:r>
        <w:rPr>
          <w:rFonts w:ascii="Book Antiqua" w:hAnsi="Book Antiqua" w:cs="Arial"/>
        </w:rPr>
        <w:t xml:space="preserve"> met, but she submitted that as the claimant had not proved this by producing all the mandatory pieces of evidence stipulated in paragraph 2 of the Appendix FM-SE, her appeal could not be allowed and it was reasonable to require her to return to Brazil to apply for entry clearance. This s</w:t>
      </w:r>
      <w:r w:rsidR="00A44D52">
        <w:rPr>
          <w:rFonts w:ascii="Book Antiqua" w:hAnsi="Book Antiqua" w:cs="Arial"/>
        </w:rPr>
        <w:t xml:space="preserve">ubmission prompted an explosion of anger from the sponsor, and tears from the claimant. </w:t>
      </w:r>
    </w:p>
    <w:p w:rsidR="00A44D52" w:rsidRDefault="00A44D52" w:rsidP="006F75AA">
      <w:pPr>
        <w:numPr>
          <w:ilvl w:val="0"/>
          <w:numId w:val="1"/>
        </w:numPr>
        <w:spacing w:before="240"/>
        <w:jc w:val="both"/>
        <w:rPr>
          <w:rFonts w:ascii="Book Antiqua" w:hAnsi="Book Antiqua" w:cs="Arial"/>
        </w:rPr>
      </w:pPr>
      <w:r>
        <w:rPr>
          <w:rFonts w:ascii="Book Antiqua" w:hAnsi="Book Antiqua" w:cs="Arial"/>
        </w:rPr>
        <w:t xml:space="preserve">I remind myself that the factual inquiry which I directed at the previous hearing was whether the claimant was likely to meet the MIR, not whether she actually did so. I did not direct the claimant to produce </w:t>
      </w:r>
      <w:r w:rsidR="00B75D78">
        <w:rPr>
          <w:rFonts w:ascii="Book Antiqua" w:hAnsi="Book Antiqua" w:cs="Arial"/>
        </w:rPr>
        <w:t>the specified evidence to show her husband’s level of earnings in the six months preceding her application made on 27 October 2015, which – under the Rules – is the only relevant period for the assessment of whether the MIR is met.</w:t>
      </w:r>
    </w:p>
    <w:p w:rsidR="00D56F7A" w:rsidRDefault="00D56F7A" w:rsidP="006F75AA">
      <w:pPr>
        <w:numPr>
          <w:ilvl w:val="0"/>
          <w:numId w:val="1"/>
        </w:numPr>
        <w:spacing w:before="240"/>
        <w:jc w:val="both"/>
        <w:rPr>
          <w:rFonts w:ascii="Book Antiqua" w:hAnsi="Book Antiqua" w:cs="Arial"/>
        </w:rPr>
      </w:pPr>
      <w:r>
        <w:rPr>
          <w:rFonts w:ascii="Book Antiqua" w:hAnsi="Book Antiqua" w:cs="Arial"/>
        </w:rPr>
        <w:t>A further relevant consideration is that in her application the claimant declared that her husband was earning an annual salary well in excess of the MIR, and this was not disputed in the reasons for refusal.</w:t>
      </w:r>
    </w:p>
    <w:p w:rsidR="00D56F7A" w:rsidRDefault="00D56F7A" w:rsidP="00D56F7A">
      <w:pPr>
        <w:numPr>
          <w:ilvl w:val="0"/>
          <w:numId w:val="1"/>
        </w:numPr>
        <w:spacing w:before="240"/>
        <w:jc w:val="both"/>
        <w:rPr>
          <w:rFonts w:ascii="Book Antiqua" w:hAnsi="Book Antiqua" w:cs="Arial"/>
        </w:rPr>
      </w:pPr>
      <w:r>
        <w:rPr>
          <w:rFonts w:ascii="Book Antiqua" w:hAnsi="Book Antiqua" w:cs="Arial"/>
        </w:rPr>
        <w:t xml:space="preserve">In </w:t>
      </w:r>
      <w:r w:rsidRPr="00A21E6D">
        <w:rPr>
          <w:rFonts w:ascii="Book Antiqua" w:hAnsi="Book Antiqua" w:cs="Arial"/>
          <w:b/>
          <w:u w:val="single"/>
        </w:rPr>
        <w:t>MM</w:t>
      </w:r>
      <w:r w:rsidRPr="00A21E6D">
        <w:rPr>
          <w:rFonts w:ascii="Book Antiqua" w:hAnsi="Book Antiqua" w:cs="Arial"/>
          <w:b/>
        </w:rPr>
        <w:t xml:space="preserve"> (Lebanon) [2017] UKSC 10</w:t>
      </w:r>
      <w:r>
        <w:rPr>
          <w:rFonts w:ascii="Book Antiqua" w:hAnsi="Book Antiqua" w:cs="Arial"/>
        </w:rPr>
        <w:t xml:space="preserve">, the Supreme Court concluded that the challenge to the acceptability in principle of the minimum income requirement (MIR) must fail, but went on to make some further observations which are pertinent to the assessment of the matter which is in contention between the parties.  </w:t>
      </w:r>
    </w:p>
    <w:p w:rsidR="00D56F7A" w:rsidRPr="00CE5FF7" w:rsidRDefault="00CE5FF7" w:rsidP="00CE5FF7">
      <w:pPr>
        <w:spacing w:before="120" w:after="120"/>
        <w:ind w:left="1701" w:right="567" w:hanging="567"/>
        <w:jc w:val="both"/>
        <w:rPr>
          <w:rFonts w:ascii="Book Antiqua" w:hAnsi="Book Antiqua" w:cs="Arial"/>
          <w:iCs/>
          <w:sz w:val="22"/>
          <w:szCs w:val="20"/>
        </w:rPr>
      </w:pPr>
      <w:r w:rsidRPr="00CE5FF7">
        <w:rPr>
          <w:rFonts w:ascii="Book Antiqua" w:hAnsi="Book Antiqua" w:cs="Arial"/>
          <w:sz w:val="22"/>
          <w:szCs w:val="20"/>
        </w:rPr>
        <w:t>“</w:t>
      </w:r>
      <w:r w:rsidR="00D56F7A" w:rsidRPr="00CE5FF7">
        <w:rPr>
          <w:rFonts w:ascii="Book Antiqua" w:hAnsi="Book Antiqua" w:cs="Arial"/>
          <w:sz w:val="22"/>
          <w:szCs w:val="20"/>
        </w:rPr>
        <w:t>98.</w:t>
      </w:r>
      <w:r w:rsidR="00D56F7A" w:rsidRPr="00CE5FF7">
        <w:rPr>
          <w:rFonts w:ascii="Book Antiqua" w:hAnsi="Book Antiqua" w:cs="Arial"/>
          <w:sz w:val="22"/>
          <w:szCs w:val="20"/>
        </w:rPr>
        <w:tab/>
      </w:r>
      <w:r w:rsidR="00D56F7A" w:rsidRPr="00CE5FF7">
        <w:rPr>
          <w:rFonts w:ascii="Book Antiqua" w:hAnsi="Book Antiqua" w:cs="Arial"/>
          <w:iCs/>
          <w:sz w:val="22"/>
          <w:szCs w:val="20"/>
        </w:rPr>
        <w:t xml:space="preserve">It is apparent from the MAC report, and the evidence of Mr </w:t>
      </w:r>
      <w:proofErr w:type="spellStart"/>
      <w:r w:rsidR="00D56F7A" w:rsidRPr="00CE5FF7">
        <w:rPr>
          <w:rFonts w:ascii="Book Antiqua" w:hAnsi="Book Antiqua" w:cs="Arial"/>
          <w:iCs/>
          <w:sz w:val="22"/>
          <w:szCs w:val="20"/>
        </w:rPr>
        <w:t>Peckover</w:t>
      </w:r>
      <w:proofErr w:type="spellEnd"/>
      <w:r w:rsidR="00D56F7A" w:rsidRPr="00CE5FF7">
        <w:rPr>
          <w:rFonts w:ascii="Book Antiqua" w:hAnsi="Book Antiqua" w:cs="Arial"/>
          <w:iCs/>
          <w:sz w:val="22"/>
          <w:szCs w:val="20"/>
        </w:rPr>
        <w:t xml:space="preserve">, the reasons for adopting a stricter approach in the new Rules were met as a practicality rather than wider policy, reflecting what the MAC acknowledged to be the relative uncertainty and difficult of verification of such sources.  That did not make it unreasonable or irrational for the Secretary of State to take this into account in formulating the Rules.  The MAC recognised the strength of the case for taking account of other sources, but did not in terms advise against the approach ultimately adopted by the </w:t>
      </w:r>
      <w:r w:rsidR="00D56F7A" w:rsidRPr="00CE5FF7">
        <w:rPr>
          <w:rFonts w:ascii="Book Antiqua" w:hAnsi="Book Antiqua" w:cs="Arial"/>
          <w:iCs/>
          <w:sz w:val="22"/>
          <w:szCs w:val="20"/>
        </w:rPr>
        <w:lastRenderedPageBreak/>
        <w:t>Secretary of State.  In considering the legality of that approach, for the reasons already discussed (para. 59 above) it is necessary to distinguish between two aspects: first, the rationality of this aspect of the Rules or instructions under common law principles, and secondly the compatibility with the HRA of similar restrictions as part of a consideration outside the Rules.  As for the first, while the application of these restrictions may seem harsh and even capricious in some cases, the matter was given careful consideration by both the MAC and the Secretary of State.  As Aikens LJ said (para 154), the decision was “not take on a whim”.  In argue, it was not irrational in the common law sense for the Secretary of State to give priority in the Rules to the simplicity of operation and the ease of verification.</w:t>
      </w:r>
    </w:p>
    <w:p w:rsidR="00B75D78" w:rsidRPr="00CE5FF7" w:rsidRDefault="00D56F7A" w:rsidP="00CE5FF7">
      <w:pPr>
        <w:spacing w:before="120" w:after="120"/>
        <w:ind w:left="1701" w:right="567" w:hanging="567"/>
        <w:jc w:val="both"/>
        <w:rPr>
          <w:rFonts w:ascii="Book Antiqua" w:hAnsi="Book Antiqua" w:cs="Arial"/>
          <w:iCs/>
          <w:sz w:val="22"/>
          <w:szCs w:val="20"/>
        </w:rPr>
      </w:pPr>
      <w:r w:rsidRPr="00CE5FF7">
        <w:rPr>
          <w:rFonts w:ascii="Book Antiqua" w:hAnsi="Book Antiqua" w:cs="Arial"/>
          <w:iCs/>
          <w:sz w:val="22"/>
          <w:szCs w:val="20"/>
        </w:rPr>
        <w:t>99.</w:t>
      </w:r>
      <w:r w:rsidRPr="00CE5FF7">
        <w:rPr>
          <w:rFonts w:ascii="Book Antiqua" w:hAnsi="Book Antiqua" w:cs="Arial"/>
          <w:iCs/>
          <w:sz w:val="22"/>
          <w:szCs w:val="20"/>
        </w:rPr>
        <w:tab/>
        <w:t xml:space="preserve">Operation of the same restrictive approach outside the Rules is a different matter, in our view is much more difficult to justify under the HRA.  This is not because “less intrusive” methods might be devised (as Blake J attempted to do: para 147), but because it is inconsistent with the character of evaluation which article 8 requires.  </w:t>
      </w:r>
      <w:r w:rsidRPr="00CE5FF7">
        <w:rPr>
          <w:rFonts w:ascii="Book Antiqua" w:hAnsi="Book Antiqua" w:cs="Arial"/>
          <w:i/>
          <w:iCs/>
          <w:sz w:val="22"/>
          <w:szCs w:val="20"/>
        </w:rPr>
        <w:t>As has been seen, avoiding a financial burden on the state can be relevant to the fair balance required by the Article. But that judgment cannot properly be constrained by a rigid restriction in the Rules</w:t>
      </w:r>
      <w:r w:rsidRPr="00CE5FF7">
        <w:rPr>
          <w:rFonts w:ascii="Book Antiqua" w:hAnsi="Book Antiqua" w:cs="Arial"/>
          <w:iCs/>
          <w:sz w:val="22"/>
          <w:szCs w:val="20"/>
        </w:rPr>
        <w:t xml:space="preserve">.  </w:t>
      </w:r>
      <w:r w:rsidRPr="00CE5FF7">
        <w:rPr>
          <w:rFonts w:ascii="Book Antiqua" w:hAnsi="Book Antiqua" w:cs="Arial"/>
          <w:i/>
          <w:iCs/>
          <w:sz w:val="22"/>
          <w:szCs w:val="20"/>
        </w:rPr>
        <w:t xml:space="preserve">Certainly, nothing that is said in the instructions to Case Officers can prevent the tribunal on appeal from looking at the matter more broadly.  These are not matters of policy on which special weight has to be accorded to the judgment of the Secretary of State </w:t>
      </w:r>
      <w:r w:rsidRPr="00CE5FF7">
        <w:rPr>
          <w:rFonts w:ascii="Book Antiqua" w:hAnsi="Book Antiqua" w:cs="Arial"/>
          <w:iCs/>
          <w:sz w:val="22"/>
          <w:szCs w:val="20"/>
        </w:rPr>
        <w:t>(my emphasis)</w:t>
      </w:r>
      <w:r w:rsidRPr="00CE5FF7">
        <w:rPr>
          <w:rFonts w:ascii="Book Antiqua" w:hAnsi="Book Antiqua" w:cs="Arial"/>
          <w:i/>
          <w:iCs/>
          <w:sz w:val="22"/>
          <w:szCs w:val="20"/>
        </w:rPr>
        <w:t>.</w:t>
      </w:r>
      <w:r w:rsidRPr="00CE5FF7">
        <w:rPr>
          <w:rFonts w:ascii="Book Antiqua" w:hAnsi="Book Antiqua" w:cs="Arial"/>
          <w:iCs/>
          <w:sz w:val="22"/>
          <w:szCs w:val="20"/>
        </w:rPr>
        <w:t xml:space="preserve">  There is nothing to prevent the tribunal, in the context of the HRA appeal, from judging for itself the reliability of any alternative sources of finance in the light of the evidence before it. ….”</w:t>
      </w:r>
    </w:p>
    <w:p w:rsidR="002F0C40" w:rsidRPr="00966E1F" w:rsidRDefault="002F0C40" w:rsidP="002F0C40">
      <w:pPr>
        <w:numPr>
          <w:ilvl w:val="0"/>
          <w:numId w:val="1"/>
        </w:numPr>
        <w:spacing w:before="240"/>
        <w:jc w:val="both"/>
        <w:rPr>
          <w:rFonts w:ascii="Book Antiqua" w:hAnsi="Book Antiqua" w:cs="Arial"/>
          <w:bCs/>
        </w:rPr>
      </w:pPr>
      <w:r>
        <w:rPr>
          <w:rFonts w:ascii="Book Antiqua" w:hAnsi="Book Antiqua" w:cs="Arial"/>
          <w:bCs/>
        </w:rPr>
        <w:t>On the premise that I am unable to allow the appeal under the Rules, I answer</w:t>
      </w:r>
      <w:r w:rsidRPr="00966E1F">
        <w:rPr>
          <w:rFonts w:ascii="Book Antiqua" w:hAnsi="Book Antiqua" w:cs="Arial"/>
          <w:bCs/>
        </w:rPr>
        <w:t xml:space="preserve"> questions 1 and 2 of the </w:t>
      </w:r>
      <w:proofErr w:type="spellStart"/>
      <w:r w:rsidRPr="00966E1F">
        <w:rPr>
          <w:rFonts w:ascii="Book Antiqua" w:hAnsi="Book Antiqua" w:cs="Arial"/>
          <w:b/>
          <w:u w:val="single"/>
        </w:rPr>
        <w:t>Razgar</w:t>
      </w:r>
      <w:proofErr w:type="spellEnd"/>
      <w:r w:rsidRPr="00966E1F">
        <w:rPr>
          <w:rFonts w:ascii="Book Antiqua" w:hAnsi="Book Antiqua" w:cs="Arial"/>
          <w:b/>
          <w:u w:val="single"/>
        </w:rPr>
        <w:t xml:space="preserve"> </w:t>
      </w:r>
      <w:r w:rsidRPr="00966E1F">
        <w:rPr>
          <w:rFonts w:ascii="Book Antiqua" w:hAnsi="Book Antiqua" w:cs="Arial"/>
          <w:bCs/>
        </w:rPr>
        <w:t xml:space="preserve">test </w:t>
      </w:r>
      <w:r>
        <w:rPr>
          <w:rFonts w:ascii="Book Antiqua" w:hAnsi="Book Antiqua" w:cs="Arial"/>
          <w:bCs/>
        </w:rPr>
        <w:t>in the claim</w:t>
      </w:r>
      <w:r w:rsidRPr="00966E1F">
        <w:rPr>
          <w:rFonts w:ascii="Book Antiqua" w:hAnsi="Book Antiqua" w:cs="Arial"/>
          <w:bCs/>
        </w:rPr>
        <w:t xml:space="preserve">ant’s favour.  Questions 3 and 4 of the </w:t>
      </w:r>
      <w:proofErr w:type="spellStart"/>
      <w:r w:rsidRPr="00966E1F">
        <w:rPr>
          <w:rFonts w:ascii="Book Antiqua" w:hAnsi="Book Antiqua" w:cs="Arial"/>
          <w:b/>
          <w:u w:val="single"/>
        </w:rPr>
        <w:t>Razgar</w:t>
      </w:r>
      <w:proofErr w:type="spellEnd"/>
      <w:r w:rsidRPr="00966E1F">
        <w:rPr>
          <w:rFonts w:ascii="Book Antiqua" w:hAnsi="Book Antiqua" w:cs="Arial"/>
          <w:b/>
          <w:u w:val="single"/>
        </w:rPr>
        <w:t xml:space="preserve"> </w:t>
      </w:r>
      <w:r>
        <w:rPr>
          <w:rFonts w:ascii="Book Antiqua" w:hAnsi="Book Antiqua" w:cs="Arial"/>
          <w:bCs/>
        </w:rPr>
        <w:t xml:space="preserve">test must be </w:t>
      </w:r>
      <w:r w:rsidRPr="00966E1F">
        <w:rPr>
          <w:rFonts w:ascii="Book Antiqua" w:hAnsi="Book Antiqua" w:cs="Arial"/>
          <w:bCs/>
        </w:rPr>
        <w:t>answ</w:t>
      </w:r>
      <w:r>
        <w:rPr>
          <w:rFonts w:ascii="Book Antiqua" w:hAnsi="Book Antiqua" w:cs="Arial"/>
          <w:bCs/>
        </w:rPr>
        <w:t xml:space="preserve">ered in favour of the </w:t>
      </w:r>
      <w:r w:rsidR="00962A63">
        <w:rPr>
          <w:rFonts w:ascii="Book Antiqua" w:hAnsi="Book Antiqua" w:cs="Arial"/>
          <w:bCs/>
        </w:rPr>
        <w:t>Secretary of State</w:t>
      </w:r>
      <w:r w:rsidRPr="00966E1F">
        <w:rPr>
          <w:rFonts w:ascii="Book Antiqua" w:hAnsi="Book Antiqua" w:cs="Arial"/>
          <w:bCs/>
        </w:rPr>
        <w:t xml:space="preserve">.  On the issue of proportionality, I </w:t>
      </w:r>
      <w:r>
        <w:rPr>
          <w:rFonts w:ascii="Book Antiqua" w:hAnsi="Book Antiqua" w:cs="Arial"/>
          <w:bCs/>
        </w:rPr>
        <w:t xml:space="preserve">must </w:t>
      </w:r>
      <w:r w:rsidRPr="00966E1F">
        <w:rPr>
          <w:rFonts w:ascii="Book Antiqua" w:hAnsi="Book Antiqua" w:cs="Arial"/>
          <w:bCs/>
        </w:rPr>
        <w:t xml:space="preserve">take into account the relevant public interest considerations arising under section 117B of the 2002 Act. </w:t>
      </w:r>
    </w:p>
    <w:p w:rsidR="002F0C40" w:rsidRPr="00D41C74" w:rsidRDefault="002F0C40" w:rsidP="002F0C40">
      <w:pPr>
        <w:numPr>
          <w:ilvl w:val="0"/>
          <w:numId w:val="1"/>
        </w:numPr>
        <w:spacing w:before="240"/>
        <w:jc w:val="both"/>
        <w:rPr>
          <w:rFonts w:ascii="Book Antiqua" w:hAnsi="Book Antiqua" w:cs="Arial"/>
          <w:bCs/>
        </w:rPr>
      </w:pPr>
      <w:r>
        <w:rPr>
          <w:rFonts w:ascii="Book Antiqua" w:hAnsi="Book Antiqua" w:cs="Arial"/>
          <w:bCs/>
        </w:rPr>
        <w:t xml:space="preserve"> </w:t>
      </w:r>
      <w:r w:rsidRPr="00D41C74">
        <w:rPr>
          <w:rFonts w:ascii="Book Antiqua" w:hAnsi="Book Antiqua" w:cs="Arial"/>
          <w:bCs/>
        </w:rPr>
        <w:t xml:space="preserve">In </w:t>
      </w:r>
      <w:r w:rsidRPr="00D41C74">
        <w:rPr>
          <w:rFonts w:ascii="Book Antiqua" w:hAnsi="Book Antiqua" w:cs="Arial"/>
          <w:b/>
          <w:u w:val="single"/>
        </w:rPr>
        <w:t>Dube</w:t>
      </w:r>
      <w:r w:rsidRPr="004A40CE">
        <w:rPr>
          <w:rFonts w:ascii="Book Antiqua" w:hAnsi="Book Antiqua" w:cs="Arial"/>
          <w:b/>
        </w:rPr>
        <w:t xml:space="preserve"> </w:t>
      </w:r>
      <w:r w:rsidRPr="00D41C74">
        <w:rPr>
          <w:rFonts w:ascii="Book Antiqua" w:hAnsi="Book Antiqua" w:cs="Arial"/>
          <w:b/>
        </w:rPr>
        <w:t xml:space="preserve">(SS.117A-117B) </w:t>
      </w:r>
      <w:r>
        <w:rPr>
          <w:rFonts w:ascii="Book Antiqua" w:hAnsi="Book Antiqua" w:cs="Arial"/>
          <w:b/>
        </w:rPr>
        <w:t>[201</w:t>
      </w:r>
      <w:r w:rsidRPr="00D41C74">
        <w:rPr>
          <w:rFonts w:ascii="Book Antiqua" w:hAnsi="Book Antiqua" w:cs="Arial"/>
          <w:b/>
        </w:rPr>
        <w:t>5</w:t>
      </w:r>
      <w:r>
        <w:rPr>
          <w:rFonts w:ascii="Book Antiqua" w:hAnsi="Book Antiqua" w:cs="Arial"/>
          <w:b/>
        </w:rPr>
        <w:t>]</w:t>
      </w:r>
      <w:r w:rsidRPr="00D41C74">
        <w:rPr>
          <w:rFonts w:ascii="Book Antiqua" w:hAnsi="Book Antiqua" w:cs="Arial"/>
          <w:b/>
        </w:rPr>
        <w:t xml:space="preserve"> UKUT 90 (IAC)</w:t>
      </w:r>
      <w:r>
        <w:rPr>
          <w:rFonts w:ascii="Book Antiqua" w:hAnsi="Book Antiqua" w:cs="Arial"/>
          <w:bCs/>
        </w:rPr>
        <w:t>, a decision of Nicol J and UTJ Storey,</w:t>
      </w:r>
      <w:r w:rsidRPr="00D41C74">
        <w:rPr>
          <w:rFonts w:ascii="Book Antiqua" w:hAnsi="Book Antiqua" w:cs="Arial"/>
          <w:bCs/>
        </w:rPr>
        <w:t xml:space="preserve"> the panel said at [32]:</w:t>
      </w:r>
    </w:p>
    <w:p w:rsidR="002F0C40" w:rsidRDefault="00CE5FF7" w:rsidP="00CE5FF7">
      <w:pPr>
        <w:spacing w:before="120" w:after="120"/>
        <w:ind w:left="1134" w:right="567"/>
        <w:jc w:val="both"/>
        <w:rPr>
          <w:rFonts w:ascii="Book Antiqua" w:hAnsi="Book Antiqua" w:cs="Arial"/>
          <w:bCs/>
          <w:sz w:val="22"/>
          <w:szCs w:val="22"/>
        </w:rPr>
      </w:pPr>
      <w:r>
        <w:rPr>
          <w:rFonts w:ascii="Book Antiqua" w:hAnsi="Book Antiqua" w:cs="Arial"/>
          <w:bCs/>
          <w:sz w:val="22"/>
          <w:szCs w:val="22"/>
        </w:rPr>
        <w:t>“</w:t>
      </w:r>
      <w:r w:rsidR="002F0C40">
        <w:rPr>
          <w:rFonts w:ascii="Book Antiqua" w:hAnsi="Book Antiqua" w:cs="Arial"/>
          <w:bCs/>
          <w:sz w:val="22"/>
          <w:szCs w:val="22"/>
        </w:rPr>
        <w:t xml:space="preserve">Another difficulty is that being a non-exhaustive specification of certain Article 8 considerations, ss.117A-117B do not disinvest a judge of the need to apply established principles of case law dealing with considerations not covered.  As Mr Melvin correctly observed, both UK and Strasbourg case law in Article 8 identifies the issue of whether ties with other persons have been formed at a time when an applicant is aware that his or her immigration status is precarious as a relevant factor in respect of </w:t>
      </w:r>
      <w:r w:rsidR="002F0C40">
        <w:rPr>
          <w:rFonts w:ascii="Book Antiqua" w:hAnsi="Book Antiqua" w:cs="Arial"/>
          <w:bCs/>
          <w:i/>
          <w:iCs/>
          <w:sz w:val="22"/>
          <w:szCs w:val="22"/>
        </w:rPr>
        <w:t xml:space="preserve">both </w:t>
      </w:r>
      <w:r w:rsidR="002F0C40">
        <w:rPr>
          <w:rFonts w:ascii="Book Antiqua" w:hAnsi="Book Antiqua" w:cs="Arial"/>
          <w:bCs/>
          <w:sz w:val="22"/>
          <w:szCs w:val="22"/>
        </w:rPr>
        <w:t xml:space="preserve">family life and private life.  As stated in the recent Grand Chamber judgment in </w:t>
      </w:r>
      <w:proofErr w:type="spellStart"/>
      <w:r w:rsidR="002F0C40">
        <w:rPr>
          <w:rFonts w:ascii="Book Antiqua" w:hAnsi="Book Antiqua" w:cs="Arial"/>
          <w:b/>
          <w:sz w:val="22"/>
          <w:szCs w:val="22"/>
          <w:u w:val="single"/>
        </w:rPr>
        <w:t>Jeunesse</w:t>
      </w:r>
      <w:proofErr w:type="spellEnd"/>
      <w:r w:rsidR="002F0C40">
        <w:rPr>
          <w:rFonts w:ascii="Book Antiqua" w:hAnsi="Book Antiqua" w:cs="Arial"/>
          <w:b/>
          <w:sz w:val="22"/>
          <w:szCs w:val="22"/>
          <w:u w:val="single"/>
        </w:rPr>
        <w:t xml:space="preserve"> -v- Netherlands</w:t>
      </w:r>
      <w:r w:rsidR="002F0C40">
        <w:rPr>
          <w:rFonts w:ascii="Book Antiqua" w:hAnsi="Book Antiqua" w:cs="Arial"/>
          <w:b/>
          <w:sz w:val="22"/>
          <w:szCs w:val="22"/>
        </w:rPr>
        <w:t xml:space="preserve"> Application no. 12738/10</w:t>
      </w:r>
      <w:r w:rsidR="002F0C40">
        <w:rPr>
          <w:rFonts w:ascii="Book Antiqua" w:hAnsi="Book Antiqua" w:cs="Arial"/>
          <w:bCs/>
          <w:sz w:val="22"/>
          <w:szCs w:val="22"/>
        </w:rPr>
        <w:t xml:space="preserve">, 2 Oct 2014: </w:t>
      </w:r>
    </w:p>
    <w:p w:rsidR="002F0C40" w:rsidRDefault="002F0C40" w:rsidP="00CE5FF7">
      <w:pPr>
        <w:spacing w:before="120" w:after="120"/>
        <w:ind w:left="1701" w:right="567"/>
        <w:jc w:val="both"/>
        <w:rPr>
          <w:rFonts w:ascii="Book Antiqua" w:hAnsi="Book Antiqua" w:cs="Arial"/>
          <w:bCs/>
          <w:sz w:val="22"/>
          <w:szCs w:val="22"/>
        </w:rPr>
      </w:pPr>
      <w:r>
        <w:rPr>
          <w:rFonts w:ascii="Book Antiqua" w:hAnsi="Book Antiqua" w:cs="Arial"/>
          <w:bCs/>
          <w:sz w:val="22"/>
          <w:szCs w:val="22"/>
        </w:rPr>
        <w:t>“108.</w:t>
      </w:r>
      <w:r>
        <w:rPr>
          <w:rFonts w:ascii="Book Antiqua" w:hAnsi="Book Antiqua" w:cs="Arial"/>
          <w:bCs/>
          <w:sz w:val="22"/>
          <w:szCs w:val="22"/>
        </w:rPr>
        <w:tab/>
        <w:t>Another important consideration is whether family life is created at a time when the persons involved were aware that the immigration status of one of them was such that the persistence of that family life within the host State would from the outset be precarious.  It is the Court’s well-established case law that, where this is the case, it is likely only to be in exceptional circumstances that the removal of a non-national family member will constitute a violation of Article 8…”</w:t>
      </w:r>
    </w:p>
    <w:p w:rsidR="002F0C40" w:rsidRPr="00B732D3" w:rsidRDefault="002F0C40" w:rsidP="00CE5FF7">
      <w:pPr>
        <w:spacing w:before="120" w:after="120"/>
        <w:ind w:left="1134" w:right="567"/>
        <w:jc w:val="both"/>
        <w:rPr>
          <w:rFonts w:ascii="Book Antiqua" w:hAnsi="Book Antiqua" w:cs="Arial"/>
          <w:bCs/>
          <w:iCs/>
          <w:sz w:val="22"/>
          <w:szCs w:val="22"/>
        </w:rPr>
      </w:pPr>
      <w:r w:rsidRPr="00D41C74">
        <w:rPr>
          <w:rFonts w:ascii="Book Antiqua" w:hAnsi="Book Antiqua" w:cs="Arial"/>
          <w:bCs/>
          <w:sz w:val="22"/>
          <w:szCs w:val="22"/>
        </w:rPr>
        <w:lastRenderedPageBreak/>
        <w:t>Whether or not by reference to S.117B or to establish case law, the First-tier Tribunal Judge is required to have regard to this criterion.  Any decision on the “</w:t>
      </w:r>
      <w:r w:rsidRPr="00D41C74">
        <w:rPr>
          <w:rFonts w:ascii="Book Antiqua" w:hAnsi="Book Antiqua" w:cs="Arial"/>
          <w:bCs/>
          <w:iCs/>
          <w:sz w:val="22"/>
          <w:szCs w:val="22"/>
        </w:rPr>
        <w:t>public interest question</w:t>
      </w:r>
      <w:r>
        <w:rPr>
          <w:rFonts w:ascii="Book Antiqua" w:hAnsi="Book Antiqua" w:cs="Arial"/>
          <w:bCs/>
          <w:iCs/>
          <w:sz w:val="22"/>
          <w:szCs w:val="22"/>
        </w:rPr>
        <w:t>” as</w:t>
      </w:r>
      <w:r w:rsidRPr="00D41C74">
        <w:rPr>
          <w:rFonts w:ascii="Book Antiqua" w:hAnsi="Book Antiqua" w:cs="Arial"/>
          <w:bCs/>
          <w:iCs/>
          <w:sz w:val="22"/>
          <w:szCs w:val="22"/>
        </w:rPr>
        <w:t xml:space="preserve"> defined by S.117</w:t>
      </w:r>
      <w:proofErr w:type="gramStart"/>
      <w:r w:rsidRPr="00D41C74">
        <w:rPr>
          <w:rFonts w:ascii="Book Antiqua" w:hAnsi="Book Antiqua" w:cs="Arial"/>
          <w:bCs/>
          <w:iCs/>
          <w:sz w:val="22"/>
          <w:szCs w:val="22"/>
        </w:rPr>
        <w:t>A(</w:t>
      </w:r>
      <w:proofErr w:type="gramEnd"/>
      <w:r w:rsidRPr="00D41C74">
        <w:rPr>
          <w:rFonts w:ascii="Book Antiqua" w:hAnsi="Book Antiqua" w:cs="Arial"/>
          <w:bCs/>
          <w:iCs/>
          <w:sz w:val="22"/>
          <w:szCs w:val="22"/>
        </w:rPr>
        <w:t>3) would have incomplete without it.</w:t>
      </w:r>
      <w:r w:rsidR="00CE5FF7">
        <w:rPr>
          <w:rFonts w:ascii="Book Antiqua" w:hAnsi="Book Antiqua" w:cs="Arial"/>
          <w:bCs/>
          <w:iCs/>
          <w:sz w:val="22"/>
          <w:szCs w:val="22"/>
        </w:rPr>
        <w:t>”</w:t>
      </w:r>
    </w:p>
    <w:p w:rsidR="002F0C40" w:rsidRPr="00D13EF6" w:rsidRDefault="002F0C40" w:rsidP="002F0C40">
      <w:pPr>
        <w:numPr>
          <w:ilvl w:val="0"/>
          <w:numId w:val="1"/>
        </w:numPr>
        <w:spacing w:before="240"/>
        <w:jc w:val="both"/>
        <w:rPr>
          <w:rFonts w:ascii="Book Antiqua" w:hAnsi="Book Antiqua" w:cs="Arial"/>
          <w:bCs/>
        </w:rPr>
      </w:pPr>
      <w:r>
        <w:rPr>
          <w:rFonts w:ascii="Book Antiqua" w:hAnsi="Book Antiqua" w:cs="Arial"/>
          <w:bCs/>
        </w:rPr>
        <w:t xml:space="preserve">In </w:t>
      </w:r>
      <w:proofErr w:type="spellStart"/>
      <w:r>
        <w:rPr>
          <w:rFonts w:ascii="Book Antiqua" w:hAnsi="Book Antiqua" w:cs="Arial"/>
          <w:b/>
          <w:u w:val="single"/>
        </w:rPr>
        <w:t>Rhuppiah</w:t>
      </w:r>
      <w:proofErr w:type="spellEnd"/>
      <w:r>
        <w:rPr>
          <w:rFonts w:ascii="Book Antiqua" w:hAnsi="Book Antiqua" w:cs="Arial"/>
          <w:b/>
          <w:u w:val="single"/>
        </w:rPr>
        <w:t xml:space="preserve"> </w:t>
      </w:r>
      <w:r>
        <w:rPr>
          <w:rFonts w:ascii="Book Antiqua" w:hAnsi="Book Antiqua" w:cs="Arial"/>
          <w:b/>
        </w:rPr>
        <w:t xml:space="preserve">v SSHD [2016] EWCA </w:t>
      </w:r>
      <w:proofErr w:type="spellStart"/>
      <w:r>
        <w:rPr>
          <w:rFonts w:ascii="Book Antiqua" w:hAnsi="Book Antiqua" w:cs="Arial"/>
          <w:b/>
        </w:rPr>
        <w:t>Civ</w:t>
      </w:r>
      <w:proofErr w:type="spellEnd"/>
      <w:r>
        <w:rPr>
          <w:rFonts w:ascii="Book Antiqua" w:hAnsi="Book Antiqua" w:cs="Arial"/>
          <w:b/>
        </w:rPr>
        <w:t xml:space="preserve"> 803</w:t>
      </w:r>
      <w:r>
        <w:rPr>
          <w:rFonts w:ascii="Book Antiqua" w:hAnsi="Book Antiqua" w:cs="Arial"/>
          <w:bCs/>
        </w:rPr>
        <w:t xml:space="preserve">, the Court held that a person’s ability to speak English is a neutral factor, as is the fact that a person is financially independent. The claimant is not in any event financially independent, as she is a homemaker and </w:t>
      </w:r>
      <w:r w:rsidR="00962A63">
        <w:rPr>
          <w:rFonts w:ascii="Book Antiqua" w:hAnsi="Book Antiqua" w:cs="Arial"/>
          <w:bCs/>
        </w:rPr>
        <w:t xml:space="preserve">so she </w:t>
      </w:r>
      <w:r>
        <w:rPr>
          <w:rFonts w:ascii="Book Antiqua" w:hAnsi="Book Antiqua" w:cs="Arial"/>
          <w:bCs/>
        </w:rPr>
        <w:t>is depen</w:t>
      </w:r>
      <w:r w:rsidR="00962A63">
        <w:rPr>
          <w:rFonts w:ascii="Book Antiqua" w:hAnsi="Book Antiqua" w:cs="Arial"/>
          <w:bCs/>
        </w:rPr>
        <w:t>dent financially on her husband.</w:t>
      </w:r>
    </w:p>
    <w:p w:rsidR="002F0C40" w:rsidRDefault="002F0C40" w:rsidP="002F0C40">
      <w:pPr>
        <w:numPr>
          <w:ilvl w:val="0"/>
          <w:numId w:val="1"/>
        </w:numPr>
        <w:spacing w:before="240"/>
        <w:jc w:val="both"/>
        <w:rPr>
          <w:rFonts w:ascii="Book Antiqua" w:hAnsi="Book Antiqua" w:cs="Arial"/>
          <w:bCs/>
          <w:lang w:val="en-US"/>
        </w:rPr>
      </w:pPr>
      <w:r>
        <w:rPr>
          <w:rFonts w:ascii="Book Antiqua" w:hAnsi="Book Antiqua" w:cs="Arial"/>
          <w:bCs/>
        </w:rPr>
        <w:t xml:space="preserve">Of assistance to the claimant is the </w:t>
      </w:r>
      <w:proofErr w:type="spellStart"/>
      <w:r w:rsidRPr="00E1281B">
        <w:rPr>
          <w:rFonts w:ascii="Book Antiqua" w:hAnsi="Book Antiqua" w:cs="Arial"/>
          <w:b/>
          <w:u w:val="single"/>
        </w:rPr>
        <w:t>Chikwamba</w:t>
      </w:r>
      <w:proofErr w:type="spellEnd"/>
      <w:r w:rsidRPr="00E1281B">
        <w:rPr>
          <w:rFonts w:ascii="Book Antiqua" w:hAnsi="Book Antiqua" w:cs="Arial"/>
        </w:rPr>
        <w:t xml:space="preserve"> </w:t>
      </w:r>
      <w:r>
        <w:rPr>
          <w:rFonts w:ascii="Book Antiqua" w:hAnsi="Book Antiqua" w:cs="Arial"/>
          <w:bCs/>
        </w:rPr>
        <w:t xml:space="preserve">line of authority, including the following passages from </w:t>
      </w:r>
      <w:proofErr w:type="spellStart"/>
      <w:r>
        <w:rPr>
          <w:rFonts w:ascii="Book Antiqua" w:hAnsi="Book Antiqua" w:cs="Arial"/>
          <w:b/>
          <w:u w:val="single"/>
        </w:rPr>
        <w:t>Agyarko</w:t>
      </w:r>
      <w:proofErr w:type="spellEnd"/>
      <w:r>
        <w:rPr>
          <w:rFonts w:ascii="Book Antiqua" w:hAnsi="Book Antiqua" w:cs="Arial"/>
          <w:b/>
          <w:u w:val="single"/>
        </w:rPr>
        <w:t xml:space="preserve"> -v- SSHD</w:t>
      </w:r>
      <w:r>
        <w:rPr>
          <w:rFonts w:ascii="Book Antiqua" w:hAnsi="Book Antiqua" w:cs="Arial"/>
          <w:b/>
        </w:rPr>
        <w:t xml:space="preserve"> [2017] UKSC 11</w:t>
      </w:r>
      <w:r>
        <w:rPr>
          <w:rFonts w:ascii="Book Antiqua" w:hAnsi="Book Antiqua" w:cs="Arial"/>
          <w:bCs/>
        </w:rPr>
        <w:t>:</w:t>
      </w:r>
    </w:p>
    <w:p w:rsidR="002F0C40" w:rsidRDefault="00CE5FF7" w:rsidP="004A40CE">
      <w:pPr>
        <w:tabs>
          <w:tab w:val="left" w:pos="1701"/>
        </w:tabs>
        <w:spacing w:before="120" w:after="120"/>
        <w:ind w:left="1134" w:right="567"/>
        <w:jc w:val="both"/>
        <w:rPr>
          <w:rFonts w:ascii="Book Antiqua" w:hAnsi="Book Antiqua" w:cs="Arial"/>
          <w:bCs/>
          <w:sz w:val="22"/>
          <w:szCs w:val="22"/>
        </w:rPr>
      </w:pPr>
      <w:r>
        <w:rPr>
          <w:rFonts w:ascii="Book Antiqua" w:hAnsi="Book Antiqua" w:cs="Arial"/>
          <w:bCs/>
          <w:sz w:val="22"/>
          <w:szCs w:val="22"/>
        </w:rPr>
        <w:t>“36.</w:t>
      </w:r>
      <w:r w:rsidR="004A40CE">
        <w:rPr>
          <w:rFonts w:ascii="Book Antiqua" w:hAnsi="Book Antiqua" w:cs="Arial"/>
          <w:bCs/>
          <w:sz w:val="22"/>
          <w:szCs w:val="22"/>
        </w:rPr>
        <w:tab/>
      </w:r>
      <w:r w:rsidR="002F0C40">
        <w:rPr>
          <w:rFonts w:ascii="Book Antiqua" w:hAnsi="Book Antiqua" w:cs="Arial"/>
          <w:bCs/>
          <w:sz w:val="22"/>
          <w:szCs w:val="22"/>
        </w:rPr>
        <w:t xml:space="preserve">… So far as </w:t>
      </w:r>
      <w:proofErr w:type="spellStart"/>
      <w:r w:rsidR="002F0C40" w:rsidRPr="0048036E">
        <w:rPr>
          <w:rFonts w:ascii="Book Antiqua" w:hAnsi="Book Antiqua" w:cs="Arial"/>
          <w:i/>
          <w:sz w:val="22"/>
          <w:szCs w:val="22"/>
        </w:rPr>
        <w:t>Chikwamba</w:t>
      </w:r>
      <w:proofErr w:type="spellEnd"/>
      <w:r w:rsidR="002F0C40" w:rsidRPr="0048036E">
        <w:rPr>
          <w:rFonts w:ascii="Book Antiqua" w:hAnsi="Book Antiqua" w:cs="Arial"/>
          <w:i/>
          <w:sz w:val="22"/>
          <w:szCs w:val="22"/>
        </w:rPr>
        <w:t xml:space="preserve"> </w:t>
      </w:r>
      <w:r w:rsidR="002F0C40">
        <w:rPr>
          <w:rFonts w:ascii="Book Antiqua" w:hAnsi="Book Antiqua" w:cs="Arial"/>
          <w:bCs/>
          <w:sz w:val="22"/>
          <w:szCs w:val="22"/>
        </w:rPr>
        <w:t>was concerned, the House of Lords found that there would be a violation of Article 8 if the applicant for leave to remain in that case were removed from the UK and forced to make an out of country application for leave to enter which would clearly be successful, in circumstances where the interference with their family life could not be said to serve any good purpose.</w:t>
      </w:r>
    </w:p>
    <w:p w:rsidR="004A40CE" w:rsidRDefault="004A40CE" w:rsidP="004A40CE">
      <w:pPr>
        <w:tabs>
          <w:tab w:val="left" w:pos="1701"/>
        </w:tabs>
        <w:spacing w:before="120" w:after="120"/>
        <w:ind w:left="1134" w:right="567"/>
        <w:jc w:val="both"/>
        <w:rPr>
          <w:rFonts w:ascii="Book Antiqua" w:hAnsi="Book Antiqua" w:cs="Arial"/>
          <w:bCs/>
          <w:sz w:val="22"/>
          <w:szCs w:val="22"/>
        </w:rPr>
      </w:pPr>
      <w:r>
        <w:rPr>
          <w:rFonts w:ascii="Book Antiqua" w:hAnsi="Book Antiqua" w:cs="Arial"/>
          <w:bCs/>
          <w:sz w:val="22"/>
          <w:szCs w:val="22"/>
        </w:rPr>
        <w:t>…</w:t>
      </w:r>
    </w:p>
    <w:p w:rsidR="002F0C40" w:rsidRPr="0048036E" w:rsidRDefault="002F0C40" w:rsidP="004A40CE">
      <w:pPr>
        <w:tabs>
          <w:tab w:val="left" w:pos="1701"/>
        </w:tabs>
        <w:spacing w:before="120" w:after="120"/>
        <w:ind w:left="1134" w:right="567"/>
        <w:jc w:val="both"/>
        <w:rPr>
          <w:rFonts w:ascii="Book Antiqua" w:hAnsi="Book Antiqua" w:cs="Arial"/>
          <w:bCs/>
          <w:sz w:val="22"/>
          <w:szCs w:val="22"/>
        </w:rPr>
      </w:pPr>
      <w:r>
        <w:rPr>
          <w:rFonts w:ascii="Book Antiqua" w:hAnsi="Book Antiqua" w:cs="Arial"/>
          <w:bCs/>
          <w:sz w:val="22"/>
          <w:szCs w:val="22"/>
        </w:rPr>
        <w:t>51.</w:t>
      </w:r>
      <w:r w:rsidR="004A40CE">
        <w:rPr>
          <w:rFonts w:ascii="Book Antiqua" w:hAnsi="Book Antiqua" w:cs="Arial"/>
          <w:bCs/>
          <w:sz w:val="22"/>
          <w:szCs w:val="22"/>
        </w:rPr>
        <w:tab/>
      </w:r>
      <w:r>
        <w:rPr>
          <w:rFonts w:ascii="Book Antiqua" w:hAnsi="Book Antiqua" w:cs="Arial"/>
          <w:bCs/>
          <w:sz w:val="22"/>
          <w:szCs w:val="22"/>
        </w:rPr>
        <w:t xml:space="preserve">Whether the applicant is in the UK unlawfully, or is entitled to remain in the UK only temporarily … the significance of this consideration depends on what the outcome of immigration control might otherwise be.  For example, if an applicant would otherwise be automatically deported as a foreign criminal, then the weight of the public interest in his or her removal would generally be very considerable.  If, on the other hand, an applicant - even if residing in the UK unlawfully - was otherwise certain to be granted leave to enter, at least if an application were made from outside the UK, then there might be no public interest in his or her removal.  The point is illustrated by the decision in </w:t>
      </w:r>
      <w:proofErr w:type="spellStart"/>
      <w:r w:rsidRPr="0048036E">
        <w:rPr>
          <w:rFonts w:ascii="Book Antiqua" w:hAnsi="Book Antiqua" w:cs="Arial"/>
          <w:i/>
          <w:sz w:val="22"/>
          <w:szCs w:val="22"/>
        </w:rPr>
        <w:t>Chikwamba</w:t>
      </w:r>
      <w:proofErr w:type="spellEnd"/>
      <w:r w:rsidRPr="0048036E">
        <w:rPr>
          <w:rFonts w:ascii="Book Antiqua" w:hAnsi="Book Antiqua" w:cs="Arial"/>
          <w:i/>
          <w:sz w:val="22"/>
          <w:szCs w:val="22"/>
        </w:rPr>
        <w:t xml:space="preserve"> -v- Secretary of State for the Home Department</w:t>
      </w:r>
      <w:r>
        <w:rPr>
          <w:rFonts w:ascii="Book Antiqua" w:hAnsi="Book Antiqua" w:cs="Arial"/>
          <w:sz w:val="22"/>
          <w:szCs w:val="22"/>
        </w:rPr>
        <w:t>.</w:t>
      </w:r>
      <w:r w:rsidR="00CE5FF7">
        <w:rPr>
          <w:rFonts w:ascii="Book Antiqua" w:hAnsi="Book Antiqua" w:cs="Arial"/>
          <w:sz w:val="22"/>
          <w:szCs w:val="22"/>
        </w:rPr>
        <w:t>”</w:t>
      </w:r>
    </w:p>
    <w:p w:rsidR="00851596" w:rsidRDefault="002F0C40" w:rsidP="002F0C40">
      <w:pPr>
        <w:numPr>
          <w:ilvl w:val="0"/>
          <w:numId w:val="1"/>
        </w:numPr>
        <w:spacing w:before="240"/>
        <w:jc w:val="both"/>
        <w:rPr>
          <w:rFonts w:ascii="Book Antiqua" w:hAnsi="Book Antiqua" w:cs="Arial"/>
          <w:bCs/>
        </w:rPr>
      </w:pPr>
      <w:r>
        <w:rPr>
          <w:rFonts w:ascii="Book Antiqua" w:hAnsi="Book Antiqua" w:cs="Arial"/>
          <w:bCs/>
        </w:rPr>
        <w:t xml:space="preserve">In the light of my earlier findings of fact, and my observations at paragraphs [23] and [24] above, I do not consider that the interference with family life consequential upon the maintenance of the refusal decision could be said to serve any good purpose. Despite the gaps in the specified evidence, the overwhelming probability </w:t>
      </w:r>
      <w:r w:rsidR="00851596">
        <w:rPr>
          <w:rFonts w:ascii="Book Antiqua" w:hAnsi="Book Antiqua" w:cs="Arial"/>
          <w:bCs/>
        </w:rPr>
        <w:t xml:space="preserve">(having regard </w:t>
      </w:r>
      <w:r w:rsidR="00851596">
        <w:rPr>
          <w:rFonts w:ascii="Book Antiqua" w:hAnsi="Book Antiqua" w:cs="Arial"/>
          <w:bCs/>
          <w:i/>
        </w:rPr>
        <w:t xml:space="preserve">inter alia </w:t>
      </w:r>
      <w:r w:rsidR="00851596">
        <w:rPr>
          <w:rFonts w:ascii="Book Antiqua" w:hAnsi="Book Antiqua" w:cs="Arial"/>
          <w:bCs/>
        </w:rPr>
        <w:t xml:space="preserve">to the latest P60 and the recent letter awarding him an increase in his basic salary) </w:t>
      </w:r>
      <w:r>
        <w:rPr>
          <w:rFonts w:ascii="Book Antiqua" w:hAnsi="Book Antiqua" w:cs="Arial"/>
          <w:bCs/>
        </w:rPr>
        <w:t>is that</w:t>
      </w:r>
      <w:r w:rsidR="00851596">
        <w:rPr>
          <w:rFonts w:ascii="Book Antiqua" w:hAnsi="Book Antiqua" w:cs="Arial"/>
          <w:bCs/>
        </w:rPr>
        <w:t xml:space="preserve"> the sponsor is telling the truth when he says that he is a long-standing employee of the </w:t>
      </w:r>
      <w:r w:rsidR="00244BA2">
        <w:rPr>
          <w:rFonts w:ascii="Book Antiqua" w:hAnsi="Book Antiqua" w:cs="Arial"/>
          <w:bCs/>
        </w:rPr>
        <w:t xml:space="preserve">building </w:t>
      </w:r>
      <w:r w:rsidR="00851596">
        <w:rPr>
          <w:rFonts w:ascii="Book Antiqua" w:hAnsi="Book Antiqua" w:cs="Arial"/>
          <w:bCs/>
        </w:rPr>
        <w:t xml:space="preserve">company which </w:t>
      </w:r>
      <w:r w:rsidR="00244BA2">
        <w:rPr>
          <w:rFonts w:ascii="Book Antiqua" w:hAnsi="Book Antiqua" w:cs="Arial"/>
          <w:bCs/>
        </w:rPr>
        <w:t>issued his P60 for the year to April 2018</w:t>
      </w:r>
      <w:r w:rsidR="00851596">
        <w:rPr>
          <w:rFonts w:ascii="Book Antiqua" w:hAnsi="Book Antiqua" w:cs="Arial"/>
          <w:bCs/>
        </w:rPr>
        <w:t xml:space="preserve">: and that he has been earning well in excess of the MIR for a considerable number of years. In addition, if properly directed, I have no doubt that the sponsor could produce </w:t>
      </w:r>
      <w:r w:rsidR="00962A63">
        <w:rPr>
          <w:rFonts w:ascii="Book Antiqua" w:hAnsi="Book Antiqua" w:cs="Arial"/>
          <w:bCs/>
        </w:rPr>
        <w:t>t</w:t>
      </w:r>
      <w:r w:rsidR="00851596">
        <w:rPr>
          <w:rFonts w:ascii="Book Antiqua" w:hAnsi="Book Antiqua" w:cs="Arial"/>
          <w:bCs/>
        </w:rPr>
        <w:t>he</w:t>
      </w:r>
      <w:r w:rsidR="00962A63">
        <w:rPr>
          <w:rFonts w:ascii="Book Antiqua" w:hAnsi="Book Antiqua" w:cs="Arial"/>
          <w:bCs/>
        </w:rPr>
        <w:t xml:space="preserve"> mandatory specified </w:t>
      </w:r>
      <w:r w:rsidR="00851596">
        <w:rPr>
          <w:rFonts w:ascii="Book Antiqua" w:hAnsi="Book Antiqua" w:cs="Arial"/>
          <w:bCs/>
        </w:rPr>
        <w:t xml:space="preserve">evidence in Appendix FM-SE to show that the MIR </w:t>
      </w:r>
      <w:r w:rsidR="00962A63">
        <w:rPr>
          <w:rFonts w:ascii="Book Antiqua" w:hAnsi="Book Antiqua" w:cs="Arial"/>
          <w:bCs/>
        </w:rPr>
        <w:t>is met f</w:t>
      </w:r>
      <w:r w:rsidR="00851596">
        <w:rPr>
          <w:rFonts w:ascii="Book Antiqua" w:hAnsi="Book Antiqua" w:cs="Arial"/>
          <w:bCs/>
        </w:rPr>
        <w:t xml:space="preserve">or the purposes of an application by his wife for entry clearance. Thus, the application would be certain to succeed, and there is little or no public interest in the claimant’s removal – as </w:t>
      </w:r>
      <w:r w:rsidR="00962A63">
        <w:rPr>
          <w:rFonts w:ascii="Book Antiqua" w:hAnsi="Book Antiqua" w:cs="Arial"/>
          <w:bCs/>
        </w:rPr>
        <w:t>her removal</w:t>
      </w:r>
      <w:r w:rsidR="00851596">
        <w:rPr>
          <w:rFonts w:ascii="Book Antiqua" w:hAnsi="Book Antiqua" w:cs="Arial"/>
          <w:bCs/>
        </w:rPr>
        <w:t xml:space="preserve"> is totally unnecessary for the p</w:t>
      </w:r>
      <w:r w:rsidR="00962A63">
        <w:rPr>
          <w:rFonts w:ascii="Book Antiqua" w:hAnsi="Book Antiqua" w:cs="Arial"/>
          <w:bCs/>
        </w:rPr>
        <w:t>urpose of protecting</w:t>
      </w:r>
      <w:r w:rsidR="00851596">
        <w:rPr>
          <w:rFonts w:ascii="Book Antiqua" w:hAnsi="Book Antiqua" w:cs="Arial"/>
          <w:bCs/>
        </w:rPr>
        <w:t xml:space="preserve"> this country’s economic well-being.</w:t>
      </w:r>
      <w:r w:rsidR="00962A63">
        <w:rPr>
          <w:rFonts w:ascii="Book Antiqua" w:hAnsi="Book Antiqua" w:cs="Arial"/>
          <w:bCs/>
        </w:rPr>
        <w:t xml:space="preserve"> </w:t>
      </w:r>
      <w:proofErr w:type="gramStart"/>
      <w:r w:rsidR="00962A63">
        <w:rPr>
          <w:rFonts w:ascii="Book Antiqua" w:hAnsi="Book Antiqua" w:cs="Arial"/>
          <w:bCs/>
        </w:rPr>
        <w:t>So</w:t>
      </w:r>
      <w:proofErr w:type="gramEnd"/>
      <w:r w:rsidR="00962A63">
        <w:rPr>
          <w:rFonts w:ascii="Book Antiqua" w:hAnsi="Book Antiqua" w:cs="Arial"/>
          <w:bCs/>
        </w:rPr>
        <w:t xml:space="preserve"> my conclusion is that the maintenance of the refusal decision is disproportionate, and I allow the claimant’s appeal on this ground. </w:t>
      </w:r>
    </w:p>
    <w:p w:rsidR="00BE77B8" w:rsidRDefault="00BE77B8" w:rsidP="001A2B20">
      <w:pPr>
        <w:spacing w:before="240"/>
        <w:jc w:val="both"/>
        <w:rPr>
          <w:rFonts w:ascii="Book Antiqua" w:hAnsi="Book Antiqua" w:cs="Arial"/>
          <w:b/>
          <w:bCs/>
          <w:u w:val="single"/>
        </w:rPr>
      </w:pPr>
    </w:p>
    <w:p w:rsidR="001A2B20" w:rsidRDefault="001A2B20" w:rsidP="001A2B20">
      <w:pPr>
        <w:spacing w:before="240"/>
        <w:jc w:val="both"/>
        <w:rPr>
          <w:rFonts w:ascii="Book Antiqua" w:hAnsi="Book Antiqua" w:cs="Arial"/>
          <w:b/>
          <w:bCs/>
          <w:u w:val="single"/>
        </w:rPr>
      </w:pPr>
      <w:bookmarkStart w:id="0" w:name="_GoBack"/>
      <w:bookmarkEnd w:id="0"/>
      <w:r>
        <w:rPr>
          <w:rFonts w:ascii="Book Antiqua" w:hAnsi="Book Antiqua" w:cs="Arial"/>
          <w:b/>
          <w:bCs/>
          <w:u w:val="single"/>
        </w:rPr>
        <w:lastRenderedPageBreak/>
        <w:t>Notice of Decision</w:t>
      </w:r>
    </w:p>
    <w:p w:rsidR="001A2B20" w:rsidRPr="001A2B20" w:rsidRDefault="001A2B20" w:rsidP="001A2B20">
      <w:pPr>
        <w:spacing w:before="240"/>
        <w:jc w:val="both"/>
        <w:rPr>
          <w:rFonts w:ascii="Book Antiqua" w:hAnsi="Book Antiqua" w:cs="Arial"/>
          <w:bCs/>
        </w:rPr>
      </w:pPr>
      <w:r>
        <w:rPr>
          <w:rFonts w:ascii="Book Antiqua" w:hAnsi="Book Antiqua" w:cs="Arial"/>
          <w:bCs/>
        </w:rPr>
        <w:t>The decision of the First-tier Tribunal contained an error of law, and so the decision is set aside and the following decision substituted: this appeal is allowed on human rights (Article 8 ECHR) grounds.</w:t>
      </w:r>
    </w:p>
    <w:p w:rsidR="00297BE0" w:rsidRDefault="00297BE0">
      <w:pPr>
        <w:tabs>
          <w:tab w:val="left" w:pos="567"/>
        </w:tabs>
        <w:jc w:val="both"/>
        <w:rPr>
          <w:rFonts w:ascii="Book Antiqua" w:hAnsi="Book Antiqua" w:cs="Arial"/>
        </w:rPr>
      </w:pPr>
    </w:p>
    <w:p w:rsidR="00297BE0" w:rsidRDefault="00297BE0">
      <w:pPr>
        <w:tabs>
          <w:tab w:val="left" w:pos="567"/>
        </w:tabs>
        <w:jc w:val="both"/>
        <w:rPr>
          <w:rFonts w:ascii="Book Antiqua" w:hAnsi="Book Antiqua" w:cs="Arial"/>
        </w:rPr>
      </w:pPr>
      <w:r>
        <w:rPr>
          <w:rFonts w:ascii="Book Antiqua" w:hAnsi="Book Antiqua" w:cs="Arial"/>
        </w:rPr>
        <w:t>I make no anonymity direction.</w:t>
      </w:r>
    </w:p>
    <w:p w:rsidR="00297BE0" w:rsidRDefault="00297BE0">
      <w:pPr>
        <w:jc w:val="both"/>
        <w:rPr>
          <w:rFonts w:ascii="Book Antiqua" w:hAnsi="Book Antiqua" w:cs="Arial"/>
        </w:rPr>
      </w:pPr>
    </w:p>
    <w:p w:rsidR="004A40CE" w:rsidRDefault="004A40CE">
      <w:pPr>
        <w:jc w:val="both"/>
        <w:rPr>
          <w:rFonts w:ascii="Book Antiqua" w:hAnsi="Book Antiqua" w:cs="Arial"/>
        </w:rPr>
      </w:pPr>
    </w:p>
    <w:p w:rsidR="00297BE0" w:rsidRDefault="00297BE0">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proofErr w:type="gramStart"/>
      <w:r>
        <w:rPr>
          <w:rFonts w:ascii="Book Antiqua" w:hAnsi="Book Antiqua" w:cs="Arial"/>
        </w:rPr>
        <w:t xml:space="preserve">Date </w:t>
      </w:r>
      <w:r w:rsidR="001E5F75">
        <w:rPr>
          <w:rFonts w:ascii="Book Antiqua" w:hAnsi="Book Antiqua" w:cs="Arial"/>
        </w:rPr>
        <w:t xml:space="preserve"> </w:t>
      </w:r>
      <w:r w:rsidR="001A2B20">
        <w:rPr>
          <w:rFonts w:ascii="Book Antiqua" w:hAnsi="Book Antiqua" w:cs="Arial"/>
        </w:rPr>
        <w:t>16</w:t>
      </w:r>
      <w:proofErr w:type="gramEnd"/>
      <w:r w:rsidR="001A2B20">
        <w:rPr>
          <w:rFonts w:ascii="Book Antiqua" w:hAnsi="Book Antiqua" w:cs="Arial"/>
        </w:rPr>
        <w:t xml:space="preserve"> June 2018</w:t>
      </w:r>
    </w:p>
    <w:p w:rsidR="00297BE0" w:rsidRDefault="00297BE0">
      <w:pPr>
        <w:jc w:val="both"/>
        <w:rPr>
          <w:rFonts w:ascii="Book Antiqua" w:hAnsi="Book Antiqua" w:cs="Arial"/>
        </w:rPr>
      </w:pPr>
    </w:p>
    <w:p w:rsidR="00297BE0" w:rsidRDefault="00297BE0">
      <w:pPr>
        <w:jc w:val="both"/>
        <w:rPr>
          <w:rFonts w:ascii="Book Antiqua" w:hAnsi="Book Antiqua" w:cs="Arial"/>
        </w:rPr>
      </w:pPr>
      <w:r>
        <w:rPr>
          <w:rFonts w:ascii="Book Antiqua" w:hAnsi="Book Antiqua" w:cs="Arial"/>
        </w:rPr>
        <w:t>Judge Monson</w:t>
      </w:r>
    </w:p>
    <w:p w:rsidR="00297BE0" w:rsidRDefault="00297BE0">
      <w:pPr>
        <w:jc w:val="both"/>
        <w:rPr>
          <w:rFonts w:ascii="Book Antiqua" w:hAnsi="Book Antiqua" w:cs="Arial"/>
        </w:rPr>
      </w:pPr>
      <w:r>
        <w:rPr>
          <w:rFonts w:ascii="Book Antiqua" w:hAnsi="Book Antiqua" w:cs="Arial"/>
        </w:rPr>
        <w:t>Deputy Upper Tribunal Judge</w:t>
      </w:r>
    </w:p>
    <w:p w:rsidR="001A2B20" w:rsidRDefault="001A2B20">
      <w:pPr>
        <w:jc w:val="both"/>
        <w:rPr>
          <w:rFonts w:ascii="Book Antiqua" w:hAnsi="Book Antiqua" w:cs="Arial"/>
        </w:rPr>
      </w:pPr>
    </w:p>
    <w:p w:rsidR="004A40CE" w:rsidRDefault="004A40CE">
      <w:pPr>
        <w:jc w:val="both"/>
        <w:rPr>
          <w:rFonts w:ascii="Book Antiqua" w:hAnsi="Book Antiqua" w:cs="Arial"/>
        </w:rPr>
      </w:pPr>
    </w:p>
    <w:p w:rsidR="004A40CE" w:rsidRDefault="004A40CE">
      <w:pPr>
        <w:jc w:val="both"/>
        <w:rPr>
          <w:rFonts w:ascii="Book Antiqua" w:hAnsi="Book Antiqua" w:cs="Arial"/>
        </w:rPr>
      </w:pPr>
    </w:p>
    <w:p w:rsidR="004A40CE" w:rsidRDefault="004A40CE">
      <w:pPr>
        <w:jc w:val="both"/>
        <w:rPr>
          <w:rFonts w:ascii="Book Antiqua" w:hAnsi="Book Antiqua" w:cs="Arial"/>
        </w:rPr>
      </w:pPr>
    </w:p>
    <w:p w:rsidR="001A2B20" w:rsidRPr="001A2B20" w:rsidRDefault="001A2B20">
      <w:pPr>
        <w:jc w:val="both"/>
        <w:rPr>
          <w:rFonts w:ascii="Book Antiqua" w:hAnsi="Book Antiqua" w:cs="Arial"/>
          <w:u w:val="single"/>
        </w:rPr>
      </w:pPr>
      <w:r w:rsidRPr="001A2B20">
        <w:rPr>
          <w:rFonts w:ascii="Book Antiqua" w:hAnsi="Book Antiqua" w:cs="Arial"/>
          <w:u w:val="single"/>
        </w:rPr>
        <w:t>TO THE RESPONDENT</w:t>
      </w:r>
    </w:p>
    <w:p w:rsidR="001A2B20" w:rsidRPr="001A2B20" w:rsidRDefault="001A2B20">
      <w:pPr>
        <w:jc w:val="both"/>
        <w:rPr>
          <w:rFonts w:ascii="Book Antiqua" w:hAnsi="Book Antiqua" w:cs="Arial"/>
          <w:u w:val="single"/>
        </w:rPr>
      </w:pPr>
      <w:r w:rsidRPr="001A2B20">
        <w:rPr>
          <w:rFonts w:ascii="Book Antiqua" w:hAnsi="Book Antiqua" w:cs="Arial"/>
          <w:u w:val="single"/>
        </w:rPr>
        <w:t>FEE AWARD</w:t>
      </w:r>
    </w:p>
    <w:p w:rsidR="00297BE0" w:rsidRPr="001A2B20" w:rsidRDefault="00297BE0">
      <w:pPr>
        <w:jc w:val="both"/>
        <w:rPr>
          <w:rFonts w:ascii="Book Antiqua" w:hAnsi="Book Antiqua"/>
          <w:sz w:val="28"/>
        </w:rPr>
      </w:pPr>
    </w:p>
    <w:p w:rsidR="00297BE0" w:rsidRDefault="001A2B20">
      <w:pPr>
        <w:jc w:val="both"/>
        <w:rPr>
          <w:rFonts w:ascii="Book Antiqua" w:hAnsi="Book Antiqua"/>
        </w:rPr>
      </w:pPr>
      <w:r>
        <w:rPr>
          <w:rFonts w:ascii="Book Antiqua" w:hAnsi="Book Antiqua"/>
        </w:rPr>
        <w:t xml:space="preserve">As I have allowed the appeal on remaking, I have given consideration as to whether to make a fee award, and I have decided to make no fee award as the claimant needed to bring forward further evidence in order to be successful in her appeal. </w:t>
      </w:r>
    </w:p>
    <w:p w:rsidR="001A2B20" w:rsidRDefault="001A2B20">
      <w:pPr>
        <w:jc w:val="both"/>
        <w:rPr>
          <w:rFonts w:ascii="Book Antiqua" w:hAnsi="Book Antiqua"/>
        </w:rPr>
      </w:pPr>
    </w:p>
    <w:p w:rsidR="004A40CE" w:rsidRDefault="004A40CE">
      <w:pPr>
        <w:jc w:val="both"/>
        <w:rPr>
          <w:rFonts w:ascii="Book Antiqua" w:hAnsi="Book Antiqua"/>
        </w:rPr>
      </w:pPr>
    </w:p>
    <w:p w:rsidR="001A2B20" w:rsidRDefault="001A2B20" w:rsidP="001A2B20">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proofErr w:type="gramStart"/>
      <w:r>
        <w:rPr>
          <w:rFonts w:ascii="Book Antiqua" w:hAnsi="Book Antiqua" w:cs="Arial"/>
        </w:rPr>
        <w:t>Date  16</w:t>
      </w:r>
      <w:proofErr w:type="gramEnd"/>
      <w:r>
        <w:rPr>
          <w:rFonts w:ascii="Book Antiqua" w:hAnsi="Book Antiqua" w:cs="Arial"/>
        </w:rPr>
        <w:t xml:space="preserve"> June 2018</w:t>
      </w:r>
    </w:p>
    <w:p w:rsidR="004A40CE" w:rsidRDefault="004A40CE" w:rsidP="001A2B20">
      <w:pPr>
        <w:jc w:val="both"/>
        <w:rPr>
          <w:rFonts w:ascii="Book Antiqua" w:hAnsi="Book Antiqua" w:cs="Arial"/>
        </w:rPr>
      </w:pPr>
    </w:p>
    <w:p w:rsidR="001A2B20" w:rsidRDefault="001A2B20" w:rsidP="001A2B20">
      <w:pPr>
        <w:jc w:val="both"/>
        <w:rPr>
          <w:rFonts w:ascii="Book Antiqua" w:hAnsi="Book Antiqua" w:cs="Arial"/>
        </w:rPr>
      </w:pPr>
      <w:r>
        <w:rPr>
          <w:rFonts w:ascii="Book Antiqua" w:hAnsi="Book Antiqua" w:cs="Arial"/>
        </w:rPr>
        <w:t>Judge Monson</w:t>
      </w:r>
    </w:p>
    <w:p w:rsidR="001A2B20" w:rsidRDefault="001A2B20" w:rsidP="001A2B20">
      <w:pPr>
        <w:jc w:val="both"/>
        <w:rPr>
          <w:rFonts w:ascii="Book Antiqua" w:hAnsi="Book Antiqua" w:cs="Arial"/>
        </w:rPr>
      </w:pPr>
      <w:r>
        <w:rPr>
          <w:rFonts w:ascii="Book Antiqua" w:hAnsi="Book Antiqua" w:cs="Arial"/>
        </w:rPr>
        <w:t>Deputy Upper Tribunal Judge</w:t>
      </w:r>
    </w:p>
    <w:p w:rsidR="001A2B20" w:rsidRPr="001A2B20" w:rsidRDefault="001A2B20">
      <w:pPr>
        <w:jc w:val="both"/>
        <w:rPr>
          <w:rFonts w:ascii="Book Antiqua" w:hAnsi="Book Antiqua"/>
        </w:rPr>
      </w:pPr>
    </w:p>
    <w:sectPr w:rsidR="001A2B20" w:rsidRPr="001A2B20">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313" w:rsidRDefault="00155313">
      <w:r>
        <w:separator/>
      </w:r>
    </w:p>
  </w:endnote>
  <w:endnote w:type="continuationSeparator" w:id="0">
    <w:p w:rsidR="00155313" w:rsidRDefault="0015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BE0" w:rsidRDefault="00297BE0">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523D8D">
      <w:rPr>
        <w:rStyle w:val="PageNumber"/>
        <w:rFonts w:ascii="Book Antiqua" w:hAnsi="Book Antiqua" w:cs="Arial"/>
        <w:noProof/>
        <w:sz w:val="16"/>
        <w:szCs w:val="16"/>
      </w:rPr>
      <w:t>8</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BE0" w:rsidRDefault="00297BE0">
    <w:pPr>
      <w:jc w:val="center"/>
      <w:rPr>
        <w:rFonts w:ascii="Book Antiqua" w:hAnsi="Book Antiqua" w:cs="Arial"/>
        <w:b/>
      </w:rPr>
    </w:pPr>
    <w:r>
      <w:rPr>
        <w:rFonts w:ascii="Book Antiqua" w:hAnsi="Book Antiqua" w:cs="Arial"/>
        <w:b/>
        <w:spacing w:val="-6"/>
      </w:rPr>
      <w:t>©</w:t>
    </w:r>
    <w:r w:rsidR="003B68B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313" w:rsidRDefault="00155313">
      <w:r>
        <w:separator/>
      </w:r>
    </w:p>
  </w:footnote>
  <w:footnote w:type="continuationSeparator" w:id="0">
    <w:p w:rsidR="00155313" w:rsidRDefault="00155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BE0" w:rsidRDefault="00297BE0">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w:t>
    </w:r>
    <w:r w:rsidR="006F7496">
      <w:rPr>
        <w:rFonts w:ascii="Book Antiqua" w:hAnsi="Book Antiqua" w:cs="Arial"/>
        <w:sz w:val="16"/>
        <w:szCs w:val="16"/>
      </w:rPr>
      <w:t>: HU/16030/2016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BE0" w:rsidRDefault="00297BE0">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8FC53AB"/>
    <w:multiLevelType w:val="singleLevel"/>
    <w:tmpl w:val="58FC53AB"/>
    <w:lvl w:ilvl="0">
      <w:start w:val="36"/>
      <w:numFmt w:val="decimal"/>
      <w:suff w:val="space"/>
      <w:lvlText w:val="%1."/>
      <w:lvlJc w:val="left"/>
    </w:lvl>
  </w:abstractNum>
  <w:abstractNum w:abstractNumId="2" w15:restartNumberingAfterBreak="0">
    <w:nsid w:val="5AB1051F"/>
    <w:multiLevelType w:val="singleLevel"/>
    <w:tmpl w:val="5AB1051F"/>
    <w:lvl w:ilvl="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0C55"/>
    <w:rsid w:val="000B39A3"/>
    <w:rsid w:val="00155313"/>
    <w:rsid w:val="00172A27"/>
    <w:rsid w:val="001A2B20"/>
    <w:rsid w:val="001B215D"/>
    <w:rsid w:val="001E5F75"/>
    <w:rsid w:val="001F169F"/>
    <w:rsid w:val="00211A59"/>
    <w:rsid w:val="00244BA2"/>
    <w:rsid w:val="00252017"/>
    <w:rsid w:val="00297BE0"/>
    <w:rsid w:val="002D3D63"/>
    <w:rsid w:val="002F0C40"/>
    <w:rsid w:val="0036661C"/>
    <w:rsid w:val="003B68B7"/>
    <w:rsid w:val="004152C3"/>
    <w:rsid w:val="004A40CE"/>
    <w:rsid w:val="00523D8D"/>
    <w:rsid w:val="00554F31"/>
    <w:rsid w:val="00577691"/>
    <w:rsid w:val="00586C91"/>
    <w:rsid w:val="00591317"/>
    <w:rsid w:val="006F7496"/>
    <w:rsid w:val="006F75AA"/>
    <w:rsid w:val="0073369C"/>
    <w:rsid w:val="00851596"/>
    <w:rsid w:val="0088534C"/>
    <w:rsid w:val="00931D50"/>
    <w:rsid w:val="00962A63"/>
    <w:rsid w:val="00970EBC"/>
    <w:rsid w:val="00A44D52"/>
    <w:rsid w:val="00A45B36"/>
    <w:rsid w:val="00B73E44"/>
    <w:rsid w:val="00B75D78"/>
    <w:rsid w:val="00BC5302"/>
    <w:rsid w:val="00BE77B8"/>
    <w:rsid w:val="00CA3BE2"/>
    <w:rsid w:val="00CA4BF4"/>
    <w:rsid w:val="00CB085F"/>
    <w:rsid w:val="00CD6C01"/>
    <w:rsid w:val="00CE5FF7"/>
    <w:rsid w:val="00CF084C"/>
    <w:rsid w:val="00D54283"/>
    <w:rsid w:val="00D56F7A"/>
    <w:rsid w:val="00DC2BDC"/>
    <w:rsid w:val="00DF2E90"/>
    <w:rsid w:val="00E24657"/>
    <w:rsid w:val="00E9418E"/>
    <w:rsid w:val="00EA62C0"/>
    <w:rsid w:val="00ED5054"/>
    <w:rsid w:val="00F51F5C"/>
    <w:rsid w:val="00F61358"/>
    <w:rsid w:val="00F84B72"/>
    <w:rsid w:val="00FB0691"/>
    <w:rsid w:val="00FD36FC"/>
    <w:rsid w:val="017770E9"/>
    <w:rsid w:val="01EC3678"/>
    <w:rsid w:val="03E1783D"/>
    <w:rsid w:val="057D74F1"/>
    <w:rsid w:val="0CE06A9D"/>
    <w:rsid w:val="0F19354B"/>
    <w:rsid w:val="126E172F"/>
    <w:rsid w:val="14132D1C"/>
    <w:rsid w:val="14B71948"/>
    <w:rsid w:val="172C630B"/>
    <w:rsid w:val="174635BB"/>
    <w:rsid w:val="1A25057E"/>
    <w:rsid w:val="1F036D4B"/>
    <w:rsid w:val="2029338F"/>
    <w:rsid w:val="20E00039"/>
    <w:rsid w:val="21F903AD"/>
    <w:rsid w:val="23C710EF"/>
    <w:rsid w:val="26D91087"/>
    <w:rsid w:val="3360420D"/>
    <w:rsid w:val="3FE14789"/>
    <w:rsid w:val="4599530C"/>
    <w:rsid w:val="47334429"/>
    <w:rsid w:val="47D5272C"/>
    <w:rsid w:val="48ED08B0"/>
    <w:rsid w:val="48F2781B"/>
    <w:rsid w:val="4A4C588A"/>
    <w:rsid w:val="4CC32A5F"/>
    <w:rsid w:val="4D8F66A6"/>
    <w:rsid w:val="4DCC7AA5"/>
    <w:rsid w:val="4FF8249B"/>
    <w:rsid w:val="529A0E8C"/>
    <w:rsid w:val="58083306"/>
    <w:rsid w:val="5B6B5594"/>
    <w:rsid w:val="5C396EE6"/>
    <w:rsid w:val="5D6436BD"/>
    <w:rsid w:val="5E55107B"/>
    <w:rsid w:val="64E651BE"/>
    <w:rsid w:val="655C01FB"/>
    <w:rsid w:val="676D5DDC"/>
    <w:rsid w:val="68F82D2A"/>
    <w:rsid w:val="690865AE"/>
    <w:rsid w:val="695C13C0"/>
    <w:rsid w:val="6AE506BA"/>
    <w:rsid w:val="6C073C6A"/>
    <w:rsid w:val="6EBF1317"/>
    <w:rsid w:val="6F7C6719"/>
    <w:rsid w:val="71215A94"/>
    <w:rsid w:val="743B3A34"/>
    <w:rsid w:val="763E42A9"/>
    <w:rsid w:val="775919DB"/>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ED5F1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3573</Words>
  <Characters>17016</Characters>
  <Application>Microsoft Office Word</Application>
  <DocSecurity>0</DocSecurity>
  <PresentationFormat/>
  <Lines>141</Lines>
  <Paragraphs>41</Paragraphs>
  <Slides>0</Slides>
  <Notes>0</Notes>
  <HiddenSlides>0</HiddenSlides>
  <MMClips>0</MMClips>
  <ScaleCrop>false</ScaleCrop>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2018-07-12T14:15:00Z</dcterms:created>
  <dcterms:modified xsi:type="dcterms:W3CDTF">2018-07-12T14:15:00Z</dcterms:modified>
</cp:coreProperties>
</file>