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A52915" w:rsidRDefault="00946654" w:rsidP="00643BFC">
      <w:pPr>
        <w:jc w:val="center"/>
        <w:rPr>
          <w:rFonts w:ascii="Book Antiqua" w:hAnsi="Book Antiqua" w:cs="Arial"/>
          <w:caps/>
          <w:color w:val="000000"/>
          <w:sz w:val="16"/>
          <w:szCs w:val="16"/>
        </w:rPr>
      </w:pPr>
      <w:r w:rsidRPr="00A52915">
        <w:rPr>
          <w:noProof/>
          <w:sz w:val="16"/>
          <w:szCs w:val="16"/>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A52915" w:rsidRDefault="00D94AFC">
      <w:pPr>
        <w:rPr>
          <w:rFonts w:ascii="Book Antiqua" w:hAnsi="Book Antiqua" w:cs="Arial"/>
          <w:color w:val="000000"/>
          <w:sz w:val="16"/>
          <w:szCs w:val="16"/>
        </w:rPr>
      </w:pPr>
    </w:p>
    <w:p w:rsidR="00643BFC" w:rsidRPr="00EF6188" w:rsidRDefault="00797649" w:rsidP="00780F86">
      <w:pPr>
        <w:tabs>
          <w:tab w:val="right" w:pos="9720"/>
        </w:tabs>
        <w:ind w:right="-82"/>
        <w:rPr>
          <w:rFonts w:ascii="Book Antiqua" w:hAnsi="Book Antiqua" w:cs="Arial"/>
          <w:b/>
          <w:color w:val="000000"/>
        </w:rPr>
      </w:pPr>
      <w:r w:rsidRPr="00EF6188">
        <w:rPr>
          <w:rFonts w:ascii="Book Antiqua" w:hAnsi="Book Antiqua" w:cs="Arial"/>
          <w:b/>
          <w:color w:val="000000"/>
        </w:rPr>
        <w:t>Upper</w:t>
      </w:r>
      <w:r w:rsidR="00643BFC" w:rsidRPr="00EF6188">
        <w:rPr>
          <w:rFonts w:ascii="Book Antiqua" w:hAnsi="Book Antiqua" w:cs="Arial"/>
          <w:b/>
          <w:color w:val="000000"/>
        </w:rPr>
        <w:t xml:space="preserve"> Tribunal</w:t>
      </w:r>
    </w:p>
    <w:p w:rsidR="007B0824" w:rsidRPr="00EF6188" w:rsidRDefault="00643BFC" w:rsidP="00780F86">
      <w:pPr>
        <w:tabs>
          <w:tab w:val="right" w:pos="9720"/>
        </w:tabs>
        <w:ind w:right="-82"/>
        <w:rPr>
          <w:rFonts w:ascii="Book Antiqua" w:hAnsi="Book Antiqua" w:cs="Arial"/>
          <w:color w:val="000000"/>
        </w:rPr>
      </w:pPr>
      <w:r w:rsidRPr="00EF6188">
        <w:rPr>
          <w:rFonts w:ascii="Book Antiqua" w:hAnsi="Book Antiqua" w:cs="Arial"/>
          <w:b/>
          <w:color w:val="000000"/>
        </w:rPr>
        <w:t>(Immigration and Asylum Chamber)</w:t>
      </w:r>
      <w:r w:rsidR="00DB70AE" w:rsidRPr="00EF6188">
        <w:rPr>
          <w:rFonts w:ascii="Book Antiqua" w:hAnsi="Book Antiqua" w:cs="Arial"/>
          <w:b/>
          <w:color w:val="000000"/>
        </w:rPr>
        <w:tab/>
      </w:r>
      <w:r w:rsidR="00B3524D" w:rsidRPr="00EF6188">
        <w:rPr>
          <w:rFonts w:ascii="Book Antiqua" w:hAnsi="Book Antiqua" w:cs="Arial"/>
          <w:color w:val="000000"/>
        </w:rPr>
        <w:t>Appeal Number</w:t>
      </w:r>
      <w:r w:rsidR="00D53769" w:rsidRPr="00EF6188">
        <w:rPr>
          <w:rFonts w:ascii="Book Antiqua" w:hAnsi="Book Antiqua" w:cs="Arial"/>
          <w:color w:val="000000"/>
        </w:rPr>
        <w:t>:</w:t>
      </w:r>
      <w:r w:rsidR="00B3524D" w:rsidRPr="00EF6188">
        <w:rPr>
          <w:rFonts w:ascii="Book Antiqua" w:hAnsi="Book Antiqua" w:cs="Arial"/>
          <w:color w:val="000000"/>
        </w:rPr>
        <w:t xml:space="preserve"> </w:t>
      </w:r>
      <w:bookmarkStart w:id="0" w:name="_GoBack"/>
      <w:r w:rsidR="00946654" w:rsidRPr="00EF6188">
        <w:rPr>
          <w:rFonts w:ascii="Book Antiqua" w:hAnsi="Book Antiqua" w:cs="Arial"/>
          <w:caps/>
          <w:color w:val="000000"/>
        </w:rPr>
        <w:t>HU/16048/2016</w:t>
      </w:r>
      <w:r w:rsidR="00DA4D06" w:rsidRPr="00EF6188">
        <w:rPr>
          <w:rFonts w:ascii="Book Antiqua" w:hAnsi="Book Antiqua" w:cs="Arial"/>
          <w:caps/>
          <w:color w:val="000000"/>
        </w:rPr>
        <w:t xml:space="preserve">  </w:t>
      </w:r>
      <w:bookmarkEnd w:id="0"/>
    </w:p>
    <w:p w:rsidR="00C345E1" w:rsidRPr="00EF6188" w:rsidRDefault="00C345E1" w:rsidP="00C345E1">
      <w:pPr>
        <w:jc w:val="center"/>
        <w:rPr>
          <w:rFonts w:ascii="Book Antiqua" w:hAnsi="Book Antiqua" w:cs="Arial"/>
          <w:color w:val="000000"/>
        </w:rPr>
      </w:pPr>
    </w:p>
    <w:p w:rsidR="00C345E1" w:rsidRPr="00EF6188" w:rsidRDefault="00C345E1" w:rsidP="00C345E1">
      <w:pPr>
        <w:jc w:val="center"/>
        <w:rPr>
          <w:rFonts w:ascii="Book Antiqua" w:hAnsi="Book Antiqua" w:cs="Arial"/>
          <w:color w:val="000000"/>
        </w:rPr>
      </w:pPr>
    </w:p>
    <w:p w:rsidR="00C345E1" w:rsidRPr="00EF6188" w:rsidRDefault="00C345E1" w:rsidP="00C345E1">
      <w:pPr>
        <w:jc w:val="center"/>
        <w:rPr>
          <w:rFonts w:ascii="Book Antiqua" w:hAnsi="Book Antiqua" w:cs="Arial"/>
          <w:b/>
          <w:color w:val="000000"/>
          <w:u w:val="single"/>
        </w:rPr>
      </w:pPr>
      <w:r w:rsidRPr="00EF6188">
        <w:rPr>
          <w:rFonts w:ascii="Book Antiqua" w:hAnsi="Book Antiqua" w:cs="Arial"/>
          <w:b/>
          <w:color w:val="000000"/>
          <w:u w:val="single"/>
        </w:rPr>
        <w:t>THE IMMIGRATION ACTS</w:t>
      </w:r>
    </w:p>
    <w:p w:rsidR="00C345E1" w:rsidRPr="00EF6188" w:rsidRDefault="00C345E1" w:rsidP="00C345E1">
      <w:pPr>
        <w:jc w:val="center"/>
        <w:rPr>
          <w:rFonts w:ascii="Book Antiqua" w:hAnsi="Book Antiqua" w:cs="Arial"/>
          <w:b/>
          <w:u w:val="single"/>
        </w:rPr>
      </w:pPr>
    </w:p>
    <w:p w:rsidR="00C345E1" w:rsidRPr="00EF6188" w:rsidRDefault="00C345E1" w:rsidP="00C345E1">
      <w:pPr>
        <w:jc w:val="center"/>
        <w:rPr>
          <w:rFonts w:ascii="Book Antiqua" w:hAnsi="Book Antiqua" w:cs="Arial"/>
          <w:b/>
          <w:u w:val="single"/>
        </w:rPr>
      </w:pPr>
    </w:p>
    <w:tbl>
      <w:tblPr>
        <w:tblStyle w:val="PlainTable4"/>
        <w:tblW w:w="10008" w:type="dxa"/>
        <w:tblLook w:val="01E0" w:firstRow="1" w:lastRow="1" w:firstColumn="1" w:lastColumn="1" w:noHBand="0" w:noVBand="0"/>
      </w:tblPr>
      <w:tblGrid>
        <w:gridCol w:w="4815"/>
        <w:gridCol w:w="5193"/>
      </w:tblGrid>
      <w:tr w:rsidR="00D22636" w:rsidRPr="00EF6188" w:rsidTr="00136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D22636" w:rsidRPr="00EF6188" w:rsidRDefault="00D22636" w:rsidP="004A1848">
            <w:pPr>
              <w:jc w:val="both"/>
              <w:rPr>
                <w:rFonts w:ascii="Book Antiqua" w:hAnsi="Book Antiqua" w:cs="Arial"/>
                <w:b w:val="0"/>
              </w:rPr>
            </w:pPr>
            <w:r w:rsidRPr="00EF6188">
              <w:rPr>
                <w:rFonts w:ascii="Book Antiqua" w:hAnsi="Book Antiqua" w:cs="Arial"/>
              </w:rPr>
              <w:t xml:space="preserve">Heard at </w:t>
            </w:r>
            <w:r w:rsidR="00F24B0C" w:rsidRPr="00EF6188">
              <w:rPr>
                <w:rFonts w:ascii="Book Antiqua" w:hAnsi="Book Antiqua" w:cs="Arial"/>
              </w:rPr>
              <w:t xml:space="preserve">Field House </w:t>
            </w:r>
            <w:r w:rsidR="00DA4D06" w:rsidRPr="00EF6188">
              <w:rPr>
                <w:rFonts w:ascii="Book Antiqua" w:hAnsi="Book Antiqua" w:cs="Arial"/>
              </w:rPr>
              <w:t xml:space="preserve"> </w:t>
            </w:r>
          </w:p>
        </w:tc>
        <w:tc>
          <w:tcPr>
            <w:cnfStyle w:val="000100000000" w:firstRow="0" w:lastRow="0" w:firstColumn="0" w:lastColumn="1" w:oddVBand="0" w:evenVBand="0" w:oddHBand="0" w:evenHBand="0" w:firstRowFirstColumn="0" w:firstRowLastColumn="0" w:lastRowFirstColumn="0" w:lastRowLastColumn="0"/>
            <w:tcW w:w="5193" w:type="dxa"/>
          </w:tcPr>
          <w:p w:rsidR="00D22636" w:rsidRPr="00EF6188" w:rsidRDefault="000B0A3F" w:rsidP="00093D4D">
            <w:pPr>
              <w:jc w:val="both"/>
              <w:rPr>
                <w:rFonts w:ascii="Book Antiqua" w:hAnsi="Book Antiqua" w:cs="Arial"/>
                <w:b w:val="0"/>
                <w:color w:val="000000"/>
              </w:rPr>
            </w:pPr>
            <w:r w:rsidRPr="00EF6188">
              <w:rPr>
                <w:rFonts w:ascii="Book Antiqua" w:hAnsi="Book Antiqua" w:cs="Arial"/>
                <w:color w:val="000000"/>
              </w:rPr>
              <w:t>Decision &amp; Reasons</w:t>
            </w:r>
            <w:r w:rsidR="00283659" w:rsidRPr="00EF6188">
              <w:rPr>
                <w:rFonts w:ascii="Book Antiqua" w:hAnsi="Book Antiqua" w:cs="Arial"/>
                <w:color w:val="000000"/>
              </w:rPr>
              <w:t xml:space="preserve"> Promulgated</w:t>
            </w:r>
          </w:p>
        </w:tc>
      </w:tr>
      <w:tr w:rsidR="00D22636" w:rsidRPr="00EF6188" w:rsidTr="00136CF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shd w:val="clear" w:color="auto" w:fill="auto"/>
          </w:tcPr>
          <w:p w:rsidR="00D22636" w:rsidRPr="00BC2014" w:rsidRDefault="00D22636" w:rsidP="004A1848">
            <w:pPr>
              <w:jc w:val="both"/>
              <w:rPr>
                <w:rFonts w:ascii="Book Antiqua" w:hAnsi="Book Antiqua" w:cs="Arial"/>
              </w:rPr>
            </w:pPr>
            <w:r w:rsidRPr="00EF6188">
              <w:rPr>
                <w:rFonts w:ascii="Book Antiqua" w:hAnsi="Book Antiqua" w:cs="Arial"/>
              </w:rPr>
              <w:t xml:space="preserve">On </w:t>
            </w:r>
            <w:r w:rsidR="00F24B0C" w:rsidRPr="00EF6188">
              <w:rPr>
                <w:rFonts w:ascii="Book Antiqua" w:hAnsi="Book Antiqua" w:cs="Arial"/>
              </w:rPr>
              <w:t xml:space="preserve">20 July 2018  </w:t>
            </w:r>
          </w:p>
        </w:tc>
        <w:tc>
          <w:tcPr>
            <w:cnfStyle w:val="000100000000" w:firstRow="0" w:lastRow="0" w:firstColumn="0" w:lastColumn="1" w:oddVBand="0" w:evenVBand="0" w:oddHBand="0" w:evenHBand="0" w:firstRowFirstColumn="0" w:firstRowLastColumn="0" w:lastRowFirstColumn="0" w:lastRowLastColumn="0"/>
            <w:tcW w:w="5193" w:type="dxa"/>
            <w:shd w:val="clear" w:color="auto" w:fill="auto"/>
          </w:tcPr>
          <w:p w:rsidR="00D22636" w:rsidRPr="00BC2014" w:rsidRDefault="00A42C6F" w:rsidP="004A1848">
            <w:pPr>
              <w:jc w:val="both"/>
              <w:rPr>
                <w:rFonts w:ascii="Book Antiqua" w:hAnsi="Book Antiqua" w:cs="Arial"/>
              </w:rPr>
            </w:pPr>
            <w:r>
              <w:rPr>
                <w:rFonts w:ascii="Book Antiqua" w:hAnsi="Book Antiqua" w:cs="Arial"/>
              </w:rPr>
              <w:t xml:space="preserve">On 10 September 2018 </w:t>
            </w:r>
          </w:p>
        </w:tc>
      </w:tr>
    </w:tbl>
    <w:p w:rsidR="00A15234" w:rsidRPr="00EF6188" w:rsidRDefault="00A15234" w:rsidP="00A15234">
      <w:pPr>
        <w:jc w:val="center"/>
        <w:rPr>
          <w:rFonts w:ascii="Book Antiqua" w:hAnsi="Book Antiqua" w:cs="Arial"/>
        </w:rPr>
      </w:pPr>
    </w:p>
    <w:p w:rsidR="00A15234" w:rsidRPr="00EF6188" w:rsidRDefault="00A15234" w:rsidP="00A15234">
      <w:pPr>
        <w:jc w:val="center"/>
        <w:rPr>
          <w:rFonts w:ascii="Book Antiqua" w:hAnsi="Book Antiqua" w:cs="Arial"/>
        </w:rPr>
      </w:pPr>
    </w:p>
    <w:p w:rsidR="00A15234" w:rsidRPr="00EF6188" w:rsidRDefault="00207617" w:rsidP="00A15234">
      <w:pPr>
        <w:jc w:val="center"/>
        <w:rPr>
          <w:rFonts w:ascii="Book Antiqua" w:hAnsi="Book Antiqua" w:cs="Arial"/>
          <w:b/>
        </w:rPr>
      </w:pPr>
      <w:r w:rsidRPr="00EF6188">
        <w:rPr>
          <w:rFonts w:ascii="Book Antiqua" w:hAnsi="Book Antiqua" w:cs="Arial"/>
          <w:b/>
        </w:rPr>
        <w:t>Befo</w:t>
      </w:r>
      <w:r w:rsidR="00A15234" w:rsidRPr="00EF6188">
        <w:rPr>
          <w:rFonts w:ascii="Book Antiqua" w:hAnsi="Book Antiqua" w:cs="Arial"/>
          <w:b/>
        </w:rPr>
        <w:t>re</w:t>
      </w:r>
    </w:p>
    <w:p w:rsidR="00A15234" w:rsidRPr="00EF6188" w:rsidRDefault="00A15234" w:rsidP="00A15234">
      <w:pPr>
        <w:jc w:val="center"/>
        <w:rPr>
          <w:rFonts w:ascii="Book Antiqua" w:hAnsi="Book Antiqua" w:cs="Arial"/>
          <w:b/>
        </w:rPr>
      </w:pPr>
    </w:p>
    <w:p w:rsidR="001B186A" w:rsidRPr="00EF6188" w:rsidRDefault="008262CB" w:rsidP="00A15234">
      <w:pPr>
        <w:jc w:val="center"/>
        <w:rPr>
          <w:rFonts w:ascii="Book Antiqua" w:hAnsi="Book Antiqua" w:cs="Arial"/>
          <w:b/>
          <w:color w:val="000000"/>
        </w:rPr>
      </w:pPr>
      <w:r w:rsidRPr="00EF6188">
        <w:rPr>
          <w:rFonts w:ascii="Book Antiqua" w:hAnsi="Book Antiqua" w:cs="Arial"/>
          <w:b/>
          <w:color w:val="000000"/>
        </w:rPr>
        <w:t xml:space="preserve">DEPUTY </w:t>
      </w:r>
      <w:r w:rsidR="00460347" w:rsidRPr="00EF6188">
        <w:rPr>
          <w:rFonts w:ascii="Book Antiqua" w:hAnsi="Book Antiqua" w:cs="Arial"/>
          <w:b/>
          <w:color w:val="000000"/>
        </w:rPr>
        <w:t>UPPER TRIBUNAL JUDGE DAVEY</w:t>
      </w:r>
      <w:r w:rsidR="00DA4D06" w:rsidRPr="00EF6188">
        <w:rPr>
          <w:rFonts w:ascii="Book Antiqua" w:hAnsi="Book Antiqua" w:cs="Arial"/>
          <w:b/>
          <w:color w:val="000000"/>
        </w:rPr>
        <w:t xml:space="preserve">  </w:t>
      </w:r>
    </w:p>
    <w:p w:rsidR="001B186A" w:rsidRPr="00EF6188" w:rsidRDefault="001B186A" w:rsidP="00A15234">
      <w:pPr>
        <w:jc w:val="center"/>
        <w:rPr>
          <w:rFonts w:ascii="Book Antiqua" w:hAnsi="Book Antiqua" w:cs="Arial"/>
          <w:b/>
          <w:color w:val="000000"/>
        </w:rPr>
      </w:pPr>
    </w:p>
    <w:p w:rsidR="00D20757" w:rsidRPr="00EF6188" w:rsidRDefault="00D20757" w:rsidP="00A15234">
      <w:pPr>
        <w:jc w:val="center"/>
        <w:rPr>
          <w:rFonts w:ascii="Book Antiqua" w:hAnsi="Book Antiqua" w:cs="Arial"/>
          <w:b/>
        </w:rPr>
      </w:pPr>
    </w:p>
    <w:p w:rsidR="00A845DC" w:rsidRPr="00EF6188" w:rsidRDefault="00A845DC" w:rsidP="00A15234">
      <w:pPr>
        <w:jc w:val="center"/>
        <w:rPr>
          <w:rFonts w:ascii="Book Antiqua" w:hAnsi="Book Antiqua" w:cs="Arial"/>
          <w:b/>
        </w:rPr>
      </w:pPr>
      <w:r w:rsidRPr="00EF6188">
        <w:rPr>
          <w:rFonts w:ascii="Book Antiqua" w:hAnsi="Book Antiqua" w:cs="Arial"/>
          <w:b/>
        </w:rPr>
        <w:t>Between</w:t>
      </w:r>
    </w:p>
    <w:p w:rsidR="00A845DC" w:rsidRPr="00EF6188" w:rsidRDefault="00A845DC" w:rsidP="00A15234">
      <w:pPr>
        <w:jc w:val="center"/>
        <w:rPr>
          <w:rFonts w:ascii="Book Antiqua" w:hAnsi="Book Antiqua" w:cs="Arial"/>
          <w:b/>
        </w:rPr>
      </w:pPr>
    </w:p>
    <w:p w:rsidR="00A845DC" w:rsidRPr="00EF6188" w:rsidRDefault="006C7821" w:rsidP="00A15234">
      <w:pPr>
        <w:jc w:val="center"/>
        <w:rPr>
          <w:rFonts w:ascii="Book Antiqua" w:hAnsi="Book Antiqua" w:cs="Arial"/>
          <w:b/>
          <w:caps/>
        </w:rPr>
      </w:pPr>
      <w:r w:rsidRPr="00EF6188">
        <w:rPr>
          <w:rFonts w:ascii="Book Antiqua" w:hAnsi="Book Antiqua" w:cs="Arial"/>
          <w:b/>
          <w:caps/>
        </w:rPr>
        <w:t xml:space="preserve">mr Mashhud Ahmed Masud  </w:t>
      </w:r>
    </w:p>
    <w:p w:rsidR="000B0A3F" w:rsidRPr="00A52915" w:rsidRDefault="000B0A3F" w:rsidP="000B0A3F">
      <w:pPr>
        <w:jc w:val="center"/>
        <w:rPr>
          <w:rFonts w:ascii="Book Antiqua" w:hAnsi="Book Antiqua" w:cs="Arial"/>
          <w:b/>
          <w:caps/>
          <w:sz w:val="22"/>
        </w:rPr>
      </w:pPr>
      <w:r w:rsidRPr="00A52915">
        <w:rPr>
          <w:rFonts w:ascii="Book Antiqua" w:hAnsi="Book Antiqua" w:cs="Arial"/>
          <w:b/>
          <w:caps/>
          <w:sz w:val="22"/>
        </w:rPr>
        <w:t xml:space="preserve">(ANONYMITY DIRECTION </w:t>
      </w:r>
      <w:r w:rsidR="00C434FE" w:rsidRPr="00A52915">
        <w:rPr>
          <w:rFonts w:ascii="Book Antiqua" w:hAnsi="Book Antiqua" w:cs="Arial"/>
          <w:b/>
          <w:caps/>
          <w:sz w:val="22"/>
        </w:rPr>
        <w:t>not made</w:t>
      </w:r>
      <w:r w:rsidRPr="00A52915">
        <w:rPr>
          <w:rFonts w:ascii="Book Antiqua" w:hAnsi="Book Antiqua" w:cs="Arial"/>
          <w:b/>
          <w:caps/>
          <w:sz w:val="22"/>
        </w:rPr>
        <w:t>)</w:t>
      </w:r>
    </w:p>
    <w:p w:rsidR="00704B61" w:rsidRPr="00EF6188" w:rsidRDefault="00704B61" w:rsidP="00704B61">
      <w:pPr>
        <w:jc w:val="right"/>
        <w:rPr>
          <w:rFonts w:ascii="Book Antiqua" w:hAnsi="Book Antiqua" w:cs="Arial"/>
          <w:u w:val="single"/>
        </w:rPr>
      </w:pPr>
      <w:r w:rsidRPr="00EF6188">
        <w:rPr>
          <w:rFonts w:ascii="Book Antiqua" w:hAnsi="Book Antiqua" w:cs="Arial"/>
          <w:u w:val="single"/>
        </w:rPr>
        <w:t>Appellant</w:t>
      </w:r>
    </w:p>
    <w:p w:rsidR="00704B61" w:rsidRPr="00EF6188" w:rsidRDefault="00DD5071" w:rsidP="00704B61">
      <w:pPr>
        <w:jc w:val="center"/>
        <w:rPr>
          <w:rFonts w:ascii="Book Antiqua" w:hAnsi="Book Antiqua" w:cs="Arial"/>
          <w:b/>
        </w:rPr>
      </w:pPr>
      <w:r w:rsidRPr="00EF6188">
        <w:rPr>
          <w:rFonts w:ascii="Book Antiqua" w:hAnsi="Book Antiqua" w:cs="Arial"/>
          <w:b/>
        </w:rPr>
        <w:t>and</w:t>
      </w:r>
    </w:p>
    <w:p w:rsidR="00DD5071" w:rsidRPr="00EF6188" w:rsidRDefault="00DD5071" w:rsidP="00704B61">
      <w:pPr>
        <w:jc w:val="center"/>
        <w:rPr>
          <w:rFonts w:ascii="Book Antiqua" w:hAnsi="Book Antiqua" w:cs="Arial"/>
          <w:b/>
        </w:rPr>
      </w:pPr>
    </w:p>
    <w:p w:rsidR="00DD5071" w:rsidRPr="00EF6188" w:rsidRDefault="00DD5071" w:rsidP="00704B61">
      <w:pPr>
        <w:jc w:val="center"/>
        <w:rPr>
          <w:rFonts w:ascii="Book Antiqua" w:hAnsi="Book Antiqua" w:cs="Arial"/>
          <w:b/>
        </w:rPr>
      </w:pPr>
      <w:bookmarkStart w:id="1" w:name="Text7"/>
      <w:r w:rsidRPr="00EF6188">
        <w:rPr>
          <w:rFonts w:ascii="Book Antiqua" w:hAnsi="Book Antiqua" w:cs="Arial"/>
          <w:b/>
          <w:noProof/>
        </w:rPr>
        <w:t>THE SECRETARY OF STATE FOR THE HOME DEPARTMENT</w:t>
      </w:r>
      <w:bookmarkEnd w:id="1"/>
      <w:r w:rsidR="00F24B0C" w:rsidRPr="00EF6188">
        <w:rPr>
          <w:rFonts w:ascii="Book Antiqua" w:hAnsi="Book Antiqua" w:cs="Arial"/>
          <w:b/>
          <w:noProof/>
        </w:rPr>
        <w:t xml:space="preserve"> </w:t>
      </w:r>
      <w:r w:rsidR="00055E35" w:rsidRPr="00EF6188">
        <w:rPr>
          <w:rFonts w:ascii="Book Antiqua" w:hAnsi="Book Antiqua" w:cs="Arial"/>
          <w:b/>
          <w:noProof/>
        </w:rPr>
        <w:t xml:space="preserve"> </w:t>
      </w:r>
    </w:p>
    <w:p w:rsidR="00DD5071" w:rsidRPr="00EF6188" w:rsidRDefault="00DD5071" w:rsidP="00DD5071">
      <w:pPr>
        <w:jc w:val="right"/>
        <w:rPr>
          <w:rFonts w:ascii="Book Antiqua" w:hAnsi="Book Antiqua" w:cs="Arial"/>
          <w:u w:val="single"/>
        </w:rPr>
      </w:pPr>
      <w:r w:rsidRPr="00EF6188">
        <w:rPr>
          <w:rFonts w:ascii="Book Antiqua" w:hAnsi="Book Antiqua" w:cs="Arial"/>
          <w:u w:val="single"/>
        </w:rPr>
        <w:t>Respondent</w:t>
      </w:r>
    </w:p>
    <w:p w:rsidR="00DD5071" w:rsidRDefault="00DD5071" w:rsidP="00DD5071">
      <w:pPr>
        <w:rPr>
          <w:rFonts w:ascii="Book Antiqua" w:hAnsi="Book Antiqua" w:cs="Arial"/>
          <w:u w:val="single"/>
        </w:rPr>
      </w:pPr>
    </w:p>
    <w:p w:rsidR="00EF5048" w:rsidRPr="00EF6188" w:rsidRDefault="00EF5048" w:rsidP="00DD5071">
      <w:pPr>
        <w:rPr>
          <w:rFonts w:ascii="Book Antiqua" w:hAnsi="Book Antiqua" w:cs="Arial"/>
          <w:u w:val="single"/>
        </w:rPr>
      </w:pPr>
    </w:p>
    <w:p w:rsidR="00DD5071" w:rsidRPr="00EF6188" w:rsidRDefault="00DE7DB7" w:rsidP="00DD5071">
      <w:pPr>
        <w:rPr>
          <w:rFonts w:ascii="Book Antiqua" w:hAnsi="Book Antiqua" w:cs="Arial"/>
        </w:rPr>
      </w:pPr>
      <w:r w:rsidRPr="00EF6188">
        <w:rPr>
          <w:rFonts w:ascii="Book Antiqua" w:hAnsi="Book Antiqua" w:cs="Arial"/>
          <w:b/>
          <w:u w:val="single"/>
        </w:rPr>
        <w:t>Representation</w:t>
      </w:r>
      <w:r w:rsidRPr="00EF6188">
        <w:rPr>
          <w:rFonts w:ascii="Book Antiqua" w:hAnsi="Book Antiqua" w:cs="Arial"/>
          <w:b/>
        </w:rPr>
        <w:t>:</w:t>
      </w:r>
    </w:p>
    <w:p w:rsidR="00DE7DB7" w:rsidRPr="00EF6188" w:rsidRDefault="00DE7DB7" w:rsidP="00DE7DB7">
      <w:pPr>
        <w:tabs>
          <w:tab w:val="left" w:pos="2520"/>
        </w:tabs>
        <w:rPr>
          <w:rFonts w:ascii="Book Antiqua" w:hAnsi="Book Antiqua" w:cs="Arial"/>
        </w:rPr>
      </w:pPr>
      <w:r w:rsidRPr="00EF6188">
        <w:rPr>
          <w:rFonts w:ascii="Book Antiqua" w:hAnsi="Book Antiqua" w:cs="Arial"/>
        </w:rPr>
        <w:t>For the Appellant:</w:t>
      </w:r>
      <w:r w:rsidRPr="00EF6188">
        <w:rPr>
          <w:rFonts w:ascii="Book Antiqua" w:hAnsi="Book Antiqua" w:cs="Arial"/>
        </w:rPr>
        <w:tab/>
      </w:r>
      <w:r w:rsidR="00D4386D">
        <w:rPr>
          <w:rFonts w:ascii="Book Antiqua" w:hAnsi="Book Antiqua" w:cs="Arial"/>
        </w:rPr>
        <w:t>Mr T Shah</w:t>
      </w:r>
      <w:r w:rsidR="00F80F13">
        <w:rPr>
          <w:rFonts w:ascii="Book Antiqua" w:hAnsi="Book Antiqua" w:cs="Arial"/>
        </w:rPr>
        <w:t xml:space="preserve">, Taj Solicitors </w:t>
      </w:r>
    </w:p>
    <w:p w:rsidR="00DE7DB7" w:rsidRPr="00EF6188" w:rsidRDefault="00DE7DB7" w:rsidP="00DE7DB7">
      <w:pPr>
        <w:tabs>
          <w:tab w:val="left" w:pos="2520"/>
        </w:tabs>
        <w:rPr>
          <w:rFonts w:ascii="Book Antiqua" w:hAnsi="Book Antiqua" w:cs="Arial"/>
        </w:rPr>
      </w:pPr>
      <w:r w:rsidRPr="00EF6188">
        <w:rPr>
          <w:rFonts w:ascii="Book Antiqua" w:hAnsi="Book Antiqua" w:cs="Arial"/>
        </w:rPr>
        <w:t>For the Respondent:</w:t>
      </w:r>
      <w:r w:rsidRPr="00EF6188">
        <w:rPr>
          <w:rFonts w:ascii="Book Antiqua" w:hAnsi="Book Antiqua" w:cs="Arial"/>
        </w:rPr>
        <w:tab/>
      </w:r>
      <w:r w:rsidR="00D4386D">
        <w:rPr>
          <w:rFonts w:ascii="Book Antiqua" w:hAnsi="Book Antiqua" w:cs="Arial"/>
        </w:rPr>
        <w:t>Mr T Lindsay</w:t>
      </w:r>
      <w:r w:rsidR="00F80F13">
        <w:rPr>
          <w:rFonts w:ascii="Book Antiqua" w:hAnsi="Book Antiqua" w:cs="Arial"/>
        </w:rPr>
        <w:t xml:space="preserve"> </w:t>
      </w:r>
    </w:p>
    <w:p w:rsidR="00DE7DB7" w:rsidRPr="00EF6188" w:rsidRDefault="00DE7DB7" w:rsidP="00402B9E">
      <w:pPr>
        <w:tabs>
          <w:tab w:val="left" w:pos="2520"/>
        </w:tabs>
        <w:jc w:val="center"/>
        <w:rPr>
          <w:rFonts w:ascii="Book Antiqua" w:hAnsi="Book Antiqua" w:cs="Arial"/>
        </w:rPr>
      </w:pPr>
    </w:p>
    <w:p w:rsidR="00DE7DB7" w:rsidRPr="00EF6188" w:rsidRDefault="00DE7DB7" w:rsidP="00402B9E">
      <w:pPr>
        <w:tabs>
          <w:tab w:val="left" w:pos="2520"/>
        </w:tabs>
        <w:jc w:val="center"/>
        <w:rPr>
          <w:rFonts w:ascii="Book Antiqua" w:hAnsi="Book Antiqua" w:cs="Arial"/>
        </w:rPr>
      </w:pPr>
    </w:p>
    <w:p w:rsidR="00DE7DB7" w:rsidRPr="00EF6188" w:rsidRDefault="000B0A3F" w:rsidP="00402B9E">
      <w:pPr>
        <w:tabs>
          <w:tab w:val="left" w:pos="2520"/>
        </w:tabs>
        <w:jc w:val="center"/>
        <w:rPr>
          <w:rFonts w:ascii="Book Antiqua" w:hAnsi="Book Antiqua" w:cs="Arial"/>
        </w:rPr>
      </w:pPr>
      <w:r w:rsidRPr="00EF6188">
        <w:rPr>
          <w:rFonts w:ascii="Book Antiqua" w:hAnsi="Book Antiqua" w:cs="Arial"/>
          <w:b/>
          <w:u w:val="single"/>
        </w:rPr>
        <w:t xml:space="preserve">DECISION </w:t>
      </w:r>
      <w:r w:rsidR="00402B9E" w:rsidRPr="00EF6188">
        <w:rPr>
          <w:rFonts w:ascii="Book Antiqua" w:hAnsi="Book Antiqua" w:cs="Arial"/>
          <w:b/>
          <w:u w:val="single"/>
        </w:rPr>
        <w:t>AND REASONS</w:t>
      </w:r>
    </w:p>
    <w:p w:rsidR="00402B9E" w:rsidRPr="00EF6188" w:rsidRDefault="00402B9E" w:rsidP="00402B9E">
      <w:pPr>
        <w:tabs>
          <w:tab w:val="left" w:pos="2520"/>
        </w:tabs>
        <w:jc w:val="both"/>
        <w:rPr>
          <w:rFonts w:ascii="Book Antiqua" w:hAnsi="Book Antiqua" w:cs="Arial"/>
        </w:rPr>
      </w:pPr>
    </w:p>
    <w:p w:rsidR="00810991"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1.</w:t>
      </w:r>
      <w:r w:rsidR="00F24B0C" w:rsidRPr="00EF6188">
        <w:rPr>
          <w:rFonts w:ascii="Book Antiqua" w:hAnsi="Book Antiqua" w:cstheme="minorHAnsi"/>
        </w:rPr>
        <w:tab/>
      </w:r>
      <w:r w:rsidR="00810991" w:rsidRPr="00EF6188">
        <w:rPr>
          <w:rFonts w:ascii="Book Antiqua" w:hAnsi="Book Antiqua" w:cstheme="minorHAnsi"/>
        </w:rPr>
        <w:t>The Appellant</w:t>
      </w:r>
      <w:r w:rsidR="00C434FE">
        <w:rPr>
          <w:rFonts w:ascii="Book Antiqua" w:hAnsi="Book Antiqua" w:cstheme="minorHAnsi"/>
        </w:rPr>
        <w:t>,</w:t>
      </w:r>
      <w:r w:rsidR="00810991" w:rsidRPr="00EF6188">
        <w:rPr>
          <w:rFonts w:ascii="Book Antiqua" w:hAnsi="Book Antiqua" w:cstheme="minorHAnsi"/>
        </w:rPr>
        <w:t xml:space="preserve"> a national of Bangladesh, date of birth 26 December 1979, appealed against the Respondent’s decision</w:t>
      </w:r>
      <w:r w:rsidR="00C434FE">
        <w:rPr>
          <w:rFonts w:ascii="Book Antiqua" w:hAnsi="Book Antiqua" w:cstheme="minorHAnsi"/>
        </w:rPr>
        <w:t>,</w:t>
      </w:r>
      <w:r w:rsidR="00810991" w:rsidRPr="00EF6188">
        <w:rPr>
          <w:rFonts w:ascii="Book Antiqua" w:hAnsi="Book Antiqua" w:cstheme="minorHAnsi"/>
        </w:rPr>
        <w:t xml:space="preserve"> of 14 June 2016</w:t>
      </w:r>
      <w:r w:rsidR="00C434FE">
        <w:rPr>
          <w:rFonts w:ascii="Book Antiqua" w:hAnsi="Book Antiqua" w:cstheme="minorHAnsi"/>
        </w:rPr>
        <w:t>,</w:t>
      </w:r>
      <w:r w:rsidR="00810991" w:rsidRPr="00EF6188">
        <w:rPr>
          <w:rFonts w:ascii="Book Antiqua" w:hAnsi="Book Antiqua" w:cstheme="minorHAnsi"/>
        </w:rPr>
        <w:t xml:space="preserve"> to refuse his application of 17</w:t>
      </w:r>
      <w:r w:rsidR="000D2573" w:rsidRPr="00EF6188">
        <w:rPr>
          <w:rFonts w:ascii="Book Antiqua" w:hAnsi="Book Antiqua" w:cstheme="minorHAnsi"/>
        </w:rPr>
        <w:t xml:space="preserve"> </w:t>
      </w:r>
      <w:r w:rsidR="00810991" w:rsidRPr="00EF6188">
        <w:rPr>
          <w:rFonts w:ascii="Book Antiqua" w:hAnsi="Book Antiqua" w:cstheme="minorHAnsi"/>
        </w:rPr>
        <w:t>March 2016 for leave to remain largely based on human rights grounds.</w:t>
      </w:r>
    </w:p>
    <w:p w:rsidR="00EF5048" w:rsidRDefault="00EF5048" w:rsidP="00724790">
      <w:pPr>
        <w:tabs>
          <w:tab w:val="left" w:pos="567"/>
        </w:tabs>
        <w:spacing w:line="360" w:lineRule="auto"/>
        <w:ind w:left="567" w:hanging="567"/>
        <w:jc w:val="both"/>
        <w:rPr>
          <w:rFonts w:ascii="Book Antiqua" w:hAnsi="Book Antiqua" w:cstheme="minorHAnsi"/>
        </w:rPr>
      </w:pPr>
    </w:p>
    <w:p w:rsidR="00F24B0C"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lastRenderedPageBreak/>
        <w:t>2.</w:t>
      </w:r>
      <w:r w:rsidR="00810991" w:rsidRPr="00EF6188">
        <w:rPr>
          <w:rFonts w:ascii="Book Antiqua" w:hAnsi="Book Antiqua" w:cstheme="minorHAnsi"/>
        </w:rPr>
        <w:tab/>
        <w:t>A</w:t>
      </w:r>
      <w:r w:rsidR="00D601F2">
        <w:rPr>
          <w:rFonts w:ascii="Book Antiqua" w:hAnsi="Book Antiqua" w:cstheme="minorHAnsi"/>
        </w:rPr>
        <w:t>f</w:t>
      </w:r>
      <w:r w:rsidR="00810991" w:rsidRPr="00EF6188">
        <w:rPr>
          <w:rFonts w:ascii="Book Antiqua" w:hAnsi="Book Antiqua" w:cstheme="minorHAnsi"/>
        </w:rPr>
        <w:t>t</w:t>
      </w:r>
      <w:r w:rsidR="00D601F2">
        <w:rPr>
          <w:rFonts w:ascii="Book Antiqua" w:hAnsi="Book Antiqua" w:cstheme="minorHAnsi"/>
        </w:rPr>
        <w:t>er</w:t>
      </w:r>
      <w:r w:rsidR="00810991" w:rsidRPr="00EF6188">
        <w:rPr>
          <w:rFonts w:ascii="Book Antiqua" w:hAnsi="Book Antiqua" w:cstheme="minorHAnsi"/>
        </w:rPr>
        <w:t xml:space="preserve"> the date of the Respondent’s decision the matter moved on</w:t>
      </w:r>
      <w:r w:rsidR="00C434FE">
        <w:rPr>
          <w:rFonts w:ascii="Book Antiqua" w:hAnsi="Book Antiqua" w:cstheme="minorHAnsi"/>
        </w:rPr>
        <w:t>,</w:t>
      </w:r>
      <w:r w:rsidR="00810991" w:rsidRPr="00EF6188">
        <w:rPr>
          <w:rFonts w:ascii="Book Antiqua" w:hAnsi="Book Antiqua" w:cstheme="minorHAnsi"/>
        </w:rPr>
        <w:t xml:space="preserve"> to a degree</w:t>
      </w:r>
      <w:r w:rsidR="00C434FE">
        <w:rPr>
          <w:rFonts w:ascii="Book Antiqua" w:hAnsi="Book Antiqua" w:cstheme="minorHAnsi"/>
        </w:rPr>
        <w:t>,</w:t>
      </w:r>
      <w:r w:rsidR="00810991" w:rsidRPr="00EF6188">
        <w:rPr>
          <w:rFonts w:ascii="Book Antiqua" w:hAnsi="Book Antiqua" w:cstheme="minorHAnsi"/>
        </w:rPr>
        <w:t xml:space="preserve"> for the appeal came to be heard in November </w:t>
      </w:r>
      <w:r w:rsidR="000D2573" w:rsidRPr="00EF6188">
        <w:rPr>
          <w:rFonts w:ascii="Book Antiqua" w:hAnsi="Book Antiqua" w:cstheme="minorHAnsi"/>
        </w:rPr>
        <w:t>2017</w:t>
      </w:r>
      <w:r w:rsidR="00C434FE">
        <w:rPr>
          <w:rFonts w:ascii="Book Antiqua" w:hAnsi="Book Antiqua" w:cstheme="minorHAnsi"/>
        </w:rPr>
        <w:t>.  T</w:t>
      </w:r>
      <w:r w:rsidR="000D2573" w:rsidRPr="00EF6188">
        <w:rPr>
          <w:rFonts w:ascii="Book Antiqua" w:hAnsi="Book Antiqua" w:cstheme="minorHAnsi"/>
        </w:rPr>
        <w:t xml:space="preserve">he decision of First-tier Tribunal Judge Swaniker </w:t>
      </w:r>
      <w:r w:rsidR="00C434FE">
        <w:rPr>
          <w:rFonts w:ascii="Book Antiqua" w:hAnsi="Book Antiqua" w:cstheme="minorHAnsi"/>
        </w:rPr>
        <w:t xml:space="preserve">(the Judge), </w:t>
      </w:r>
      <w:r w:rsidR="000D2573" w:rsidRPr="00EF6188">
        <w:rPr>
          <w:rFonts w:ascii="Book Antiqua" w:hAnsi="Book Antiqua" w:cstheme="minorHAnsi"/>
        </w:rPr>
        <w:t>dated 18 January 2018</w:t>
      </w:r>
      <w:r w:rsidR="00C434FE">
        <w:rPr>
          <w:rFonts w:ascii="Book Antiqua" w:hAnsi="Book Antiqua" w:cstheme="minorHAnsi"/>
        </w:rPr>
        <w:t>,</w:t>
      </w:r>
      <w:r w:rsidR="000D2573" w:rsidRPr="00EF6188">
        <w:rPr>
          <w:rFonts w:ascii="Book Antiqua" w:hAnsi="Book Antiqua" w:cstheme="minorHAnsi"/>
        </w:rPr>
        <w:t xml:space="preserve"> dismissed the Appellant’s appeal on immigration and Article 8, ECHR grounds.  </w:t>
      </w:r>
    </w:p>
    <w:p w:rsidR="000D2573" w:rsidRPr="00EF6188" w:rsidRDefault="001E5DDA"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0D2573"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3.</w:t>
      </w:r>
      <w:r w:rsidR="000D2573" w:rsidRPr="00EF6188">
        <w:rPr>
          <w:rFonts w:ascii="Book Antiqua" w:hAnsi="Book Antiqua" w:cstheme="minorHAnsi"/>
        </w:rPr>
        <w:tab/>
        <w:t>Permission to appeal that decision was given by First-tier Tribunal Judge Shimmin on 16 May 2018.  The grant is not overly helpful as to what the Judge thought the errors might have been but having heard the arguments it has largely resolved itself to the simpl</w:t>
      </w:r>
      <w:r w:rsidR="0097243F" w:rsidRPr="00EF6188">
        <w:rPr>
          <w:rFonts w:ascii="Book Antiqua" w:hAnsi="Book Antiqua" w:cstheme="minorHAnsi"/>
        </w:rPr>
        <w:t xml:space="preserve">e </w:t>
      </w:r>
      <w:r w:rsidR="000D2573" w:rsidRPr="00EF6188">
        <w:rPr>
          <w:rFonts w:ascii="Book Antiqua" w:hAnsi="Book Antiqua" w:cstheme="minorHAnsi"/>
        </w:rPr>
        <w:t>issue of whether or not</w:t>
      </w:r>
      <w:r w:rsidR="00C434FE">
        <w:rPr>
          <w:rFonts w:ascii="Book Antiqua" w:hAnsi="Book Antiqua" w:cstheme="minorHAnsi"/>
        </w:rPr>
        <w:t>,</w:t>
      </w:r>
      <w:r w:rsidR="000D2573" w:rsidRPr="00EF6188">
        <w:rPr>
          <w:rFonts w:ascii="Book Antiqua" w:hAnsi="Book Antiqua" w:cstheme="minorHAnsi"/>
        </w:rPr>
        <w:t xml:space="preserve"> in the light of the findings the Judge had made the decision to dismiss the appeal on Article 8, ECHR g</w:t>
      </w:r>
      <w:r w:rsidR="00C434FE">
        <w:rPr>
          <w:rFonts w:ascii="Book Antiqua" w:hAnsi="Book Antiqua" w:cstheme="minorHAnsi"/>
        </w:rPr>
        <w:t>rounds</w:t>
      </w:r>
      <w:r w:rsidR="00D601F2">
        <w:rPr>
          <w:rFonts w:ascii="Book Antiqua" w:hAnsi="Book Antiqua" w:cstheme="minorHAnsi"/>
        </w:rPr>
        <w:t xml:space="preserve"> wa</w:t>
      </w:r>
      <w:r w:rsidR="00C434FE">
        <w:rPr>
          <w:rFonts w:ascii="Book Antiqua" w:hAnsi="Book Antiqua" w:cstheme="minorHAnsi"/>
        </w:rPr>
        <w:t>s sustainable.  There was</w:t>
      </w:r>
      <w:r w:rsidR="000D2573" w:rsidRPr="00EF6188">
        <w:rPr>
          <w:rFonts w:ascii="Book Antiqua" w:hAnsi="Book Antiqua" w:cstheme="minorHAnsi"/>
        </w:rPr>
        <w:t xml:space="preserve"> no real challenge to the Judge’s conclusions in relation to the Immigration Rules and no fundamental challenge to the Judge’s consideration of Article 8, ECHR outside of the Rules.  </w:t>
      </w:r>
    </w:p>
    <w:p w:rsidR="000D2573" w:rsidRPr="00EF6188" w:rsidRDefault="007E3DF4"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0D2573"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4.</w:t>
      </w:r>
      <w:r w:rsidR="000D2573" w:rsidRPr="00EF6188">
        <w:rPr>
          <w:rFonts w:ascii="Book Antiqua" w:hAnsi="Book Antiqua" w:cstheme="minorHAnsi"/>
        </w:rPr>
        <w:tab/>
        <w:t>The Judge approached this matter with some structure and in particular looked at the claimed relationship as of now between the Appellant, his two stepchildren and his young baby son aged 6 months.</w:t>
      </w:r>
      <w:r w:rsidR="007E3DF4" w:rsidRPr="00EF6188">
        <w:rPr>
          <w:rFonts w:ascii="Book Antiqua" w:hAnsi="Book Antiqua" w:cstheme="minorHAnsi"/>
        </w:rPr>
        <w:t xml:space="preserve">  </w:t>
      </w:r>
      <w:r w:rsidR="000D2573" w:rsidRPr="00EF6188">
        <w:rPr>
          <w:rFonts w:ascii="Book Antiqua" w:hAnsi="Book Antiqua" w:cstheme="minorHAnsi"/>
        </w:rPr>
        <w:t>The Judge concluded for sustainable reasons that the children’s best interests lay in remaining in the United Kingdom bearing in mind the two elder children who were 8 and 9</w:t>
      </w:r>
      <w:r w:rsidR="00D601F2">
        <w:rPr>
          <w:rFonts w:ascii="Book Antiqua" w:hAnsi="Book Antiqua" w:cstheme="minorHAnsi"/>
        </w:rPr>
        <w:t>,</w:t>
      </w:r>
      <w:r w:rsidR="000D2573" w:rsidRPr="00EF6188">
        <w:rPr>
          <w:rFonts w:ascii="Book Antiqua" w:hAnsi="Book Antiqua" w:cstheme="minorHAnsi"/>
        </w:rPr>
        <w:t xml:space="preserve"> had been in the UK since birth and were the children of the Sponsor wife born of a previous marriage by her.  </w:t>
      </w:r>
      <w:r w:rsidR="00905E7C" w:rsidRPr="00EF6188">
        <w:rPr>
          <w:rFonts w:ascii="Book Antiqua" w:hAnsi="Book Antiqua" w:cstheme="minorHAnsi"/>
        </w:rPr>
        <w:t xml:space="preserve">Nevertheless the Judge accepted that the Appellant had established over the time a genuine and subsisting relationship with those two children as indeed he was doing presumably with his baby son.  </w:t>
      </w:r>
    </w:p>
    <w:p w:rsidR="00905E7C" w:rsidRPr="00EF6188" w:rsidRDefault="006C1632"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D47F43"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5.</w:t>
      </w:r>
      <w:r w:rsidR="00905E7C" w:rsidRPr="00EF6188">
        <w:rPr>
          <w:rFonts w:ascii="Book Antiqua" w:hAnsi="Book Antiqua" w:cstheme="minorHAnsi"/>
        </w:rPr>
        <w:tab/>
        <w:t xml:space="preserve">The Judge went on having found the best interests </w:t>
      </w:r>
      <w:r w:rsidR="00AD3672" w:rsidRPr="00EF6188">
        <w:rPr>
          <w:rFonts w:ascii="Book Antiqua" w:hAnsi="Book Antiqua" w:cstheme="minorHAnsi"/>
        </w:rPr>
        <w:t xml:space="preserve">to directly conclude with reference to </w:t>
      </w:r>
      <w:r w:rsidR="00AD3672" w:rsidRPr="00A52915">
        <w:rPr>
          <w:rFonts w:ascii="Book Antiqua" w:hAnsi="Book Antiqua" w:cstheme="minorHAnsi"/>
          <w:b/>
        </w:rPr>
        <w:t>MA</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Pakistan</w:t>
      </w:r>
      <w:r w:rsidR="00A52915">
        <w:rPr>
          <w:rFonts w:ascii="Book Antiqua" w:hAnsi="Book Antiqua" w:cstheme="minorHAnsi"/>
        </w:rPr>
        <w:t>)</w:t>
      </w:r>
      <w:r w:rsidR="00AD3672" w:rsidRPr="00EF6188">
        <w:rPr>
          <w:rFonts w:ascii="Book Antiqua" w:hAnsi="Book Antiqua" w:cstheme="minorHAnsi"/>
        </w:rPr>
        <w:t xml:space="preserve"> [2016] EWCA 705 but without reference to </w:t>
      </w:r>
      <w:r w:rsidR="00AD3672" w:rsidRPr="00A52915">
        <w:rPr>
          <w:rFonts w:ascii="Book Antiqua" w:hAnsi="Book Antiqua" w:cstheme="minorHAnsi"/>
          <w:b/>
        </w:rPr>
        <w:t>AM</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Pakistan</w:t>
      </w:r>
      <w:r w:rsidR="00A52915">
        <w:rPr>
          <w:rFonts w:ascii="Book Antiqua" w:hAnsi="Book Antiqua" w:cstheme="minorHAnsi"/>
        </w:rPr>
        <w:t>)</w:t>
      </w:r>
      <w:r w:rsidR="00AD3672" w:rsidRPr="00EF6188">
        <w:rPr>
          <w:rFonts w:ascii="Book Antiqua" w:hAnsi="Book Antiqua" w:cstheme="minorHAnsi"/>
        </w:rPr>
        <w:t xml:space="preserve"> [2017] EWCA 648 that it was not reasonable for the children to leave the United Kingdom.</w:t>
      </w:r>
    </w:p>
    <w:p w:rsidR="00D47F43" w:rsidRPr="00EF6188" w:rsidRDefault="00D47F43" w:rsidP="00724790">
      <w:pPr>
        <w:tabs>
          <w:tab w:val="left" w:pos="567"/>
        </w:tabs>
        <w:spacing w:line="360" w:lineRule="auto"/>
        <w:ind w:left="567" w:hanging="567"/>
        <w:jc w:val="both"/>
        <w:rPr>
          <w:rFonts w:ascii="Book Antiqua" w:hAnsi="Book Antiqua" w:cstheme="minorHAnsi"/>
        </w:rPr>
      </w:pPr>
    </w:p>
    <w:p w:rsidR="00905E7C"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6.</w:t>
      </w:r>
      <w:r w:rsidR="00D47F43" w:rsidRPr="00EF6188">
        <w:rPr>
          <w:rFonts w:ascii="Book Antiqua" w:hAnsi="Book Antiqua" w:cstheme="minorHAnsi"/>
        </w:rPr>
        <w:tab/>
      </w:r>
      <w:r w:rsidR="00AD3672" w:rsidRPr="00EF6188">
        <w:rPr>
          <w:rFonts w:ascii="Book Antiqua" w:hAnsi="Book Antiqua" w:cstheme="minorHAnsi"/>
        </w:rPr>
        <w:t xml:space="preserve">The Judge then concluded by reference to the proportionality exercise that the Respondent’s decision in the light of the Appellant’s immigration history and other </w:t>
      </w:r>
      <w:r w:rsidR="00C434FE">
        <w:rPr>
          <w:rFonts w:ascii="Book Antiqua" w:hAnsi="Book Antiqua" w:cstheme="minorHAnsi"/>
        </w:rPr>
        <w:t xml:space="preserve">matters led to </w:t>
      </w:r>
      <w:r w:rsidR="00AD3672" w:rsidRPr="00EF6188">
        <w:rPr>
          <w:rFonts w:ascii="Book Antiqua" w:hAnsi="Book Antiqua" w:cstheme="minorHAnsi"/>
        </w:rPr>
        <w:t xml:space="preserve">the conclusion that the Appellant had remained in the UK for the </w:t>
      </w:r>
      <w:r w:rsidR="00AD3672" w:rsidRPr="00EF6188">
        <w:rPr>
          <w:rFonts w:ascii="Book Antiqua" w:hAnsi="Book Antiqua" w:cstheme="minorHAnsi"/>
        </w:rPr>
        <w:lastRenderedPageBreak/>
        <w:t>purposes of economic betterment and determinedly</w:t>
      </w:r>
      <w:r w:rsidR="00C434FE">
        <w:rPr>
          <w:rFonts w:ascii="Book Antiqua" w:hAnsi="Book Antiqua" w:cstheme="minorHAnsi"/>
        </w:rPr>
        <w:t>,</w:t>
      </w:r>
      <w:r w:rsidR="00AD3672" w:rsidRPr="00EF6188">
        <w:rPr>
          <w:rFonts w:ascii="Book Antiqua" w:hAnsi="Book Antiqua" w:cstheme="minorHAnsi"/>
        </w:rPr>
        <w:t xml:space="preserve"> flagrantly disregarded Immigration Laws and Rules in the </w:t>
      </w:r>
      <w:r w:rsidR="00317A2A">
        <w:rPr>
          <w:rFonts w:ascii="Book Antiqua" w:hAnsi="Book Antiqua" w:cstheme="minorHAnsi"/>
        </w:rPr>
        <w:t xml:space="preserve">UK.  Thus </w:t>
      </w:r>
      <w:r w:rsidR="00AD3672" w:rsidRPr="00EF6188">
        <w:rPr>
          <w:rFonts w:ascii="Book Antiqua" w:hAnsi="Book Antiqua" w:cstheme="minorHAnsi"/>
        </w:rPr>
        <w:t xml:space="preserve">it was not disproportionate for him to go back to Bangladesh and make an application to return.  </w:t>
      </w:r>
    </w:p>
    <w:p w:rsidR="00AD3672" w:rsidRPr="00EF6188" w:rsidRDefault="008F5E9E"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AD3672"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7.</w:t>
      </w:r>
      <w:r w:rsidR="00AD3672" w:rsidRPr="00EF6188">
        <w:rPr>
          <w:rFonts w:ascii="Book Antiqua" w:hAnsi="Book Antiqua" w:cstheme="minorHAnsi"/>
        </w:rPr>
        <w:tab/>
        <w:t xml:space="preserve">Given the identified approach in </w:t>
      </w:r>
      <w:r w:rsidR="00AD3672" w:rsidRPr="00A52915">
        <w:rPr>
          <w:rFonts w:ascii="Book Antiqua" w:hAnsi="Book Antiqua" w:cstheme="minorHAnsi"/>
          <w:b/>
        </w:rPr>
        <w:t>MA</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Pakistan</w:t>
      </w:r>
      <w:r w:rsidR="00A52915">
        <w:rPr>
          <w:rFonts w:ascii="Book Antiqua" w:hAnsi="Book Antiqua" w:cstheme="minorHAnsi"/>
        </w:rPr>
        <w:t>)</w:t>
      </w:r>
      <w:r w:rsidR="00AD3672" w:rsidRPr="00EF6188">
        <w:rPr>
          <w:rFonts w:ascii="Book Antiqua" w:hAnsi="Book Antiqua" w:cstheme="minorHAnsi"/>
        </w:rPr>
        <w:t xml:space="preserve"> and </w:t>
      </w:r>
      <w:r w:rsidR="00AD3672" w:rsidRPr="00A52915">
        <w:rPr>
          <w:rFonts w:ascii="Book Antiqua" w:hAnsi="Book Antiqua" w:cstheme="minorHAnsi"/>
          <w:b/>
        </w:rPr>
        <w:t>AM</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Pakistan</w:t>
      </w:r>
      <w:r w:rsidR="00A52915">
        <w:rPr>
          <w:rFonts w:ascii="Book Antiqua" w:hAnsi="Book Antiqua" w:cstheme="minorHAnsi"/>
        </w:rPr>
        <w:t>)</w:t>
      </w:r>
      <w:r w:rsidR="00AD3672" w:rsidRPr="00EF6188">
        <w:rPr>
          <w:rFonts w:ascii="Book Antiqua" w:hAnsi="Book Antiqua" w:cstheme="minorHAnsi"/>
        </w:rPr>
        <w:t xml:space="preserve"> it is </w:t>
      </w:r>
      <w:r w:rsidR="00C434FE">
        <w:rPr>
          <w:rFonts w:ascii="Book Antiqua" w:hAnsi="Book Antiqua" w:cstheme="minorHAnsi"/>
        </w:rPr>
        <w:t xml:space="preserve">clear by reference to such a case </w:t>
      </w:r>
      <w:r w:rsidR="00AD3672" w:rsidRPr="00EF6188">
        <w:rPr>
          <w:rFonts w:ascii="Book Antiqua" w:hAnsi="Book Antiqua" w:cstheme="minorHAnsi"/>
        </w:rPr>
        <w:t xml:space="preserve">as </w:t>
      </w:r>
      <w:r w:rsidR="00AD3672" w:rsidRPr="00A52915">
        <w:rPr>
          <w:rFonts w:ascii="Book Antiqua" w:hAnsi="Book Antiqua" w:cstheme="minorHAnsi"/>
          <w:b/>
        </w:rPr>
        <w:t>EV</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Philippines</w:t>
      </w:r>
      <w:r w:rsidR="00A52915">
        <w:rPr>
          <w:rFonts w:ascii="Book Antiqua" w:hAnsi="Book Antiqua" w:cstheme="minorHAnsi"/>
        </w:rPr>
        <w:t>)</w:t>
      </w:r>
      <w:r w:rsidR="00AD3672" w:rsidRPr="00EF6188">
        <w:rPr>
          <w:rFonts w:ascii="Book Antiqua" w:hAnsi="Book Antiqua" w:cstheme="minorHAnsi"/>
        </w:rPr>
        <w:t xml:space="preserve"> </w:t>
      </w:r>
      <w:r w:rsidR="00C434FE">
        <w:rPr>
          <w:rFonts w:ascii="Book Antiqua" w:hAnsi="Book Antiqua" w:cstheme="minorHAnsi"/>
        </w:rPr>
        <w:t xml:space="preserve">[2014] EWCA </w:t>
      </w:r>
      <w:proofErr w:type="spellStart"/>
      <w:r w:rsidR="00C434FE">
        <w:rPr>
          <w:rFonts w:ascii="Book Antiqua" w:hAnsi="Book Antiqua" w:cstheme="minorHAnsi"/>
        </w:rPr>
        <w:t>Civ</w:t>
      </w:r>
      <w:proofErr w:type="spellEnd"/>
      <w:r w:rsidR="00C434FE">
        <w:rPr>
          <w:rFonts w:ascii="Book Antiqua" w:hAnsi="Book Antiqua" w:cstheme="minorHAnsi"/>
        </w:rPr>
        <w:t xml:space="preserve"> 874 </w:t>
      </w:r>
      <w:r w:rsidR="00AD3672" w:rsidRPr="00EF6188">
        <w:rPr>
          <w:rFonts w:ascii="Book Antiqua" w:hAnsi="Book Antiqua" w:cstheme="minorHAnsi"/>
        </w:rPr>
        <w:t xml:space="preserve">that the immigration history of the parents or their conduct is material to the assessment of the reasonableness of the children being required to leave the UK.  As is clear from </w:t>
      </w:r>
      <w:r w:rsidR="00AD3672" w:rsidRPr="00A52915">
        <w:rPr>
          <w:rFonts w:ascii="Book Antiqua" w:hAnsi="Book Antiqua" w:cstheme="minorHAnsi"/>
          <w:b/>
        </w:rPr>
        <w:t>MA</w:t>
      </w:r>
      <w:r w:rsidR="00AD3672" w:rsidRPr="00EF6188">
        <w:rPr>
          <w:rFonts w:ascii="Book Antiqua" w:hAnsi="Book Antiqua" w:cstheme="minorHAnsi"/>
        </w:rPr>
        <w:t xml:space="preserve"> </w:t>
      </w:r>
      <w:r w:rsidR="00A52915">
        <w:rPr>
          <w:rFonts w:ascii="Book Antiqua" w:hAnsi="Book Antiqua" w:cstheme="minorHAnsi"/>
        </w:rPr>
        <w:t>(</w:t>
      </w:r>
      <w:r w:rsidR="00AD3672" w:rsidRPr="00EF6188">
        <w:rPr>
          <w:rFonts w:ascii="Book Antiqua" w:hAnsi="Book Antiqua" w:cstheme="minorHAnsi"/>
        </w:rPr>
        <w:t>Pakistan</w:t>
      </w:r>
      <w:r w:rsidR="00A52915">
        <w:rPr>
          <w:rFonts w:ascii="Book Antiqua" w:hAnsi="Book Antiqua" w:cstheme="minorHAnsi"/>
        </w:rPr>
        <w:t>)</w:t>
      </w:r>
      <w:r w:rsidR="00AD3672" w:rsidRPr="00EF6188">
        <w:rPr>
          <w:rFonts w:ascii="Book Antiqua" w:hAnsi="Book Antiqua" w:cstheme="minorHAnsi"/>
        </w:rPr>
        <w:t xml:space="preserve"> there is published guidance from the Secretary of State as to her stance in relation to the consequences of decisions which would separate British national children or persons from a foreign national who was being required to leave the UK.</w:t>
      </w:r>
    </w:p>
    <w:p w:rsidR="00AD3672" w:rsidRPr="00EF6188" w:rsidRDefault="00AD3672" w:rsidP="00724790">
      <w:pPr>
        <w:tabs>
          <w:tab w:val="left" w:pos="567"/>
        </w:tabs>
        <w:spacing w:line="360" w:lineRule="auto"/>
        <w:ind w:left="567" w:hanging="567"/>
        <w:jc w:val="both"/>
        <w:rPr>
          <w:rFonts w:ascii="Book Antiqua" w:hAnsi="Book Antiqua" w:cstheme="minorHAnsi"/>
        </w:rPr>
      </w:pPr>
    </w:p>
    <w:p w:rsidR="00AD3672"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8.</w:t>
      </w:r>
      <w:r w:rsidR="00C434FE">
        <w:rPr>
          <w:rFonts w:ascii="Book Antiqua" w:hAnsi="Book Antiqua" w:cstheme="minorHAnsi"/>
        </w:rPr>
        <w:tab/>
        <w:t>It seemed</w:t>
      </w:r>
      <w:r w:rsidR="00AD3672" w:rsidRPr="00EF6188">
        <w:rPr>
          <w:rFonts w:ascii="Book Antiqua" w:hAnsi="Book Antiqua" w:cstheme="minorHAnsi"/>
        </w:rPr>
        <w:t xml:space="preserve"> to me that that guidance identified as confirmed in </w:t>
      </w:r>
      <w:r w:rsidR="00AD3672" w:rsidRPr="00A52915">
        <w:rPr>
          <w:rFonts w:ascii="Book Antiqua" w:hAnsi="Book Antiqua" w:cstheme="minorHAnsi"/>
          <w:b/>
        </w:rPr>
        <w:t>MT and ET</w:t>
      </w:r>
      <w:r w:rsidR="00C434FE">
        <w:rPr>
          <w:rFonts w:ascii="Book Antiqua" w:hAnsi="Book Antiqua" w:cstheme="minorHAnsi"/>
        </w:rPr>
        <w:t xml:space="preserve"> [2018] UKUT 88 </w:t>
      </w:r>
      <w:r w:rsidR="008B1C3F" w:rsidRPr="00EF6188">
        <w:rPr>
          <w:rFonts w:ascii="Book Antiqua" w:hAnsi="Book Antiqua" w:cstheme="minorHAnsi"/>
        </w:rPr>
        <w:t>that there need to be powerful reasons to remove someone where the position is they are not being deported</w:t>
      </w:r>
      <w:r w:rsidR="00317A2A">
        <w:rPr>
          <w:rFonts w:ascii="Book Antiqua" w:hAnsi="Book Antiqua" w:cstheme="minorHAnsi"/>
        </w:rPr>
        <w:t xml:space="preserve"> or </w:t>
      </w:r>
      <w:r w:rsidR="008B1C3F" w:rsidRPr="00EF6188">
        <w:rPr>
          <w:rFonts w:ascii="Book Antiqua" w:hAnsi="Book Antiqua" w:cstheme="minorHAnsi"/>
        </w:rPr>
        <w:t xml:space="preserve">they are not being subject to some sort of administrative removal and where their overstaying or immigration history is not of a significant level in terms of issues such as </w:t>
      </w:r>
      <w:r w:rsidR="00317A2A">
        <w:rPr>
          <w:rFonts w:ascii="Book Antiqua" w:hAnsi="Book Antiqua" w:cstheme="minorHAnsi"/>
        </w:rPr>
        <w:t xml:space="preserve">actual or potential </w:t>
      </w:r>
      <w:r w:rsidR="008B1C3F" w:rsidRPr="00EF6188">
        <w:rPr>
          <w:rFonts w:ascii="Book Antiqua" w:hAnsi="Book Antiqua" w:cstheme="minorHAnsi"/>
        </w:rPr>
        <w:t>harm to the public.  Th</w:t>
      </w:r>
      <w:r w:rsidR="00D601F2">
        <w:rPr>
          <w:rFonts w:ascii="Book Antiqua" w:hAnsi="Book Antiqua" w:cstheme="minorHAnsi"/>
        </w:rPr>
        <w:t>is</w:t>
      </w:r>
      <w:r w:rsidR="008B1C3F" w:rsidRPr="00EF6188">
        <w:rPr>
          <w:rFonts w:ascii="Book Antiqua" w:hAnsi="Book Antiqua" w:cstheme="minorHAnsi"/>
        </w:rPr>
        <w:t xml:space="preserve"> is not to say that the guidance</w:t>
      </w:r>
      <w:r w:rsidR="00317A2A">
        <w:rPr>
          <w:rFonts w:ascii="Book Antiqua" w:hAnsi="Book Antiqua" w:cstheme="minorHAnsi"/>
        </w:rPr>
        <w:t xml:space="preserve"> </w:t>
      </w:r>
      <w:r w:rsidR="008B1C3F" w:rsidRPr="00EF6188">
        <w:rPr>
          <w:rFonts w:ascii="Book Antiqua" w:hAnsi="Book Antiqua" w:cstheme="minorHAnsi"/>
        </w:rPr>
        <w:t>necessarily mean</w:t>
      </w:r>
      <w:r w:rsidR="00317A2A">
        <w:rPr>
          <w:rFonts w:ascii="Book Antiqua" w:hAnsi="Book Antiqua" w:cstheme="minorHAnsi"/>
        </w:rPr>
        <w:t>s</w:t>
      </w:r>
      <w:r w:rsidR="008B1C3F" w:rsidRPr="00EF6188">
        <w:rPr>
          <w:rFonts w:ascii="Book Antiqua" w:hAnsi="Book Antiqua" w:cstheme="minorHAnsi"/>
        </w:rPr>
        <w:t xml:space="preserve"> that people with poor immigration histories can expect to remain</w:t>
      </w:r>
      <w:r w:rsidR="00BE200A" w:rsidRPr="00EF6188">
        <w:rPr>
          <w:rFonts w:ascii="Book Antiqua" w:hAnsi="Book Antiqua" w:cstheme="minorHAnsi"/>
        </w:rPr>
        <w:t>,</w:t>
      </w:r>
      <w:r w:rsidR="008B1C3F" w:rsidRPr="00EF6188">
        <w:rPr>
          <w:rFonts w:ascii="Book Antiqua" w:hAnsi="Book Antiqua" w:cstheme="minorHAnsi"/>
        </w:rPr>
        <w:t xml:space="preserve"> but rather it is a</w:t>
      </w:r>
      <w:r w:rsidR="00317A2A">
        <w:rPr>
          <w:rFonts w:ascii="Book Antiqua" w:hAnsi="Book Antiqua" w:cstheme="minorHAnsi"/>
        </w:rPr>
        <w:t xml:space="preserve"> factor </w:t>
      </w:r>
      <w:r w:rsidR="008B1C3F" w:rsidRPr="00EF6188">
        <w:rPr>
          <w:rFonts w:ascii="Book Antiqua" w:hAnsi="Book Antiqua" w:cstheme="minorHAnsi"/>
        </w:rPr>
        <w:t xml:space="preserve">in considering reasonableness.  </w:t>
      </w:r>
    </w:p>
    <w:p w:rsidR="008B1C3F" w:rsidRPr="00EF6188" w:rsidRDefault="00B7283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8B1C3F"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9.</w:t>
      </w:r>
      <w:r w:rsidR="008B1C3F" w:rsidRPr="00EF6188">
        <w:rPr>
          <w:rFonts w:ascii="Book Antiqua" w:hAnsi="Book Antiqua" w:cstheme="minorHAnsi"/>
        </w:rPr>
        <w:tab/>
        <w:t>In this case the Judge clearly took those matters and the conduct of the Sponsor wife and the Appellant into account in assessing the final stage of the proportionality exercise which</w:t>
      </w:r>
      <w:r w:rsidR="00B72835" w:rsidRPr="00EF6188">
        <w:rPr>
          <w:rFonts w:ascii="Book Antiqua" w:hAnsi="Book Antiqua" w:cstheme="minorHAnsi"/>
        </w:rPr>
        <w:t>,</w:t>
      </w:r>
      <w:r w:rsidR="008B1C3F" w:rsidRPr="00EF6188">
        <w:rPr>
          <w:rFonts w:ascii="Book Antiqua" w:hAnsi="Book Antiqua" w:cstheme="minorHAnsi"/>
        </w:rPr>
        <w:t xml:space="preserve"> in the light of </w:t>
      </w:r>
      <w:r w:rsidR="008B1C3F" w:rsidRPr="00A52915">
        <w:rPr>
          <w:rFonts w:ascii="Book Antiqua" w:hAnsi="Book Antiqua" w:cstheme="minorHAnsi"/>
          <w:b/>
        </w:rPr>
        <w:t>MA</w:t>
      </w:r>
      <w:r w:rsidR="008B1C3F" w:rsidRPr="00EF6188">
        <w:rPr>
          <w:rFonts w:ascii="Book Antiqua" w:hAnsi="Book Antiqua" w:cstheme="minorHAnsi"/>
        </w:rPr>
        <w:t xml:space="preserve"> </w:t>
      </w:r>
      <w:r w:rsidR="00A52915">
        <w:rPr>
          <w:rFonts w:ascii="Book Antiqua" w:hAnsi="Book Antiqua" w:cstheme="minorHAnsi"/>
        </w:rPr>
        <w:t>(</w:t>
      </w:r>
      <w:r w:rsidR="008B1C3F" w:rsidRPr="00EF6188">
        <w:rPr>
          <w:rFonts w:ascii="Book Antiqua" w:hAnsi="Book Antiqua" w:cstheme="minorHAnsi"/>
        </w:rPr>
        <w:t>Pakistan</w:t>
      </w:r>
      <w:r w:rsidR="00A52915">
        <w:rPr>
          <w:rFonts w:ascii="Book Antiqua" w:hAnsi="Book Antiqua" w:cstheme="minorHAnsi"/>
        </w:rPr>
        <w:t>)</w:t>
      </w:r>
      <w:r w:rsidR="00B72835" w:rsidRPr="00EF6188">
        <w:rPr>
          <w:rFonts w:ascii="Book Antiqua" w:hAnsi="Book Antiqua" w:cstheme="minorHAnsi"/>
        </w:rPr>
        <w:t>,</w:t>
      </w:r>
      <w:r w:rsidR="008B1C3F" w:rsidRPr="00EF6188">
        <w:rPr>
          <w:rFonts w:ascii="Book Antiqua" w:hAnsi="Book Antiqua" w:cstheme="minorHAnsi"/>
        </w:rPr>
        <w:t xml:space="preserve"> may be</w:t>
      </w:r>
      <w:r w:rsidR="00D601F2">
        <w:rPr>
          <w:rFonts w:ascii="Book Antiqua" w:hAnsi="Book Antiqua" w:cstheme="minorHAnsi"/>
        </w:rPr>
        <w:t>,</w:t>
      </w:r>
      <w:r w:rsidR="008B1C3F" w:rsidRPr="00EF6188">
        <w:rPr>
          <w:rFonts w:ascii="Book Antiqua" w:hAnsi="Book Antiqua" w:cstheme="minorHAnsi"/>
        </w:rPr>
        <w:t xml:space="preserve"> even if the consequence is the same the wrong approach.  It is one thing to reach that conclusion but as </w:t>
      </w:r>
      <w:r w:rsidR="008B1C3F" w:rsidRPr="00A52915">
        <w:rPr>
          <w:rFonts w:ascii="Book Antiqua" w:hAnsi="Book Antiqua" w:cstheme="minorHAnsi"/>
          <w:b/>
        </w:rPr>
        <w:t>MA</w:t>
      </w:r>
      <w:r w:rsidR="008B1C3F" w:rsidRPr="00EF6188">
        <w:rPr>
          <w:rFonts w:ascii="Book Antiqua" w:hAnsi="Book Antiqua" w:cstheme="minorHAnsi"/>
        </w:rPr>
        <w:t xml:space="preserve"> identifie</w:t>
      </w:r>
      <w:r w:rsidR="00C434FE">
        <w:rPr>
          <w:rFonts w:ascii="Book Antiqua" w:hAnsi="Book Antiqua" w:cstheme="minorHAnsi"/>
        </w:rPr>
        <w:t xml:space="preserve">d if </w:t>
      </w:r>
      <w:r w:rsidR="008B1C3F" w:rsidRPr="00EF6188">
        <w:rPr>
          <w:rFonts w:ascii="Book Antiqua" w:hAnsi="Book Antiqua" w:cstheme="minorHAnsi"/>
        </w:rPr>
        <w:t>it is not reasonable for the children to leave</w:t>
      </w:r>
      <w:r w:rsidR="003E2CF8" w:rsidRPr="00EF6188">
        <w:rPr>
          <w:rFonts w:ascii="Book Antiqua" w:hAnsi="Book Antiqua" w:cstheme="minorHAnsi"/>
        </w:rPr>
        <w:t>,</w:t>
      </w:r>
      <w:r w:rsidR="008B1C3F" w:rsidRPr="00EF6188">
        <w:rPr>
          <w:rFonts w:ascii="Book Antiqua" w:hAnsi="Book Antiqua" w:cstheme="minorHAnsi"/>
        </w:rPr>
        <w:t xml:space="preserve"> then that is the end of the proportionality </w:t>
      </w:r>
      <w:r w:rsidR="009B5FFC" w:rsidRPr="00EF6188">
        <w:rPr>
          <w:rFonts w:ascii="Book Antiqua" w:hAnsi="Book Antiqua" w:cstheme="minorHAnsi"/>
        </w:rPr>
        <w:t>exercise because it cannot be in the public interest</w:t>
      </w:r>
      <w:r w:rsidR="00C434FE">
        <w:rPr>
          <w:rFonts w:ascii="Book Antiqua" w:hAnsi="Book Antiqua" w:cstheme="minorHAnsi"/>
        </w:rPr>
        <w:t>,</w:t>
      </w:r>
      <w:r w:rsidR="009B5FFC" w:rsidRPr="00EF6188">
        <w:rPr>
          <w:rFonts w:ascii="Book Antiqua" w:hAnsi="Book Antiqua" w:cstheme="minorHAnsi"/>
        </w:rPr>
        <w:t xml:space="preserve"> </w:t>
      </w:r>
      <w:r w:rsidR="0041419F" w:rsidRPr="00EF6188">
        <w:rPr>
          <w:rFonts w:ascii="Book Antiqua" w:hAnsi="Book Antiqua" w:cstheme="minorHAnsi"/>
        </w:rPr>
        <w:t xml:space="preserve">as identified by </w:t>
      </w:r>
      <w:r w:rsidR="00D601F2">
        <w:rPr>
          <w:rFonts w:ascii="Book Antiqua" w:hAnsi="Book Antiqua" w:cstheme="minorHAnsi"/>
        </w:rPr>
        <w:t>P</w:t>
      </w:r>
      <w:r w:rsidR="0041419F" w:rsidRPr="00EF6188">
        <w:rPr>
          <w:rFonts w:ascii="Book Antiqua" w:hAnsi="Book Antiqua" w:cstheme="minorHAnsi"/>
        </w:rPr>
        <w:t>arliament in Section 117</w:t>
      </w:r>
      <w:proofErr w:type="gramStart"/>
      <w:r w:rsidR="0041419F" w:rsidRPr="00EF6188">
        <w:rPr>
          <w:rFonts w:ascii="Book Antiqua" w:hAnsi="Book Antiqua" w:cstheme="minorHAnsi"/>
        </w:rPr>
        <w:t>B(</w:t>
      </w:r>
      <w:proofErr w:type="gramEnd"/>
      <w:r w:rsidR="0041419F" w:rsidRPr="00EF6188">
        <w:rPr>
          <w:rFonts w:ascii="Book Antiqua" w:hAnsi="Book Antiqua" w:cstheme="minorHAnsi"/>
        </w:rPr>
        <w:t>6)</w:t>
      </w:r>
      <w:r w:rsidR="00C434FE">
        <w:rPr>
          <w:rFonts w:ascii="Book Antiqua" w:hAnsi="Book Antiqua" w:cstheme="minorHAnsi"/>
        </w:rPr>
        <w:t>,</w:t>
      </w:r>
      <w:r w:rsidR="0041419F" w:rsidRPr="00EF6188">
        <w:rPr>
          <w:rFonts w:ascii="Book Antiqua" w:hAnsi="Book Antiqua" w:cstheme="minorHAnsi"/>
        </w:rPr>
        <w:t xml:space="preserve"> for someone to have to</w:t>
      </w:r>
      <w:r w:rsidR="00354C6C" w:rsidRPr="00EF6188">
        <w:rPr>
          <w:rFonts w:ascii="Book Antiqua" w:hAnsi="Book Antiqua" w:cstheme="minorHAnsi"/>
        </w:rPr>
        <w:t xml:space="preserve"> </w:t>
      </w:r>
      <w:r w:rsidR="0041419F" w:rsidRPr="00EF6188">
        <w:rPr>
          <w:rFonts w:ascii="Book Antiqua" w:hAnsi="Book Antiqua" w:cstheme="minorHAnsi"/>
        </w:rPr>
        <w:t>remove if it would interfere</w:t>
      </w:r>
      <w:r w:rsidR="00020680" w:rsidRPr="00EF6188">
        <w:rPr>
          <w:rFonts w:ascii="Book Antiqua" w:hAnsi="Book Antiqua" w:cstheme="minorHAnsi"/>
        </w:rPr>
        <w:t xml:space="preserve"> i</w:t>
      </w:r>
      <w:r w:rsidR="0041419F" w:rsidRPr="00EF6188">
        <w:rPr>
          <w:rFonts w:ascii="Book Antiqua" w:hAnsi="Book Antiqua" w:cstheme="minorHAnsi"/>
        </w:rPr>
        <w:t xml:space="preserve">n the </w:t>
      </w:r>
      <w:r w:rsidR="00C434FE">
        <w:rPr>
          <w:rFonts w:ascii="Book Antiqua" w:hAnsi="Book Antiqua" w:cstheme="minorHAnsi"/>
        </w:rPr>
        <w:t xml:space="preserve">parental relationship of a qualifying child it </w:t>
      </w:r>
      <w:r w:rsidR="0041419F" w:rsidRPr="00EF6188">
        <w:rPr>
          <w:rFonts w:ascii="Book Antiqua" w:hAnsi="Book Antiqua" w:cstheme="minorHAnsi"/>
        </w:rPr>
        <w:t xml:space="preserve">would confound the idea of maintaining a genuine and subsisting relationship </w:t>
      </w:r>
      <w:r w:rsidR="00C434FE">
        <w:rPr>
          <w:rFonts w:ascii="Book Antiqua" w:hAnsi="Book Antiqua" w:cstheme="minorHAnsi"/>
        </w:rPr>
        <w:t>when</w:t>
      </w:r>
      <w:r w:rsidR="0041419F" w:rsidRPr="00EF6188">
        <w:rPr>
          <w:rFonts w:ascii="Book Antiqua" w:hAnsi="Book Antiqua" w:cstheme="minorHAnsi"/>
        </w:rPr>
        <w:t xml:space="preserve"> it is not reasonable for the child to leave.</w:t>
      </w:r>
    </w:p>
    <w:p w:rsidR="0041419F" w:rsidRPr="00EF6188" w:rsidRDefault="0041419F" w:rsidP="00724790">
      <w:pPr>
        <w:tabs>
          <w:tab w:val="left" w:pos="567"/>
        </w:tabs>
        <w:spacing w:line="360" w:lineRule="auto"/>
        <w:ind w:left="567" w:hanging="567"/>
        <w:jc w:val="both"/>
        <w:rPr>
          <w:rFonts w:ascii="Book Antiqua" w:hAnsi="Book Antiqua" w:cstheme="minorHAnsi"/>
        </w:rPr>
      </w:pPr>
    </w:p>
    <w:p w:rsidR="0041419F"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lastRenderedPageBreak/>
        <w:t>10.</w:t>
      </w:r>
      <w:r w:rsidR="0041419F" w:rsidRPr="00EF6188">
        <w:rPr>
          <w:rFonts w:ascii="Book Antiqua" w:hAnsi="Book Antiqua" w:cstheme="minorHAnsi"/>
        </w:rPr>
        <w:tab/>
        <w:t>It therefore seemed to me that in relation to the two</w:t>
      </w:r>
      <w:r w:rsidR="00F20D2B" w:rsidRPr="00EF6188">
        <w:rPr>
          <w:rFonts w:ascii="Book Antiqua" w:hAnsi="Book Antiqua" w:cstheme="minorHAnsi"/>
        </w:rPr>
        <w:t xml:space="preserve"> step</w:t>
      </w:r>
      <w:r w:rsidR="0041419F" w:rsidRPr="00EF6188">
        <w:rPr>
          <w:rFonts w:ascii="Book Antiqua" w:hAnsi="Book Antiqua" w:cstheme="minorHAnsi"/>
        </w:rPr>
        <w:t xml:space="preserve">children the Judge has not done the exercise in the intended form contemplated in </w:t>
      </w:r>
      <w:r w:rsidR="0041419F" w:rsidRPr="00A52915">
        <w:rPr>
          <w:rFonts w:ascii="Book Antiqua" w:hAnsi="Book Antiqua" w:cstheme="minorHAnsi"/>
          <w:b/>
        </w:rPr>
        <w:t>MA</w:t>
      </w:r>
      <w:r w:rsidR="0041419F" w:rsidRPr="00EF6188">
        <w:rPr>
          <w:rFonts w:ascii="Book Antiqua" w:hAnsi="Book Antiqua" w:cstheme="minorHAnsi"/>
        </w:rPr>
        <w:t xml:space="preserve"> </w:t>
      </w:r>
      <w:r w:rsidR="00A52915">
        <w:rPr>
          <w:rFonts w:ascii="Book Antiqua" w:hAnsi="Book Antiqua" w:cstheme="minorHAnsi"/>
        </w:rPr>
        <w:t>(</w:t>
      </w:r>
      <w:r w:rsidR="0041419F" w:rsidRPr="00EF6188">
        <w:rPr>
          <w:rFonts w:ascii="Book Antiqua" w:hAnsi="Book Antiqua" w:cstheme="minorHAnsi"/>
        </w:rPr>
        <w:t>Pakistan</w:t>
      </w:r>
      <w:r w:rsidR="00A52915">
        <w:rPr>
          <w:rFonts w:ascii="Book Antiqua" w:hAnsi="Book Antiqua" w:cstheme="minorHAnsi"/>
        </w:rPr>
        <w:t>)</w:t>
      </w:r>
      <w:r w:rsidR="0041419F" w:rsidRPr="00EF6188">
        <w:rPr>
          <w:rFonts w:ascii="Book Antiqua" w:hAnsi="Book Antiqua" w:cstheme="minorHAnsi"/>
        </w:rPr>
        <w:t xml:space="preserve"> and to that extent there </w:t>
      </w:r>
      <w:r w:rsidR="00D601F2">
        <w:rPr>
          <w:rFonts w:ascii="Book Antiqua" w:hAnsi="Book Antiqua" w:cstheme="minorHAnsi"/>
        </w:rPr>
        <w:t>wa</w:t>
      </w:r>
      <w:r w:rsidR="0041419F" w:rsidRPr="00EF6188">
        <w:rPr>
          <w:rFonts w:ascii="Book Antiqua" w:hAnsi="Book Antiqua" w:cstheme="minorHAnsi"/>
        </w:rPr>
        <w:t xml:space="preserve">s plainly an error of law.  </w:t>
      </w:r>
    </w:p>
    <w:p w:rsidR="0041419F" w:rsidRPr="00EF6188" w:rsidRDefault="00D30A21"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41419F"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11.</w:t>
      </w:r>
      <w:r w:rsidR="0041419F" w:rsidRPr="00EF6188">
        <w:rPr>
          <w:rFonts w:ascii="Book Antiqua" w:hAnsi="Book Antiqua" w:cstheme="minorHAnsi"/>
        </w:rPr>
        <w:tab/>
      </w:r>
      <w:proofErr w:type="gramStart"/>
      <w:r w:rsidR="0041419F" w:rsidRPr="00EF6188">
        <w:rPr>
          <w:rFonts w:ascii="Book Antiqua" w:hAnsi="Book Antiqua" w:cstheme="minorHAnsi"/>
        </w:rPr>
        <w:t>Nevertheless</w:t>
      </w:r>
      <w:proofErr w:type="gramEnd"/>
      <w:r w:rsidR="0041419F" w:rsidRPr="00EF6188">
        <w:rPr>
          <w:rFonts w:ascii="Book Antiqua" w:hAnsi="Book Antiqua" w:cstheme="minorHAnsi"/>
        </w:rPr>
        <w:t xml:space="preserve"> the question remains whether or not given the findings and the consideration of the issues the Judge did reach on the conduct of the Appellant in the overall decision on proportionality under Article 8, </w:t>
      </w:r>
      <w:r w:rsidR="006201C0" w:rsidRPr="00EF6188">
        <w:rPr>
          <w:rFonts w:ascii="Book Antiqua" w:hAnsi="Book Antiqua" w:cstheme="minorHAnsi"/>
        </w:rPr>
        <w:t xml:space="preserve">ECHR, the </w:t>
      </w:r>
      <w:r w:rsidR="0041419F" w:rsidRPr="00EF6188">
        <w:rPr>
          <w:rFonts w:ascii="Book Antiqua" w:hAnsi="Book Antiqua" w:cstheme="minorHAnsi"/>
        </w:rPr>
        <w:t xml:space="preserve">decision would really be any different if it was otherwise properly considered by the intended route that </w:t>
      </w:r>
      <w:r w:rsidR="0041419F" w:rsidRPr="00A52915">
        <w:rPr>
          <w:rFonts w:ascii="Book Antiqua" w:hAnsi="Book Antiqua" w:cstheme="minorHAnsi"/>
          <w:b/>
        </w:rPr>
        <w:t>MA</w:t>
      </w:r>
      <w:r w:rsidR="0041419F" w:rsidRPr="00EF6188">
        <w:rPr>
          <w:rFonts w:ascii="Book Antiqua" w:hAnsi="Book Antiqua" w:cstheme="minorHAnsi"/>
        </w:rPr>
        <w:t xml:space="preserve"> </w:t>
      </w:r>
      <w:r w:rsidR="00A52915">
        <w:rPr>
          <w:rFonts w:ascii="Book Antiqua" w:hAnsi="Book Antiqua" w:cstheme="minorHAnsi"/>
        </w:rPr>
        <w:t>(</w:t>
      </w:r>
      <w:r w:rsidR="0041419F" w:rsidRPr="00EF6188">
        <w:rPr>
          <w:rFonts w:ascii="Book Antiqua" w:hAnsi="Book Antiqua" w:cstheme="minorHAnsi"/>
        </w:rPr>
        <w:t>Pakistan</w:t>
      </w:r>
      <w:r w:rsidR="00A52915">
        <w:rPr>
          <w:rFonts w:ascii="Book Antiqua" w:hAnsi="Book Antiqua" w:cstheme="minorHAnsi"/>
        </w:rPr>
        <w:t>)</w:t>
      </w:r>
      <w:r w:rsidR="0041419F" w:rsidRPr="00EF6188">
        <w:rPr>
          <w:rFonts w:ascii="Book Antiqua" w:hAnsi="Book Antiqua" w:cstheme="minorHAnsi"/>
        </w:rPr>
        <w:t xml:space="preserve"> identifies.</w:t>
      </w:r>
      <w:r w:rsidR="007D66F3" w:rsidRPr="00EF6188">
        <w:rPr>
          <w:rFonts w:ascii="Book Antiqua" w:hAnsi="Book Antiqua" w:cstheme="minorHAnsi"/>
        </w:rPr>
        <w:t xml:space="preserve">  </w:t>
      </w:r>
    </w:p>
    <w:p w:rsidR="0041419F" w:rsidRPr="00EF6188" w:rsidRDefault="007D66F3"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 xml:space="preserve">  </w:t>
      </w:r>
    </w:p>
    <w:p w:rsidR="00A35829" w:rsidRPr="00EF6188"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12.</w:t>
      </w:r>
      <w:r w:rsidR="0041419F" w:rsidRPr="00EF6188">
        <w:rPr>
          <w:rFonts w:ascii="Book Antiqua" w:hAnsi="Book Antiqua" w:cstheme="minorHAnsi"/>
        </w:rPr>
        <w:tab/>
        <w:t>It is with some diffidence</w:t>
      </w:r>
      <w:r w:rsidR="007D66F3" w:rsidRPr="00EF6188">
        <w:rPr>
          <w:rFonts w:ascii="Book Antiqua" w:hAnsi="Book Antiqua" w:cstheme="minorHAnsi"/>
        </w:rPr>
        <w:t xml:space="preserve"> </w:t>
      </w:r>
      <w:r w:rsidR="0041419F" w:rsidRPr="00EF6188">
        <w:rPr>
          <w:rFonts w:ascii="Book Antiqua" w:hAnsi="Book Antiqua" w:cstheme="minorHAnsi"/>
        </w:rPr>
        <w:t>that it seems to me</w:t>
      </w:r>
      <w:r w:rsidR="00F658F8" w:rsidRPr="00EF6188">
        <w:rPr>
          <w:rFonts w:ascii="Book Antiqua" w:hAnsi="Book Antiqua" w:cstheme="minorHAnsi"/>
        </w:rPr>
        <w:t>,</w:t>
      </w:r>
      <w:r w:rsidR="0041419F" w:rsidRPr="00EF6188">
        <w:rPr>
          <w:rFonts w:ascii="Book Antiqua" w:hAnsi="Book Antiqua" w:cstheme="minorHAnsi"/>
        </w:rPr>
        <w:t xml:space="preserve"> without substituting my view of the matter</w:t>
      </w:r>
      <w:r w:rsidR="00F658F8" w:rsidRPr="00EF6188">
        <w:rPr>
          <w:rFonts w:ascii="Book Antiqua" w:hAnsi="Book Antiqua" w:cstheme="minorHAnsi"/>
        </w:rPr>
        <w:t>,</w:t>
      </w:r>
      <w:r w:rsidR="0041419F" w:rsidRPr="00EF6188">
        <w:rPr>
          <w:rFonts w:ascii="Book Antiqua" w:hAnsi="Book Antiqua" w:cstheme="minorHAnsi"/>
        </w:rPr>
        <w:t xml:space="preserve"> that the issue of reasonableness of requiring a qualifying child to leave and its impact on the life of the qualifying child in terms of separation from the father are two</w:t>
      </w:r>
      <w:r w:rsidR="00E67157" w:rsidRPr="00EF6188">
        <w:rPr>
          <w:rFonts w:ascii="Book Antiqua" w:hAnsi="Book Antiqua" w:cstheme="minorHAnsi"/>
        </w:rPr>
        <w:t xml:space="preserve"> issues.  One </w:t>
      </w:r>
      <w:r w:rsidR="0041419F" w:rsidRPr="00EF6188">
        <w:rPr>
          <w:rFonts w:ascii="Book Antiqua" w:hAnsi="Book Antiqua" w:cstheme="minorHAnsi"/>
        </w:rPr>
        <w:t xml:space="preserve">of which is directly dealt with by Section 117B(6) and the other necessarily becomes engaged with the Article 8 proportionality exercise, particularly in terms of the separation of the </w:t>
      </w:r>
      <w:r w:rsidR="00A35829" w:rsidRPr="00EF6188">
        <w:rPr>
          <w:rFonts w:ascii="Book Antiqua" w:hAnsi="Book Antiqua" w:cstheme="minorHAnsi"/>
        </w:rPr>
        <w:t>parents from the children with whom there is a subsisting relationship</w:t>
      </w:r>
      <w:r w:rsidR="00E67157" w:rsidRPr="00EF6188">
        <w:rPr>
          <w:rFonts w:ascii="Book Antiqua" w:hAnsi="Book Antiqua" w:cstheme="minorHAnsi"/>
        </w:rPr>
        <w:t>,</w:t>
      </w:r>
      <w:r w:rsidR="00A35829" w:rsidRPr="00EF6188">
        <w:rPr>
          <w:rFonts w:ascii="Book Antiqua" w:hAnsi="Book Antiqua" w:cstheme="minorHAnsi"/>
        </w:rPr>
        <w:t xml:space="preserve"> which is not of course a provision contained within Section 117B.</w:t>
      </w:r>
    </w:p>
    <w:p w:rsidR="00A35829" w:rsidRPr="00EF6188" w:rsidRDefault="00A35829" w:rsidP="00724790">
      <w:pPr>
        <w:tabs>
          <w:tab w:val="left" w:pos="567"/>
        </w:tabs>
        <w:spacing w:line="360" w:lineRule="auto"/>
        <w:ind w:left="567" w:hanging="567"/>
        <w:jc w:val="both"/>
        <w:rPr>
          <w:rFonts w:ascii="Book Antiqua" w:hAnsi="Book Antiqua" w:cstheme="minorHAnsi"/>
        </w:rPr>
      </w:pPr>
    </w:p>
    <w:p w:rsidR="00C434FE" w:rsidRDefault="001D5D15" w:rsidP="00724790">
      <w:pPr>
        <w:tabs>
          <w:tab w:val="left" w:pos="567"/>
        </w:tabs>
        <w:spacing w:line="360" w:lineRule="auto"/>
        <w:ind w:left="567" w:hanging="567"/>
        <w:jc w:val="both"/>
        <w:rPr>
          <w:rFonts w:ascii="Book Antiqua" w:hAnsi="Book Antiqua" w:cstheme="minorHAnsi"/>
        </w:rPr>
      </w:pPr>
      <w:r w:rsidRPr="00EF6188">
        <w:rPr>
          <w:rFonts w:ascii="Book Antiqua" w:hAnsi="Book Antiqua" w:cstheme="minorHAnsi"/>
        </w:rPr>
        <w:t>13.</w:t>
      </w:r>
      <w:r w:rsidR="00A35829" w:rsidRPr="00EF6188">
        <w:rPr>
          <w:rFonts w:ascii="Book Antiqua" w:hAnsi="Book Antiqua" w:cstheme="minorHAnsi"/>
        </w:rPr>
        <w:tab/>
        <w:t xml:space="preserve">Therefore I am not </w:t>
      </w:r>
      <w:r w:rsidR="00FA4568" w:rsidRPr="00EF6188">
        <w:rPr>
          <w:rFonts w:ascii="Book Antiqua" w:hAnsi="Book Antiqua" w:cstheme="minorHAnsi"/>
        </w:rPr>
        <w:t>sure that any other Tribunal seized of the same facts would necessarily reach the same conclusion</w:t>
      </w:r>
      <w:r w:rsidR="00C434FE">
        <w:rPr>
          <w:rFonts w:ascii="Book Antiqua" w:hAnsi="Book Antiqua" w:cstheme="minorHAnsi"/>
        </w:rPr>
        <w:t xml:space="preserve"> as the Judge did</w:t>
      </w:r>
      <w:r w:rsidR="00FA4568" w:rsidRPr="00EF6188">
        <w:rPr>
          <w:rFonts w:ascii="Book Antiqua" w:hAnsi="Book Antiqua" w:cstheme="minorHAnsi"/>
        </w:rPr>
        <w:t>.  I do not wish to hold out any hope that at the end of the day when this matter is looked at again there will be a different decision</w:t>
      </w:r>
      <w:r w:rsidR="00C434FE">
        <w:rPr>
          <w:rFonts w:ascii="Book Antiqua" w:hAnsi="Book Antiqua" w:cstheme="minorHAnsi"/>
        </w:rPr>
        <w:t xml:space="preserve">.  It did </w:t>
      </w:r>
      <w:r w:rsidR="00FA4568" w:rsidRPr="00EF6188">
        <w:rPr>
          <w:rFonts w:ascii="Book Antiqua" w:hAnsi="Book Antiqua" w:cstheme="minorHAnsi"/>
        </w:rPr>
        <w:t>s</w:t>
      </w:r>
      <w:r w:rsidR="00C434FE">
        <w:rPr>
          <w:rFonts w:ascii="Book Antiqua" w:hAnsi="Book Antiqua" w:cstheme="minorHAnsi"/>
        </w:rPr>
        <w:t>eem to me it necessarily followed</w:t>
      </w:r>
      <w:r w:rsidR="00FA4568" w:rsidRPr="00EF6188">
        <w:rPr>
          <w:rFonts w:ascii="Book Antiqua" w:hAnsi="Book Antiqua" w:cstheme="minorHAnsi"/>
        </w:rPr>
        <w:t xml:space="preserve"> there will be</w:t>
      </w:r>
      <w:r w:rsidR="00783D8C" w:rsidRPr="00EF6188">
        <w:rPr>
          <w:rFonts w:ascii="Book Antiqua" w:hAnsi="Book Antiqua" w:cstheme="minorHAnsi"/>
        </w:rPr>
        <w:t>,</w:t>
      </w:r>
      <w:r w:rsidR="00FA4568" w:rsidRPr="00EF6188">
        <w:rPr>
          <w:rFonts w:ascii="Book Antiqua" w:hAnsi="Book Antiqua" w:cstheme="minorHAnsi"/>
        </w:rPr>
        <w:t xml:space="preserve"> but in the circumstances I conclude that t</w:t>
      </w:r>
      <w:r w:rsidR="00C434FE">
        <w:rPr>
          <w:rFonts w:ascii="Book Antiqua" w:hAnsi="Book Antiqua" w:cstheme="minorHAnsi"/>
        </w:rPr>
        <w:t>he error of law the Judge made wa</w:t>
      </w:r>
      <w:r w:rsidR="00FA4568" w:rsidRPr="00EF6188">
        <w:rPr>
          <w:rFonts w:ascii="Book Antiqua" w:hAnsi="Book Antiqua" w:cstheme="minorHAnsi"/>
        </w:rPr>
        <w:t xml:space="preserve">s of sufficient materiality that I cannot say with sufficient </w:t>
      </w:r>
      <w:r w:rsidR="00C434FE">
        <w:rPr>
          <w:rFonts w:ascii="Book Antiqua" w:hAnsi="Book Antiqua" w:cstheme="minorHAnsi"/>
        </w:rPr>
        <w:t>certainty</w:t>
      </w:r>
      <w:r w:rsidR="00FA4568" w:rsidRPr="00EF6188">
        <w:rPr>
          <w:rFonts w:ascii="Book Antiqua" w:hAnsi="Book Antiqua" w:cstheme="minorHAnsi"/>
        </w:rPr>
        <w:t xml:space="preserve"> the likelihood is the decision would have been the same come what may</w:t>
      </w:r>
      <w:r w:rsidR="00C434FE">
        <w:rPr>
          <w:rFonts w:ascii="Book Antiqua" w:hAnsi="Book Antiqua" w:cstheme="minorHAnsi"/>
        </w:rPr>
        <w:t xml:space="preserve">.  </w:t>
      </w:r>
    </w:p>
    <w:p w:rsidR="00C434FE" w:rsidRDefault="00C434FE" w:rsidP="00724790">
      <w:pPr>
        <w:tabs>
          <w:tab w:val="left" w:pos="567"/>
        </w:tabs>
        <w:spacing w:line="360" w:lineRule="auto"/>
        <w:ind w:left="567" w:hanging="567"/>
        <w:jc w:val="both"/>
        <w:rPr>
          <w:rFonts w:ascii="Book Antiqua" w:hAnsi="Book Antiqua" w:cstheme="minorHAnsi"/>
        </w:rPr>
      </w:pPr>
    </w:p>
    <w:p w:rsidR="00C434FE" w:rsidRPr="00060DE2" w:rsidRDefault="00C434FE" w:rsidP="00724790">
      <w:pPr>
        <w:tabs>
          <w:tab w:val="left" w:pos="567"/>
        </w:tabs>
        <w:spacing w:line="360" w:lineRule="auto"/>
        <w:ind w:left="567" w:hanging="567"/>
        <w:jc w:val="both"/>
        <w:rPr>
          <w:rFonts w:ascii="Book Antiqua" w:hAnsi="Book Antiqua" w:cstheme="minorHAnsi"/>
          <w:b/>
          <w:u w:val="single"/>
        </w:rPr>
      </w:pPr>
      <w:r w:rsidRPr="00060DE2">
        <w:rPr>
          <w:rFonts w:ascii="Book Antiqua" w:hAnsi="Book Antiqua" w:cstheme="minorHAnsi"/>
          <w:b/>
          <w:u w:val="single"/>
        </w:rPr>
        <w:t xml:space="preserve">NOTICE OF DECISION </w:t>
      </w:r>
    </w:p>
    <w:p w:rsidR="00FA4568" w:rsidRPr="00EF6188" w:rsidRDefault="00C434FE" w:rsidP="00724790">
      <w:pPr>
        <w:tabs>
          <w:tab w:val="left" w:pos="567"/>
        </w:tabs>
        <w:spacing w:line="360" w:lineRule="auto"/>
        <w:ind w:left="567" w:hanging="567"/>
        <w:jc w:val="both"/>
        <w:rPr>
          <w:rFonts w:ascii="Book Antiqua" w:hAnsi="Book Antiqua" w:cstheme="minorHAnsi"/>
        </w:rPr>
      </w:pPr>
      <w:r>
        <w:rPr>
          <w:rFonts w:ascii="Book Antiqua" w:hAnsi="Book Antiqua" w:cstheme="minorHAnsi"/>
        </w:rPr>
        <w:t>14.</w:t>
      </w:r>
      <w:r>
        <w:rPr>
          <w:rFonts w:ascii="Book Antiqua" w:hAnsi="Book Antiqua" w:cstheme="minorHAnsi"/>
        </w:rPr>
        <w:tab/>
        <w:t xml:space="preserve">For that </w:t>
      </w:r>
      <w:proofErr w:type="gramStart"/>
      <w:r w:rsidR="00FA4568" w:rsidRPr="00EF6188">
        <w:rPr>
          <w:rFonts w:ascii="Book Antiqua" w:hAnsi="Book Antiqua" w:cstheme="minorHAnsi"/>
        </w:rPr>
        <w:t>reason</w:t>
      </w:r>
      <w:proofErr w:type="gramEnd"/>
      <w:r w:rsidR="00FA4568" w:rsidRPr="00EF6188">
        <w:rPr>
          <w:rFonts w:ascii="Book Antiqua" w:hAnsi="Book Antiqua" w:cstheme="minorHAnsi"/>
        </w:rPr>
        <w:t xml:space="preserve"> I therefore</w:t>
      </w:r>
      <w:r>
        <w:rPr>
          <w:rFonts w:ascii="Book Antiqua" w:hAnsi="Book Antiqua" w:cstheme="minorHAnsi"/>
        </w:rPr>
        <w:t xml:space="preserve"> find the Original Tribunal’s decision cannot stand.</w:t>
      </w:r>
    </w:p>
    <w:p w:rsidR="009F5220" w:rsidRPr="00EF6188" w:rsidRDefault="009F5220" w:rsidP="00855C07">
      <w:pPr>
        <w:spacing w:line="360" w:lineRule="auto"/>
        <w:ind w:left="540" w:hanging="540"/>
        <w:jc w:val="both"/>
        <w:rPr>
          <w:rFonts w:ascii="Book Antiqua" w:hAnsi="Book Antiqua" w:cs="Arial"/>
        </w:rPr>
      </w:pPr>
    </w:p>
    <w:p w:rsidR="00BC4F94" w:rsidRPr="00EF6188" w:rsidRDefault="00780F86" w:rsidP="00BC4F94">
      <w:pPr>
        <w:ind w:left="540" w:hanging="540"/>
        <w:jc w:val="both"/>
        <w:rPr>
          <w:rFonts w:ascii="Book Antiqua" w:hAnsi="Book Antiqua" w:cs="Arial"/>
        </w:rPr>
      </w:pPr>
      <w:r w:rsidRPr="00EF6188">
        <w:rPr>
          <w:rFonts w:ascii="Book Antiqua" w:hAnsi="Book Antiqua" w:cs="Arial"/>
        </w:rPr>
        <w:t>Signed</w:t>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Pr="00EF6188">
        <w:rPr>
          <w:rFonts w:ascii="Book Antiqua" w:hAnsi="Book Antiqua" w:cs="Arial"/>
        </w:rPr>
        <w:tab/>
      </w:r>
      <w:r w:rsidR="00BC4F94" w:rsidRPr="00EF6188">
        <w:rPr>
          <w:rFonts w:ascii="Book Antiqua" w:hAnsi="Book Antiqua" w:cs="Arial"/>
        </w:rPr>
        <w:t>Date</w:t>
      </w:r>
      <w:r w:rsidR="00D601F2">
        <w:rPr>
          <w:rFonts w:ascii="Book Antiqua" w:hAnsi="Book Antiqua" w:cs="Arial"/>
        </w:rPr>
        <w:t xml:space="preserve"> 20 August 2018</w:t>
      </w:r>
    </w:p>
    <w:p w:rsidR="006D6955" w:rsidRPr="00EF6188" w:rsidRDefault="006D6955" w:rsidP="00780F86">
      <w:pPr>
        <w:ind w:left="540" w:hanging="540"/>
        <w:jc w:val="both"/>
        <w:rPr>
          <w:rFonts w:ascii="Book Antiqua" w:hAnsi="Book Antiqua" w:cs="Arial"/>
        </w:rPr>
      </w:pPr>
    </w:p>
    <w:p w:rsidR="001F2716" w:rsidRPr="00EF6188" w:rsidRDefault="006D6955" w:rsidP="00402B9E">
      <w:pPr>
        <w:tabs>
          <w:tab w:val="left" w:pos="2520"/>
        </w:tabs>
        <w:ind w:left="540" w:hanging="540"/>
        <w:jc w:val="both"/>
        <w:rPr>
          <w:rFonts w:ascii="Book Antiqua" w:hAnsi="Book Antiqua" w:cs="Arial"/>
          <w:color w:val="000000"/>
        </w:rPr>
      </w:pPr>
      <w:r w:rsidRPr="00EF6188">
        <w:rPr>
          <w:rFonts w:ascii="Book Antiqua" w:hAnsi="Book Antiqua" w:cs="Arial"/>
          <w:color w:val="000000"/>
        </w:rPr>
        <w:t xml:space="preserve">Deputy </w:t>
      </w:r>
      <w:r w:rsidR="00460347" w:rsidRPr="00EF6188">
        <w:rPr>
          <w:rFonts w:ascii="Book Antiqua" w:hAnsi="Book Antiqua" w:cs="Arial"/>
          <w:color w:val="000000"/>
        </w:rPr>
        <w:t>Upper Tribunal Judge Davey</w:t>
      </w:r>
    </w:p>
    <w:p w:rsidR="000B0A3F" w:rsidRPr="00EF6188" w:rsidRDefault="000B0A3F" w:rsidP="00402B9E">
      <w:pPr>
        <w:tabs>
          <w:tab w:val="left" w:pos="2520"/>
        </w:tabs>
        <w:ind w:left="540" w:hanging="540"/>
        <w:jc w:val="both"/>
        <w:rPr>
          <w:rFonts w:ascii="Book Antiqua" w:hAnsi="Book Antiqua" w:cs="Arial"/>
          <w:color w:val="000000"/>
        </w:rPr>
      </w:pPr>
    </w:p>
    <w:p w:rsidR="000B0A3F" w:rsidRPr="00EF6188" w:rsidRDefault="000B0A3F" w:rsidP="00402B9E">
      <w:pPr>
        <w:tabs>
          <w:tab w:val="left" w:pos="2520"/>
        </w:tabs>
        <w:ind w:left="540" w:hanging="540"/>
        <w:jc w:val="both"/>
        <w:rPr>
          <w:rFonts w:ascii="Book Antiqua" w:hAnsi="Book Antiqua" w:cs="Arial"/>
          <w:color w:val="000000"/>
        </w:rPr>
      </w:pPr>
    </w:p>
    <w:p w:rsidR="00FE1A58" w:rsidRDefault="00FE1A58" w:rsidP="00402B9E">
      <w:pPr>
        <w:tabs>
          <w:tab w:val="left" w:pos="2520"/>
        </w:tabs>
        <w:ind w:left="540" w:hanging="540"/>
        <w:jc w:val="both"/>
        <w:rPr>
          <w:rFonts w:ascii="Book Antiqua" w:hAnsi="Book Antiqua" w:cs="Arial"/>
        </w:rPr>
      </w:pPr>
      <w:r>
        <w:rPr>
          <w:rFonts w:ascii="Book Antiqua" w:hAnsi="Book Antiqua" w:cs="Arial"/>
        </w:rPr>
        <w:t xml:space="preserve">        P.S. I have since approving this decision  I have received a request from </w:t>
      </w:r>
      <w:proofErr w:type="spellStart"/>
      <w:r>
        <w:rPr>
          <w:rFonts w:ascii="Book Antiqua" w:hAnsi="Book Antiqua" w:cs="Arial"/>
        </w:rPr>
        <w:t>Kalam</w:t>
      </w:r>
      <w:proofErr w:type="spellEnd"/>
      <w:r>
        <w:rPr>
          <w:rFonts w:ascii="Book Antiqua" w:hAnsi="Book Antiqua" w:cs="Arial"/>
        </w:rPr>
        <w:t xml:space="preserve"> Solicitors for consent to withdraw the  appeal on the basis that leave to remain was granted. I agree but for the avoidance of doubt  the basis for my decision stands. </w:t>
      </w:r>
    </w:p>
    <w:p w:rsidR="00FE1A58" w:rsidRDefault="00FE1A58" w:rsidP="00402B9E">
      <w:pPr>
        <w:tabs>
          <w:tab w:val="left" w:pos="2520"/>
        </w:tabs>
        <w:ind w:left="540" w:hanging="540"/>
        <w:jc w:val="both"/>
        <w:rPr>
          <w:rFonts w:ascii="Book Antiqua" w:hAnsi="Book Antiqua" w:cs="Arial"/>
        </w:rPr>
      </w:pPr>
    </w:p>
    <w:p w:rsidR="00A42C6F" w:rsidRDefault="00A42C6F" w:rsidP="00402B9E">
      <w:pPr>
        <w:tabs>
          <w:tab w:val="left" w:pos="2520"/>
        </w:tabs>
        <w:ind w:left="540" w:hanging="540"/>
        <w:jc w:val="both"/>
        <w:rPr>
          <w:rFonts w:ascii="Book Antiqua" w:hAnsi="Book Antiqua" w:cs="Arial"/>
        </w:rPr>
      </w:pPr>
      <w:r>
        <w:rPr>
          <w:rFonts w:ascii="Book Antiqua" w:hAnsi="Book Antiqua" w:cs="Arial"/>
        </w:rPr>
        <w:t>Signed DUTJ</w:t>
      </w:r>
      <w:r w:rsidR="00FE1A58">
        <w:rPr>
          <w:rFonts w:ascii="Book Antiqua" w:hAnsi="Book Antiqua" w:cs="Arial"/>
        </w:rPr>
        <w:t xml:space="preserve"> Davey                          </w:t>
      </w:r>
      <w:r w:rsidR="00136CF9">
        <w:rPr>
          <w:rFonts w:ascii="Book Antiqua" w:hAnsi="Book Antiqua" w:cs="Arial"/>
        </w:rPr>
        <w:t xml:space="preserve">date </w:t>
      </w:r>
      <w:r w:rsidR="00FE1A58">
        <w:rPr>
          <w:rFonts w:ascii="Book Antiqua" w:hAnsi="Book Antiqua" w:cs="Arial"/>
        </w:rPr>
        <w:t xml:space="preserve">6 September 2018  </w:t>
      </w: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A42C6F" w:rsidRPr="00A42C6F" w:rsidRDefault="00A42C6F" w:rsidP="00A42C6F">
      <w:pPr>
        <w:rPr>
          <w:rFonts w:ascii="Book Antiqua" w:hAnsi="Book Antiqua" w:cs="Arial"/>
        </w:rPr>
      </w:pPr>
    </w:p>
    <w:p w:rsidR="00B95326" w:rsidRPr="000704BB" w:rsidRDefault="00A42C6F" w:rsidP="00A42C6F">
      <w:pPr>
        <w:tabs>
          <w:tab w:val="left" w:pos="980"/>
        </w:tabs>
        <w:rPr>
          <w:rFonts w:ascii="Book Antiqua" w:hAnsi="Book Antiqua" w:cs="Arial"/>
        </w:rPr>
      </w:pPr>
      <w:r>
        <w:rPr>
          <w:rFonts w:ascii="Book Antiqua" w:hAnsi="Book Antiqua" w:cs="Arial"/>
        </w:rPr>
        <w:tab/>
      </w: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350" w:rsidRDefault="00A46350">
      <w:r>
        <w:separator/>
      </w:r>
    </w:p>
  </w:endnote>
  <w:endnote w:type="continuationSeparator" w:id="0">
    <w:p w:rsidR="00A46350" w:rsidRDefault="00A4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7A762C">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596FD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350" w:rsidRDefault="00A46350">
      <w:r>
        <w:separator/>
      </w:r>
    </w:p>
  </w:footnote>
  <w:footnote w:type="continuationSeparator" w:id="0">
    <w:p w:rsidR="00A46350" w:rsidRDefault="00A4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946654" w:rsidRPr="00946654">
      <w:rPr>
        <w:rFonts w:ascii="Book Antiqua" w:hAnsi="Book Antiqua" w:cs="Arial"/>
        <w:sz w:val="16"/>
        <w:szCs w:val="16"/>
      </w:rPr>
      <w:t>HU/16048/2016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654"/>
    <w:rsid w:val="00000621"/>
    <w:rsid w:val="000036C2"/>
    <w:rsid w:val="00020680"/>
    <w:rsid w:val="00033D3D"/>
    <w:rsid w:val="00041197"/>
    <w:rsid w:val="00055E35"/>
    <w:rsid w:val="00060DE2"/>
    <w:rsid w:val="00062F02"/>
    <w:rsid w:val="000704BB"/>
    <w:rsid w:val="00071A7E"/>
    <w:rsid w:val="000746C0"/>
    <w:rsid w:val="00074D1D"/>
    <w:rsid w:val="00092580"/>
    <w:rsid w:val="00093D4D"/>
    <w:rsid w:val="000B0A3F"/>
    <w:rsid w:val="000B2CE7"/>
    <w:rsid w:val="000D2573"/>
    <w:rsid w:val="000D5D94"/>
    <w:rsid w:val="000E53CF"/>
    <w:rsid w:val="000E5E45"/>
    <w:rsid w:val="000F1A0E"/>
    <w:rsid w:val="000F4D12"/>
    <w:rsid w:val="000F52D4"/>
    <w:rsid w:val="001165A7"/>
    <w:rsid w:val="00125938"/>
    <w:rsid w:val="00136CF9"/>
    <w:rsid w:val="00150C5F"/>
    <w:rsid w:val="00151389"/>
    <w:rsid w:val="00167D3A"/>
    <w:rsid w:val="00190911"/>
    <w:rsid w:val="001A3082"/>
    <w:rsid w:val="001B186A"/>
    <w:rsid w:val="001B2F75"/>
    <w:rsid w:val="001B659F"/>
    <w:rsid w:val="001B7CC9"/>
    <w:rsid w:val="001C2D96"/>
    <w:rsid w:val="001C5B44"/>
    <w:rsid w:val="001D5D15"/>
    <w:rsid w:val="001E5DDA"/>
    <w:rsid w:val="001F2716"/>
    <w:rsid w:val="00203FB0"/>
    <w:rsid w:val="00207617"/>
    <w:rsid w:val="00231304"/>
    <w:rsid w:val="0023134B"/>
    <w:rsid w:val="00282391"/>
    <w:rsid w:val="00283659"/>
    <w:rsid w:val="002A1607"/>
    <w:rsid w:val="002C6BD4"/>
    <w:rsid w:val="002D68BF"/>
    <w:rsid w:val="002F4275"/>
    <w:rsid w:val="002F6B98"/>
    <w:rsid w:val="00303BC1"/>
    <w:rsid w:val="00316815"/>
    <w:rsid w:val="00317A2A"/>
    <w:rsid w:val="00336CBF"/>
    <w:rsid w:val="00343FE3"/>
    <w:rsid w:val="003546C8"/>
    <w:rsid w:val="00354C6C"/>
    <w:rsid w:val="00365F5E"/>
    <w:rsid w:val="00373CBC"/>
    <w:rsid w:val="003A7CF2"/>
    <w:rsid w:val="003B2F82"/>
    <w:rsid w:val="003B327B"/>
    <w:rsid w:val="003C24DE"/>
    <w:rsid w:val="003C2CDB"/>
    <w:rsid w:val="003C5CE5"/>
    <w:rsid w:val="003E092F"/>
    <w:rsid w:val="003E267B"/>
    <w:rsid w:val="003E2CF8"/>
    <w:rsid w:val="003E7CD1"/>
    <w:rsid w:val="004014D2"/>
    <w:rsid w:val="00402B9E"/>
    <w:rsid w:val="0041419F"/>
    <w:rsid w:val="004243E8"/>
    <w:rsid w:val="004249CB"/>
    <w:rsid w:val="004319AE"/>
    <w:rsid w:val="0044127D"/>
    <w:rsid w:val="004448DB"/>
    <w:rsid w:val="00446C9A"/>
    <w:rsid w:val="00452F2B"/>
    <w:rsid w:val="00460347"/>
    <w:rsid w:val="00477193"/>
    <w:rsid w:val="00484C04"/>
    <w:rsid w:val="004876FC"/>
    <w:rsid w:val="00491F91"/>
    <w:rsid w:val="004A1848"/>
    <w:rsid w:val="004A6F4A"/>
    <w:rsid w:val="004E08A9"/>
    <w:rsid w:val="004E0F3D"/>
    <w:rsid w:val="004E4717"/>
    <w:rsid w:val="00500A97"/>
    <w:rsid w:val="00507FC5"/>
    <w:rsid w:val="00507FEC"/>
    <w:rsid w:val="00510F0E"/>
    <w:rsid w:val="005479E1"/>
    <w:rsid w:val="00547B60"/>
    <w:rsid w:val="00550648"/>
    <w:rsid w:val="00553E0A"/>
    <w:rsid w:val="005570FD"/>
    <w:rsid w:val="005575EA"/>
    <w:rsid w:val="0056234C"/>
    <w:rsid w:val="0056531A"/>
    <w:rsid w:val="0057790C"/>
    <w:rsid w:val="00593795"/>
    <w:rsid w:val="00596FD5"/>
    <w:rsid w:val="00597EBC"/>
    <w:rsid w:val="005A75FF"/>
    <w:rsid w:val="005C7070"/>
    <w:rsid w:val="005C7C69"/>
    <w:rsid w:val="005D10AB"/>
    <w:rsid w:val="00601D8F"/>
    <w:rsid w:val="006201C0"/>
    <w:rsid w:val="00625051"/>
    <w:rsid w:val="00643BFC"/>
    <w:rsid w:val="00653E97"/>
    <w:rsid w:val="006701F7"/>
    <w:rsid w:val="00673596"/>
    <w:rsid w:val="00674FB9"/>
    <w:rsid w:val="00684A74"/>
    <w:rsid w:val="00690B8A"/>
    <w:rsid w:val="006B43BD"/>
    <w:rsid w:val="006C1632"/>
    <w:rsid w:val="006C7821"/>
    <w:rsid w:val="006D0A2D"/>
    <w:rsid w:val="006D203F"/>
    <w:rsid w:val="006D3D44"/>
    <w:rsid w:val="006D6955"/>
    <w:rsid w:val="006F2CF1"/>
    <w:rsid w:val="007038ED"/>
    <w:rsid w:val="00703BC3"/>
    <w:rsid w:val="00704B61"/>
    <w:rsid w:val="00724790"/>
    <w:rsid w:val="00731F9D"/>
    <w:rsid w:val="007552A9"/>
    <w:rsid w:val="00761858"/>
    <w:rsid w:val="00767D59"/>
    <w:rsid w:val="00776E97"/>
    <w:rsid w:val="00780F86"/>
    <w:rsid w:val="00783D8C"/>
    <w:rsid w:val="007912AD"/>
    <w:rsid w:val="00797649"/>
    <w:rsid w:val="007A221B"/>
    <w:rsid w:val="007A762C"/>
    <w:rsid w:val="007B0824"/>
    <w:rsid w:val="007B5D3C"/>
    <w:rsid w:val="007D3685"/>
    <w:rsid w:val="007D66F3"/>
    <w:rsid w:val="007E3DF4"/>
    <w:rsid w:val="007F2A46"/>
    <w:rsid w:val="00806249"/>
    <w:rsid w:val="00810991"/>
    <w:rsid w:val="00821B72"/>
    <w:rsid w:val="00823EF2"/>
    <w:rsid w:val="008262CB"/>
    <w:rsid w:val="008303B8"/>
    <w:rsid w:val="00833DCE"/>
    <w:rsid w:val="00855C07"/>
    <w:rsid w:val="00866204"/>
    <w:rsid w:val="0087168C"/>
    <w:rsid w:val="00871D34"/>
    <w:rsid w:val="00876E37"/>
    <w:rsid w:val="0087758F"/>
    <w:rsid w:val="008809C6"/>
    <w:rsid w:val="00883D05"/>
    <w:rsid w:val="00894BBF"/>
    <w:rsid w:val="008A5E32"/>
    <w:rsid w:val="008B1C3F"/>
    <w:rsid w:val="008B270C"/>
    <w:rsid w:val="008B5078"/>
    <w:rsid w:val="008B5E2A"/>
    <w:rsid w:val="008C3D3D"/>
    <w:rsid w:val="008D4131"/>
    <w:rsid w:val="008F1932"/>
    <w:rsid w:val="008F5E9E"/>
    <w:rsid w:val="00905E7C"/>
    <w:rsid w:val="00921062"/>
    <w:rsid w:val="00931A34"/>
    <w:rsid w:val="00946654"/>
    <w:rsid w:val="009722BC"/>
    <w:rsid w:val="0097243F"/>
    <w:rsid w:val="009727A3"/>
    <w:rsid w:val="00976910"/>
    <w:rsid w:val="00987774"/>
    <w:rsid w:val="009A11E8"/>
    <w:rsid w:val="009B5FFC"/>
    <w:rsid w:val="009F5220"/>
    <w:rsid w:val="00A01974"/>
    <w:rsid w:val="00A15234"/>
    <w:rsid w:val="00A201AB"/>
    <w:rsid w:val="00A31C8B"/>
    <w:rsid w:val="00A321CE"/>
    <w:rsid w:val="00A35829"/>
    <w:rsid w:val="00A42C6F"/>
    <w:rsid w:val="00A46350"/>
    <w:rsid w:val="00A509FA"/>
    <w:rsid w:val="00A52915"/>
    <w:rsid w:val="00A705A8"/>
    <w:rsid w:val="00A70D20"/>
    <w:rsid w:val="00A71C11"/>
    <w:rsid w:val="00A845DC"/>
    <w:rsid w:val="00A92E88"/>
    <w:rsid w:val="00AA1ADF"/>
    <w:rsid w:val="00AD3672"/>
    <w:rsid w:val="00B03AAC"/>
    <w:rsid w:val="00B20311"/>
    <w:rsid w:val="00B26AA2"/>
    <w:rsid w:val="00B3524D"/>
    <w:rsid w:val="00B40F69"/>
    <w:rsid w:val="00B46616"/>
    <w:rsid w:val="00B53E41"/>
    <w:rsid w:val="00B7040A"/>
    <w:rsid w:val="00B72835"/>
    <w:rsid w:val="00B83391"/>
    <w:rsid w:val="00B95326"/>
    <w:rsid w:val="00B96370"/>
    <w:rsid w:val="00BB3E4B"/>
    <w:rsid w:val="00BC2014"/>
    <w:rsid w:val="00BC4F94"/>
    <w:rsid w:val="00BC56A9"/>
    <w:rsid w:val="00BD1F1B"/>
    <w:rsid w:val="00BD4196"/>
    <w:rsid w:val="00BE200A"/>
    <w:rsid w:val="00BF0C4C"/>
    <w:rsid w:val="00BF22CA"/>
    <w:rsid w:val="00BF23BB"/>
    <w:rsid w:val="00C02B43"/>
    <w:rsid w:val="00C26032"/>
    <w:rsid w:val="00C345E1"/>
    <w:rsid w:val="00C434FE"/>
    <w:rsid w:val="00C43BFD"/>
    <w:rsid w:val="00C46289"/>
    <w:rsid w:val="00C77BDD"/>
    <w:rsid w:val="00CA5D24"/>
    <w:rsid w:val="00CB6E35"/>
    <w:rsid w:val="00CC6356"/>
    <w:rsid w:val="00CE1A46"/>
    <w:rsid w:val="00D20757"/>
    <w:rsid w:val="00D22636"/>
    <w:rsid w:val="00D30A21"/>
    <w:rsid w:val="00D40FD9"/>
    <w:rsid w:val="00D4386D"/>
    <w:rsid w:val="00D47F43"/>
    <w:rsid w:val="00D53769"/>
    <w:rsid w:val="00D601F2"/>
    <w:rsid w:val="00D83289"/>
    <w:rsid w:val="00D85C13"/>
    <w:rsid w:val="00D9111A"/>
    <w:rsid w:val="00D91BE3"/>
    <w:rsid w:val="00D94AFC"/>
    <w:rsid w:val="00DA4D06"/>
    <w:rsid w:val="00DB70AE"/>
    <w:rsid w:val="00DC3F2C"/>
    <w:rsid w:val="00DC62A5"/>
    <w:rsid w:val="00DC69F1"/>
    <w:rsid w:val="00DD5071"/>
    <w:rsid w:val="00DD5321"/>
    <w:rsid w:val="00DD5C39"/>
    <w:rsid w:val="00DE5E10"/>
    <w:rsid w:val="00DE7DB7"/>
    <w:rsid w:val="00E00A0A"/>
    <w:rsid w:val="00E066DE"/>
    <w:rsid w:val="00E07F57"/>
    <w:rsid w:val="00E16EDD"/>
    <w:rsid w:val="00E16F00"/>
    <w:rsid w:val="00E30683"/>
    <w:rsid w:val="00E453D8"/>
    <w:rsid w:val="00E45AE5"/>
    <w:rsid w:val="00E50BCE"/>
    <w:rsid w:val="00E574BF"/>
    <w:rsid w:val="00E61292"/>
    <w:rsid w:val="00E6391A"/>
    <w:rsid w:val="00E67157"/>
    <w:rsid w:val="00E675B3"/>
    <w:rsid w:val="00E730EF"/>
    <w:rsid w:val="00E74E7B"/>
    <w:rsid w:val="00E77C4D"/>
    <w:rsid w:val="00E809BD"/>
    <w:rsid w:val="00E81D01"/>
    <w:rsid w:val="00E961E5"/>
    <w:rsid w:val="00EA2F7F"/>
    <w:rsid w:val="00EE3064"/>
    <w:rsid w:val="00EE45D8"/>
    <w:rsid w:val="00EF5048"/>
    <w:rsid w:val="00EF6188"/>
    <w:rsid w:val="00F0593B"/>
    <w:rsid w:val="00F20D2B"/>
    <w:rsid w:val="00F22EDA"/>
    <w:rsid w:val="00F24B0C"/>
    <w:rsid w:val="00F27495"/>
    <w:rsid w:val="00F30E93"/>
    <w:rsid w:val="00F62213"/>
    <w:rsid w:val="00F658F8"/>
    <w:rsid w:val="00F749A2"/>
    <w:rsid w:val="00F76D81"/>
    <w:rsid w:val="00F80F13"/>
    <w:rsid w:val="00F924A3"/>
    <w:rsid w:val="00F93CED"/>
    <w:rsid w:val="00FA4568"/>
    <w:rsid w:val="00FA6DB4"/>
    <w:rsid w:val="00FE03C2"/>
    <w:rsid w:val="00FE1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DD138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table" w:styleId="PlainTable4">
    <w:name w:val="Plain Table 4"/>
    <w:basedOn w:val="TableNormal"/>
    <w:uiPriority w:val="44"/>
    <w:rsid w:val="00BC20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1219</Words>
  <Characters>6068</Characters>
  <Application>Microsoft Office Word</Application>
  <DocSecurity>0</DocSecurity>
  <Lines>50</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2018-09-25T12:53:00Z</dcterms:created>
  <dcterms:modified xsi:type="dcterms:W3CDTF">2018-09-25T12:53:00Z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