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8578D0" w:rsidRDefault="00D94AFC">
      <w:pPr>
        <w:rPr>
          <w:rFonts w:ascii="Arial" w:hAnsi="Arial" w:cs="Arial"/>
          <w:color w:val="000000"/>
        </w:rPr>
      </w:pPr>
    </w:p>
    <w:p w:rsidR="00F97703" w:rsidRPr="008578D0" w:rsidRDefault="00082D15" w:rsidP="00F97703">
      <w:pPr>
        <w:jc w:val="center"/>
        <w:rPr>
          <w:rFonts w:ascii="Arial" w:hAnsi="Arial" w:cs="Arial"/>
          <w:color w:val="000000"/>
        </w:rPr>
      </w:pPr>
      <w:r w:rsidRPr="008578D0">
        <w:rPr>
          <w:rFonts w:ascii="Arial" w:hAnsi="Arial" w:cs="Arial"/>
          <w:noProof/>
        </w:rPr>
        <w:drawing>
          <wp:inline distT="0" distB="0" distL="0" distR="0" wp14:anchorId="3BB4BB07" wp14:editId="3BB4BB08">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8578D0" w:rsidRDefault="00BB39BE" w:rsidP="00DA4D91">
      <w:pPr>
        <w:tabs>
          <w:tab w:val="right" w:pos="9720"/>
        </w:tabs>
        <w:ind w:right="-82"/>
        <w:outlineLvl w:val="0"/>
        <w:rPr>
          <w:rFonts w:ascii="Arial" w:hAnsi="Arial" w:cs="Arial"/>
          <w:b/>
          <w:color w:val="000000"/>
        </w:rPr>
      </w:pPr>
      <w:r w:rsidRPr="008578D0">
        <w:rPr>
          <w:rFonts w:ascii="Arial" w:hAnsi="Arial" w:cs="Arial"/>
          <w:b/>
          <w:color w:val="000000"/>
        </w:rPr>
        <w:t>Upper</w:t>
      </w:r>
      <w:r w:rsidR="00F97703" w:rsidRPr="008578D0">
        <w:rPr>
          <w:rFonts w:ascii="Arial" w:hAnsi="Arial" w:cs="Arial"/>
          <w:b/>
          <w:color w:val="000000"/>
        </w:rPr>
        <w:t xml:space="preserve"> Tribunal </w:t>
      </w:r>
    </w:p>
    <w:p w:rsidR="00874C7E" w:rsidRPr="00C713E2" w:rsidRDefault="00F97703" w:rsidP="00780F86">
      <w:pPr>
        <w:tabs>
          <w:tab w:val="right" w:pos="9720"/>
        </w:tabs>
        <w:ind w:right="-82"/>
        <w:rPr>
          <w:rFonts w:ascii="Arial" w:hAnsi="Arial" w:cs="Arial"/>
          <w:b/>
          <w:color w:val="000000"/>
        </w:rPr>
      </w:pPr>
      <w:r w:rsidRPr="008578D0">
        <w:rPr>
          <w:rFonts w:ascii="Arial" w:hAnsi="Arial" w:cs="Arial"/>
          <w:b/>
          <w:color w:val="000000"/>
        </w:rPr>
        <w:t xml:space="preserve">(Immigration and Asylum </w:t>
      </w:r>
      <w:proofErr w:type="gramStart"/>
      <w:r w:rsidRPr="008578D0">
        <w:rPr>
          <w:rFonts w:ascii="Arial" w:hAnsi="Arial" w:cs="Arial"/>
          <w:b/>
          <w:color w:val="000000"/>
        </w:rPr>
        <w:t>Chamber)</w:t>
      </w:r>
      <w:r w:rsidR="00C713E2">
        <w:rPr>
          <w:rFonts w:ascii="Arial" w:hAnsi="Arial" w:cs="Arial"/>
          <w:b/>
          <w:color w:val="000000"/>
        </w:rPr>
        <w:t xml:space="preserve">   </w:t>
      </w:r>
      <w:proofErr w:type="gramEnd"/>
      <w:r w:rsidR="00C713E2">
        <w:rPr>
          <w:rFonts w:ascii="Arial" w:hAnsi="Arial" w:cs="Arial"/>
          <w:b/>
          <w:color w:val="000000"/>
        </w:rPr>
        <w:t xml:space="preserve">                </w:t>
      </w:r>
      <w:r w:rsidR="00B3524D" w:rsidRPr="00C713E2">
        <w:rPr>
          <w:rFonts w:ascii="Arial" w:hAnsi="Arial" w:cs="Arial"/>
          <w:b/>
          <w:color w:val="000000"/>
        </w:rPr>
        <w:t>Appeal Number</w:t>
      </w:r>
      <w:r w:rsidR="00D53769" w:rsidRPr="00C713E2">
        <w:rPr>
          <w:rFonts w:ascii="Arial" w:hAnsi="Arial" w:cs="Arial"/>
          <w:b/>
          <w:color w:val="000000"/>
        </w:rPr>
        <w:t>:</w:t>
      </w:r>
      <w:r w:rsidR="00B3524D" w:rsidRPr="00C713E2">
        <w:rPr>
          <w:rFonts w:ascii="Arial" w:hAnsi="Arial" w:cs="Arial"/>
          <w:b/>
          <w:color w:val="000000"/>
        </w:rPr>
        <w:t xml:space="preserve"> </w:t>
      </w:r>
      <w:r w:rsidR="00D47597" w:rsidRPr="00C713E2">
        <w:rPr>
          <w:rFonts w:ascii="Arial" w:hAnsi="Arial" w:cs="Arial"/>
          <w:b/>
          <w:color w:val="000000"/>
        </w:rPr>
        <w:t>HU/16327/2016</w:t>
      </w:r>
    </w:p>
    <w:p w:rsidR="00C345E1" w:rsidRPr="00C713E2" w:rsidRDefault="00C345E1" w:rsidP="00C345E1">
      <w:pPr>
        <w:jc w:val="center"/>
        <w:rPr>
          <w:rFonts w:ascii="Arial" w:hAnsi="Arial" w:cs="Arial"/>
          <w:b/>
          <w:color w:val="000000"/>
        </w:rPr>
      </w:pPr>
    </w:p>
    <w:p w:rsidR="00C345E1" w:rsidRPr="008578D0" w:rsidRDefault="00C345E1" w:rsidP="00DA4D91">
      <w:pPr>
        <w:jc w:val="center"/>
        <w:outlineLvl w:val="0"/>
        <w:rPr>
          <w:rFonts w:ascii="Arial" w:hAnsi="Arial" w:cs="Arial"/>
          <w:b/>
          <w:color w:val="000000"/>
          <w:u w:val="single"/>
        </w:rPr>
      </w:pPr>
      <w:r w:rsidRPr="008578D0">
        <w:rPr>
          <w:rFonts w:ascii="Arial" w:hAnsi="Arial" w:cs="Arial"/>
          <w:b/>
          <w:color w:val="000000"/>
          <w:u w:val="single"/>
        </w:rPr>
        <w:t>THE IMMIGRATION ACTS</w:t>
      </w:r>
    </w:p>
    <w:p w:rsidR="00C345E1" w:rsidRPr="008578D0" w:rsidRDefault="00C345E1" w:rsidP="00C345E1">
      <w:pPr>
        <w:jc w:val="center"/>
        <w:rPr>
          <w:rFonts w:ascii="Arial" w:hAnsi="Arial" w:cs="Arial"/>
          <w:b/>
          <w:u w:val="single"/>
        </w:rPr>
      </w:pPr>
    </w:p>
    <w:tbl>
      <w:tblPr>
        <w:tblW w:w="0" w:type="auto"/>
        <w:tblLook w:val="01E0" w:firstRow="1" w:lastRow="1" w:firstColumn="1" w:lastColumn="1" w:noHBand="0" w:noVBand="0"/>
      </w:tblPr>
      <w:tblGrid>
        <w:gridCol w:w="4531"/>
        <w:gridCol w:w="5097"/>
      </w:tblGrid>
      <w:tr w:rsidR="00D22636" w:rsidRPr="00FD50E5" w:rsidTr="00820E54">
        <w:tc>
          <w:tcPr>
            <w:tcW w:w="4531" w:type="dxa"/>
            <w:shd w:val="clear" w:color="auto" w:fill="auto"/>
          </w:tcPr>
          <w:p w:rsidR="00D22636" w:rsidRPr="00FD50E5" w:rsidRDefault="00844156" w:rsidP="00673E8F">
            <w:pPr>
              <w:jc w:val="both"/>
              <w:rPr>
                <w:rFonts w:ascii="Arial" w:hAnsi="Arial" w:cs="Arial"/>
                <w:b/>
              </w:rPr>
            </w:pPr>
            <w:r w:rsidRPr="00FD50E5">
              <w:rPr>
                <w:rFonts w:ascii="Arial" w:hAnsi="Arial" w:cs="Arial"/>
                <w:b/>
              </w:rPr>
              <w:t>Heard</w:t>
            </w:r>
            <w:r w:rsidR="00870267" w:rsidRPr="00FD50E5">
              <w:rPr>
                <w:rFonts w:ascii="Arial" w:hAnsi="Arial" w:cs="Arial"/>
                <w:b/>
              </w:rPr>
              <w:t xml:space="preserve"> at </w:t>
            </w:r>
            <w:r w:rsidR="00673E8F">
              <w:rPr>
                <w:rFonts w:ascii="Arial" w:hAnsi="Arial" w:cs="Arial"/>
                <w:b/>
              </w:rPr>
              <w:t>Field House</w:t>
            </w:r>
            <w:r w:rsidR="00874C7E" w:rsidRPr="00FD50E5">
              <w:rPr>
                <w:rFonts w:ascii="Arial" w:hAnsi="Arial" w:cs="Arial"/>
                <w:b/>
              </w:rPr>
              <w:t xml:space="preserve"> </w:t>
            </w:r>
          </w:p>
        </w:tc>
        <w:tc>
          <w:tcPr>
            <w:tcW w:w="5097" w:type="dxa"/>
            <w:shd w:val="clear" w:color="auto" w:fill="auto"/>
          </w:tcPr>
          <w:p w:rsidR="00D22636" w:rsidRPr="00FD50E5" w:rsidRDefault="00C713E2" w:rsidP="00FD50E5">
            <w:pPr>
              <w:jc w:val="both"/>
              <w:rPr>
                <w:rFonts w:ascii="Arial" w:hAnsi="Arial" w:cs="Arial"/>
                <w:b/>
                <w:color w:val="000000"/>
              </w:rPr>
            </w:pPr>
            <w:r>
              <w:rPr>
                <w:rFonts w:ascii="Arial" w:hAnsi="Arial" w:cs="Arial"/>
                <w:b/>
                <w:color w:val="000000"/>
              </w:rPr>
              <w:t xml:space="preserve">          </w:t>
            </w:r>
            <w:r w:rsidR="00820E54">
              <w:rPr>
                <w:rFonts w:ascii="Arial" w:hAnsi="Arial" w:cs="Arial"/>
                <w:b/>
                <w:color w:val="000000"/>
              </w:rPr>
              <w:t>Decision &amp; Reasons Promulgated</w:t>
            </w:r>
          </w:p>
        </w:tc>
      </w:tr>
      <w:tr w:rsidR="00D22636" w:rsidRPr="00FD50E5" w:rsidTr="00820E54">
        <w:tc>
          <w:tcPr>
            <w:tcW w:w="4531" w:type="dxa"/>
            <w:shd w:val="clear" w:color="auto" w:fill="auto"/>
          </w:tcPr>
          <w:p w:rsidR="00D22636" w:rsidRPr="00FD50E5" w:rsidRDefault="00D22636" w:rsidP="00B300CE">
            <w:pPr>
              <w:jc w:val="both"/>
              <w:rPr>
                <w:rFonts w:ascii="Arial" w:hAnsi="Arial" w:cs="Arial"/>
                <w:b/>
              </w:rPr>
            </w:pPr>
            <w:r w:rsidRPr="00FD50E5">
              <w:rPr>
                <w:rFonts w:ascii="Arial" w:hAnsi="Arial" w:cs="Arial"/>
                <w:b/>
              </w:rPr>
              <w:t>On</w:t>
            </w:r>
            <w:r w:rsidR="00A905CD" w:rsidRPr="00FD50E5">
              <w:rPr>
                <w:rFonts w:ascii="Arial" w:hAnsi="Arial" w:cs="Arial"/>
                <w:b/>
              </w:rPr>
              <w:t xml:space="preserve"> </w:t>
            </w:r>
            <w:r w:rsidR="00900688">
              <w:rPr>
                <w:rFonts w:ascii="Arial" w:hAnsi="Arial" w:cs="Arial"/>
                <w:b/>
              </w:rPr>
              <w:t>30</w:t>
            </w:r>
            <w:r w:rsidR="00900688" w:rsidRPr="00900688">
              <w:rPr>
                <w:rFonts w:ascii="Arial" w:hAnsi="Arial" w:cs="Arial"/>
                <w:b/>
                <w:vertAlign w:val="superscript"/>
              </w:rPr>
              <w:t>th</w:t>
            </w:r>
            <w:r w:rsidR="00900688">
              <w:rPr>
                <w:rFonts w:ascii="Arial" w:hAnsi="Arial" w:cs="Arial"/>
                <w:b/>
              </w:rPr>
              <w:t xml:space="preserve"> May 2018</w:t>
            </w:r>
          </w:p>
        </w:tc>
        <w:tc>
          <w:tcPr>
            <w:tcW w:w="5097" w:type="dxa"/>
            <w:shd w:val="clear" w:color="auto" w:fill="auto"/>
          </w:tcPr>
          <w:p w:rsidR="00D22636" w:rsidRPr="00FD50E5" w:rsidRDefault="00C713E2" w:rsidP="00FD50E5">
            <w:pPr>
              <w:jc w:val="both"/>
              <w:rPr>
                <w:rFonts w:ascii="Arial" w:hAnsi="Arial" w:cs="Arial"/>
                <w:b/>
              </w:rPr>
            </w:pPr>
            <w:r>
              <w:rPr>
                <w:rFonts w:ascii="Arial" w:hAnsi="Arial" w:cs="Arial"/>
                <w:b/>
              </w:rPr>
              <w:t xml:space="preserve">          </w:t>
            </w:r>
            <w:r w:rsidR="00820E54">
              <w:rPr>
                <w:rFonts w:ascii="Arial" w:hAnsi="Arial" w:cs="Arial"/>
                <w:b/>
              </w:rPr>
              <w:t>On 1</w:t>
            </w:r>
            <w:r w:rsidR="00820E54" w:rsidRPr="00820E54">
              <w:rPr>
                <w:rFonts w:ascii="Arial" w:hAnsi="Arial" w:cs="Arial"/>
                <w:b/>
                <w:vertAlign w:val="superscript"/>
              </w:rPr>
              <w:t>st</w:t>
            </w:r>
            <w:r w:rsidR="00820E54">
              <w:rPr>
                <w:rFonts w:ascii="Arial" w:hAnsi="Arial" w:cs="Arial"/>
                <w:b/>
              </w:rPr>
              <w:t xml:space="preserve"> June 2018</w:t>
            </w:r>
          </w:p>
        </w:tc>
      </w:tr>
      <w:tr w:rsidR="00D22636" w:rsidRPr="00FD50E5" w:rsidTr="00820E54">
        <w:tc>
          <w:tcPr>
            <w:tcW w:w="4531" w:type="dxa"/>
            <w:shd w:val="clear" w:color="auto" w:fill="auto"/>
          </w:tcPr>
          <w:p w:rsidR="00D22636" w:rsidRPr="00FD50E5" w:rsidRDefault="00D22636" w:rsidP="00FD50E5">
            <w:pPr>
              <w:jc w:val="both"/>
              <w:rPr>
                <w:rFonts w:ascii="Arial" w:hAnsi="Arial" w:cs="Arial"/>
                <w:b/>
              </w:rPr>
            </w:pPr>
          </w:p>
        </w:tc>
        <w:tc>
          <w:tcPr>
            <w:tcW w:w="5097" w:type="dxa"/>
            <w:shd w:val="clear" w:color="auto" w:fill="auto"/>
          </w:tcPr>
          <w:p w:rsidR="00D22636" w:rsidRPr="00FD50E5" w:rsidRDefault="00D22636" w:rsidP="00FD50E5">
            <w:pPr>
              <w:jc w:val="both"/>
              <w:rPr>
                <w:rFonts w:ascii="Arial" w:hAnsi="Arial" w:cs="Arial"/>
                <w:b/>
              </w:rPr>
            </w:pPr>
          </w:p>
        </w:tc>
      </w:tr>
    </w:tbl>
    <w:p w:rsidR="00A15234" w:rsidRPr="008578D0" w:rsidRDefault="00A15234" w:rsidP="00A15234">
      <w:pPr>
        <w:jc w:val="center"/>
        <w:rPr>
          <w:rFonts w:ascii="Arial" w:hAnsi="Arial" w:cs="Arial"/>
        </w:rPr>
      </w:pPr>
    </w:p>
    <w:p w:rsidR="00A15234" w:rsidRPr="008578D0" w:rsidRDefault="00A15234" w:rsidP="00A15234">
      <w:pPr>
        <w:jc w:val="center"/>
        <w:rPr>
          <w:rFonts w:ascii="Arial" w:hAnsi="Arial" w:cs="Arial"/>
        </w:rPr>
      </w:pPr>
    </w:p>
    <w:p w:rsidR="00A15234" w:rsidRPr="008578D0" w:rsidRDefault="00207617" w:rsidP="00DA4D91">
      <w:pPr>
        <w:jc w:val="center"/>
        <w:outlineLvl w:val="0"/>
        <w:rPr>
          <w:rFonts w:ascii="Arial" w:hAnsi="Arial" w:cs="Arial"/>
          <w:b/>
        </w:rPr>
      </w:pPr>
      <w:r w:rsidRPr="008578D0">
        <w:rPr>
          <w:rFonts w:ascii="Arial" w:hAnsi="Arial" w:cs="Arial"/>
          <w:b/>
        </w:rPr>
        <w:t>Befo</w:t>
      </w:r>
      <w:r w:rsidR="00A15234" w:rsidRPr="008578D0">
        <w:rPr>
          <w:rFonts w:ascii="Arial" w:hAnsi="Arial" w:cs="Arial"/>
          <w:b/>
        </w:rPr>
        <w:t>re</w:t>
      </w:r>
    </w:p>
    <w:p w:rsidR="00721E7A" w:rsidRPr="008578D0" w:rsidRDefault="00721E7A" w:rsidP="00A15234">
      <w:pPr>
        <w:jc w:val="center"/>
        <w:rPr>
          <w:rFonts w:ascii="Arial" w:hAnsi="Arial" w:cs="Arial"/>
          <w:b/>
        </w:rPr>
      </w:pPr>
    </w:p>
    <w:p w:rsidR="00D20757" w:rsidRPr="008578D0" w:rsidRDefault="00D8561E" w:rsidP="00A15234">
      <w:pPr>
        <w:jc w:val="center"/>
        <w:rPr>
          <w:rFonts w:ascii="Arial" w:hAnsi="Arial" w:cs="Arial"/>
          <w:b/>
        </w:rPr>
      </w:pPr>
      <w:r w:rsidRPr="008578D0">
        <w:rPr>
          <w:rFonts w:ascii="Arial" w:hAnsi="Arial" w:cs="Arial"/>
          <w:b/>
        </w:rPr>
        <w:t>UPPER TRIBUNAL JUDGE COKER</w:t>
      </w:r>
    </w:p>
    <w:p w:rsidR="00D8561E" w:rsidRPr="008578D0" w:rsidRDefault="00D8561E" w:rsidP="00DA4D91">
      <w:pPr>
        <w:jc w:val="center"/>
        <w:outlineLvl w:val="0"/>
        <w:rPr>
          <w:rFonts w:ascii="Arial" w:hAnsi="Arial" w:cs="Arial"/>
          <w:b/>
        </w:rPr>
      </w:pPr>
    </w:p>
    <w:p w:rsidR="00A845DC" w:rsidRPr="008578D0" w:rsidRDefault="00A845DC" w:rsidP="00DA4D91">
      <w:pPr>
        <w:jc w:val="center"/>
        <w:outlineLvl w:val="0"/>
        <w:rPr>
          <w:rFonts w:ascii="Arial" w:hAnsi="Arial" w:cs="Arial"/>
          <w:b/>
        </w:rPr>
      </w:pPr>
      <w:r w:rsidRPr="008578D0">
        <w:rPr>
          <w:rFonts w:ascii="Arial" w:hAnsi="Arial" w:cs="Arial"/>
          <w:b/>
        </w:rPr>
        <w:t>Between</w:t>
      </w:r>
    </w:p>
    <w:p w:rsidR="00A845DC" w:rsidRPr="008578D0" w:rsidRDefault="00A845DC" w:rsidP="00A15234">
      <w:pPr>
        <w:jc w:val="center"/>
        <w:rPr>
          <w:rFonts w:ascii="Arial" w:hAnsi="Arial" w:cs="Arial"/>
          <w:b/>
        </w:rPr>
      </w:pPr>
    </w:p>
    <w:p w:rsidR="00172D1A" w:rsidRPr="008578D0" w:rsidRDefault="00172D1A" w:rsidP="00172D1A">
      <w:pPr>
        <w:jc w:val="center"/>
        <w:rPr>
          <w:rFonts w:ascii="Arial" w:hAnsi="Arial" w:cs="Arial"/>
          <w:b/>
        </w:rPr>
      </w:pPr>
    </w:p>
    <w:p w:rsidR="00900688" w:rsidRPr="008578D0" w:rsidRDefault="00900688" w:rsidP="00900688">
      <w:pPr>
        <w:jc w:val="center"/>
        <w:rPr>
          <w:rFonts w:ascii="Arial" w:hAnsi="Arial" w:cs="Arial"/>
          <w:b/>
        </w:rPr>
      </w:pPr>
      <w:r w:rsidRPr="008578D0">
        <w:rPr>
          <w:rFonts w:ascii="Arial" w:hAnsi="Arial" w:cs="Arial"/>
          <w:b/>
        </w:rPr>
        <w:t>SECRETARY OF STATE FOR THE HOME DEPARTMENT</w:t>
      </w:r>
    </w:p>
    <w:p w:rsidR="00704B61" w:rsidRPr="008578D0" w:rsidRDefault="00704B61" w:rsidP="00DA4D91">
      <w:pPr>
        <w:jc w:val="right"/>
        <w:outlineLvl w:val="0"/>
        <w:rPr>
          <w:rFonts w:ascii="Arial" w:hAnsi="Arial" w:cs="Arial"/>
          <w:u w:val="single"/>
        </w:rPr>
      </w:pPr>
      <w:r w:rsidRPr="008578D0">
        <w:rPr>
          <w:rFonts w:ascii="Arial" w:hAnsi="Arial" w:cs="Arial"/>
          <w:u w:val="single"/>
        </w:rPr>
        <w:t>Appellant</w:t>
      </w:r>
    </w:p>
    <w:p w:rsidR="00704B61" w:rsidRDefault="00172D1A" w:rsidP="00704B61">
      <w:pPr>
        <w:jc w:val="center"/>
        <w:rPr>
          <w:rFonts w:ascii="Arial" w:hAnsi="Arial" w:cs="Arial"/>
          <w:b/>
        </w:rPr>
      </w:pPr>
      <w:r w:rsidRPr="008578D0">
        <w:rPr>
          <w:rFonts w:ascii="Arial" w:hAnsi="Arial" w:cs="Arial"/>
          <w:b/>
        </w:rPr>
        <w:t>A</w:t>
      </w:r>
      <w:r w:rsidR="00DD5071" w:rsidRPr="008578D0">
        <w:rPr>
          <w:rFonts w:ascii="Arial" w:hAnsi="Arial" w:cs="Arial"/>
          <w:b/>
        </w:rPr>
        <w:t>nd</w:t>
      </w:r>
    </w:p>
    <w:p w:rsidR="00900688" w:rsidRPr="008578D0" w:rsidRDefault="00900688" w:rsidP="00704B61">
      <w:pPr>
        <w:jc w:val="center"/>
        <w:rPr>
          <w:rFonts w:ascii="Arial" w:hAnsi="Arial" w:cs="Arial"/>
          <w:b/>
        </w:rPr>
      </w:pPr>
    </w:p>
    <w:p w:rsidR="00172D1A" w:rsidRPr="008578D0" w:rsidRDefault="00727743" w:rsidP="00704B61">
      <w:pPr>
        <w:jc w:val="center"/>
        <w:rPr>
          <w:rFonts w:ascii="Arial" w:hAnsi="Arial" w:cs="Arial"/>
          <w:b/>
        </w:rPr>
      </w:pPr>
      <w:r>
        <w:rPr>
          <w:rFonts w:ascii="Arial" w:hAnsi="Arial" w:cs="Arial"/>
          <w:b/>
        </w:rPr>
        <w:t>TOA</w:t>
      </w:r>
    </w:p>
    <w:p w:rsidR="00DD5071" w:rsidRPr="008578D0" w:rsidRDefault="00DD5071" w:rsidP="00DA4D91">
      <w:pPr>
        <w:jc w:val="right"/>
        <w:outlineLvl w:val="0"/>
        <w:rPr>
          <w:rFonts w:ascii="Arial" w:hAnsi="Arial" w:cs="Arial"/>
          <w:u w:val="single"/>
        </w:rPr>
      </w:pPr>
      <w:r w:rsidRPr="008578D0">
        <w:rPr>
          <w:rFonts w:ascii="Arial" w:hAnsi="Arial" w:cs="Arial"/>
          <w:u w:val="single"/>
        </w:rPr>
        <w:t>Respondent</w:t>
      </w:r>
    </w:p>
    <w:p w:rsidR="00DD5071" w:rsidRPr="008578D0" w:rsidRDefault="00DD5071" w:rsidP="00DD5071">
      <w:pPr>
        <w:rPr>
          <w:rFonts w:ascii="Arial" w:hAnsi="Arial" w:cs="Arial"/>
          <w:u w:val="single"/>
        </w:rPr>
      </w:pPr>
    </w:p>
    <w:p w:rsidR="00DD5071" w:rsidRPr="008578D0" w:rsidRDefault="00DE7DB7" w:rsidP="00DA4D91">
      <w:pPr>
        <w:outlineLvl w:val="0"/>
        <w:rPr>
          <w:rFonts w:ascii="Arial" w:hAnsi="Arial" w:cs="Arial"/>
        </w:rPr>
      </w:pPr>
      <w:r w:rsidRPr="008578D0">
        <w:rPr>
          <w:rFonts w:ascii="Arial" w:hAnsi="Arial" w:cs="Arial"/>
          <w:b/>
          <w:u w:val="single"/>
        </w:rPr>
        <w:t>Representation</w:t>
      </w:r>
      <w:r w:rsidRPr="008578D0">
        <w:rPr>
          <w:rFonts w:ascii="Arial" w:hAnsi="Arial" w:cs="Arial"/>
          <w:b/>
        </w:rPr>
        <w:t>:</w:t>
      </w:r>
    </w:p>
    <w:p w:rsidR="00DE7DB7" w:rsidRPr="008578D0" w:rsidRDefault="00DE7DB7" w:rsidP="00DD5071">
      <w:pPr>
        <w:rPr>
          <w:rFonts w:ascii="Arial" w:hAnsi="Arial" w:cs="Arial"/>
        </w:rPr>
      </w:pPr>
    </w:p>
    <w:p w:rsidR="00DE7DB7" w:rsidRPr="008578D0" w:rsidRDefault="00DE7DB7" w:rsidP="00DA4D91">
      <w:pPr>
        <w:tabs>
          <w:tab w:val="left" w:pos="2520"/>
        </w:tabs>
        <w:outlineLvl w:val="0"/>
        <w:rPr>
          <w:rFonts w:ascii="Arial" w:hAnsi="Arial" w:cs="Arial"/>
        </w:rPr>
      </w:pPr>
      <w:r w:rsidRPr="008578D0">
        <w:rPr>
          <w:rFonts w:ascii="Arial" w:hAnsi="Arial" w:cs="Arial"/>
        </w:rPr>
        <w:t>For the Appellant:</w:t>
      </w:r>
      <w:r w:rsidRPr="008578D0">
        <w:rPr>
          <w:rFonts w:ascii="Arial" w:hAnsi="Arial" w:cs="Arial"/>
        </w:rPr>
        <w:tab/>
      </w:r>
      <w:r w:rsidR="00D463AA">
        <w:rPr>
          <w:rFonts w:ascii="Arial" w:hAnsi="Arial" w:cs="Arial"/>
        </w:rPr>
        <w:t>M</w:t>
      </w:r>
      <w:r w:rsidR="00B300CE">
        <w:rPr>
          <w:rFonts w:ascii="Arial" w:hAnsi="Arial" w:cs="Arial"/>
        </w:rPr>
        <w:t xml:space="preserve">r </w:t>
      </w:r>
      <w:r w:rsidR="00900688">
        <w:rPr>
          <w:rFonts w:ascii="Arial" w:hAnsi="Arial" w:cs="Arial"/>
        </w:rPr>
        <w:t>S Walker, Senior Home Office Presenting Officer</w:t>
      </w:r>
    </w:p>
    <w:p w:rsidR="00DE7DB7" w:rsidRPr="008578D0" w:rsidRDefault="00DE7DB7" w:rsidP="00DE7DB7">
      <w:pPr>
        <w:tabs>
          <w:tab w:val="left" w:pos="2520"/>
        </w:tabs>
        <w:rPr>
          <w:rFonts w:ascii="Arial" w:hAnsi="Arial" w:cs="Arial"/>
        </w:rPr>
      </w:pPr>
      <w:r w:rsidRPr="008578D0">
        <w:rPr>
          <w:rFonts w:ascii="Arial" w:hAnsi="Arial" w:cs="Arial"/>
        </w:rPr>
        <w:t>For the Respondent:</w:t>
      </w:r>
      <w:r w:rsidRPr="008578D0">
        <w:rPr>
          <w:rFonts w:ascii="Arial" w:hAnsi="Arial" w:cs="Arial"/>
        </w:rPr>
        <w:tab/>
      </w:r>
      <w:r w:rsidR="004F77C5" w:rsidRPr="008578D0">
        <w:rPr>
          <w:rFonts w:ascii="Arial" w:hAnsi="Arial" w:cs="Arial"/>
        </w:rPr>
        <w:t>M</w:t>
      </w:r>
      <w:r w:rsidR="00A47A96">
        <w:rPr>
          <w:rFonts w:ascii="Arial" w:hAnsi="Arial" w:cs="Arial"/>
        </w:rPr>
        <w:t>r R Singer</w:t>
      </w:r>
      <w:r w:rsidR="00900688">
        <w:rPr>
          <w:rFonts w:ascii="Arial" w:hAnsi="Arial" w:cs="Arial"/>
        </w:rPr>
        <w:t xml:space="preserve"> instructed by </w:t>
      </w:r>
      <w:r w:rsidR="00A47A96">
        <w:rPr>
          <w:rFonts w:ascii="Arial" w:hAnsi="Arial" w:cs="Arial"/>
        </w:rPr>
        <w:t>Paul John &amp; Co</w:t>
      </w:r>
      <w:r w:rsidR="00900688">
        <w:rPr>
          <w:rFonts w:ascii="Arial" w:hAnsi="Arial" w:cs="Arial"/>
        </w:rPr>
        <w:t>, solicitors</w:t>
      </w:r>
      <w:r w:rsidR="00852DCE" w:rsidRPr="008578D0">
        <w:rPr>
          <w:rFonts w:ascii="Arial" w:hAnsi="Arial" w:cs="Arial"/>
        </w:rPr>
        <w:t xml:space="preserve"> </w:t>
      </w:r>
    </w:p>
    <w:p w:rsidR="00DE7DB7" w:rsidRDefault="00DE7DB7" w:rsidP="00402B9E">
      <w:pPr>
        <w:tabs>
          <w:tab w:val="left" w:pos="2520"/>
        </w:tabs>
        <w:jc w:val="center"/>
        <w:rPr>
          <w:rFonts w:ascii="Arial" w:hAnsi="Arial" w:cs="Arial"/>
        </w:rPr>
      </w:pPr>
    </w:p>
    <w:p w:rsidR="00D463AA" w:rsidRPr="008578D0" w:rsidRDefault="00D463AA" w:rsidP="00402B9E">
      <w:pPr>
        <w:tabs>
          <w:tab w:val="left" w:pos="2520"/>
        </w:tabs>
        <w:jc w:val="center"/>
        <w:rPr>
          <w:rFonts w:ascii="Arial" w:hAnsi="Arial" w:cs="Arial"/>
        </w:rPr>
      </w:pPr>
    </w:p>
    <w:p w:rsidR="00DE7DB7" w:rsidRDefault="00A47A96" w:rsidP="00DA4D91">
      <w:pPr>
        <w:tabs>
          <w:tab w:val="left" w:pos="2520"/>
        </w:tabs>
        <w:jc w:val="center"/>
        <w:outlineLvl w:val="0"/>
        <w:rPr>
          <w:rFonts w:ascii="Arial" w:hAnsi="Arial" w:cs="Arial"/>
          <w:b/>
          <w:u w:val="single"/>
        </w:rPr>
      </w:pPr>
      <w:r>
        <w:rPr>
          <w:rFonts w:ascii="Arial" w:hAnsi="Arial" w:cs="Arial"/>
          <w:b/>
          <w:u w:val="single"/>
        </w:rPr>
        <w:t>DECISION AND REASONS</w:t>
      </w:r>
    </w:p>
    <w:p w:rsidR="00673E8F" w:rsidRPr="008578D0" w:rsidRDefault="00673E8F" w:rsidP="00DA4D91">
      <w:pPr>
        <w:tabs>
          <w:tab w:val="left" w:pos="2520"/>
        </w:tabs>
        <w:jc w:val="center"/>
        <w:outlineLvl w:val="0"/>
        <w:rPr>
          <w:rFonts w:ascii="Arial" w:hAnsi="Arial" w:cs="Arial"/>
        </w:rPr>
      </w:pPr>
    </w:p>
    <w:p w:rsidR="00AB6C32" w:rsidRPr="008578D0" w:rsidRDefault="00AB6C32" w:rsidP="00AB6C32">
      <w:pPr>
        <w:pStyle w:val="ListParagraph"/>
        <w:contextualSpacing/>
        <w:jc w:val="both"/>
        <w:rPr>
          <w:rFonts w:ascii="Arial" w:hAnsi="Arial" w:cs="Arial"/>
        </w:rPr>
      </w:pPr>
    </w:p>
    <w:p w:rsidR="00FB1A36" w:rsidRDefault="00A47A96" w:rsidP="00AB6C32">
      <w:pPr>
        <w:pStyle w:val="ListParagraph"/>
        <w:numPr>
          <w:ilvl w:val="0"/>
          <w:numId w:val="28"/>
        </w:numPr>
        <w:contextualSpacing/>
        <w:jc w:val="both"/>
        <w:rPr>
          <w:rFonts w:ascii="Arial" w:hAnsi="Arial" w:cs="Arial"/>
        </w:rPr>
      </w:pPr>
      <w:r>
        <w:rPr>
          <w:rFonts w:ascii="Arial" w:hAnsi="Arial" w:cs="Arial"/>
        </w:rPr>
        <w:t>In a decision promulgated on 20</w:t>
      </w:r>
      <w:r w:rsidRPr="00A47A96">
        <w:rPr>
          <w:rFonts w:ascii="Arial" w:hAnsi="Arial" w:cs="Arial"/>
          <w:vertAlign w:val="superscript"/>
        </w:rPr>
        <w:t>th</w:t>
      </w:r>
      <w:r>
        <w:rPr>
          <w:rFonts w:ascii="Arial" w:hAnsi="Arial" w:cs="Arial"/>
        </w:rPr>
        <w:t xml:space="preserve"> December 2017, </w:t>
      </w:r>
      <w:r w:rsidR="00DD4872">
        <w:rPr>
          <w:rFonts w:ascii="Arial" w:hAnsi="Arial" w:cs="Arial"/>
        </w:rPr>
        <w:t xml:space="preserve">First-tier Judge NMK Lawrence </w:t>
      </w:r>
      <w:r w:rsidR="007A1D0C">
        <w:rPr>
          <w:rFonts w:ascii="Arial" w:hAnsi="Arial" w:cs="Arial"/>
        </w:rPr>
        <w:t xml:space="preserve">allowed </w:t>
      </w:r>
      <w:r w:rsidR="00193E17">
        <w:rPr>
          <w:rFonts w:ascii="Arial" w:hAnsi="Arial" w:cs="Arial"/>
        </w:rPr>
        <w:t>TOA</w:t>
      </w:r>
      <w:r w:rsidR="00120B85">
        <w:rPr>
          <w:rFonts w:ascii="Arial" w:hAnsi="Arial" w:cs="Arial"/>
        </w:rPr>
        <w:t>’s appeal against the r</w:t>
      </w:r>
      <w:r w:rsidR="007A1D0C">
        <w:rPr>
          <w:rFonts w:ascii="Arial" w:hAnsi="Arial" w:cs="Arial"/>
        </w:rPr>
        <w:t>e</w:t>
      </w:r>
      <w:r w:rsidR="00120B85">
        <w:rPr>
          <w:rFonts w:ascii="Arial" w:hAnsi="Arial" w:cs="Arial"/>
        </w:rPr>
        <w:t>fusal of her human rights claim</w:t>
      </w:r>
      <w:r w:rsidR="007A1D0C">
        <w:rPr>
          <w:rFonts w:ascii="Arial" w:hAnsi="Arial" w:cs="Arial"/>
        </w:rPr>
        <w:t xml:space="preserve">. She had made an application on Form FLR(O) for further leave to remain. The covering letter from her solicitors referred to her having suffered domestic violence from her husband. </w:t>
      </w:r>
      <w:r w:rsidR="005E3A7B">
        <w:rPr>
          <w:rFonts w:ascii="Arial" w:hAnsi="Arial" w:cs="Arial"/>
        </w:rPr>
        <w:t>Judge Lawrence concluded</w:t>
      </w:r>
    </w:p>
    <w:p w:rsidR="005E3A7B" w:rsidRDefault="005E3A7B" w:rsidP="00FB1A36">
      <w:pPr>
        <w:pStyle w:val="ListParagraph"/>
        <w:ind w:left="1560"/>
        <w:contextualSpacing/>
        <w:jc w:val="both"/>
        <w:rPr>
          <w:rFonts w:ascii="Arial" w:hAnsi="Arial" w:cs="Arial"/>
        </w:rPr>
      </w:pPr>
      <w:r>
        <w:rPr>
          <w:rFonts w:ascii="Arial" w:hAnsi="Arial" w:cs="Arial"/>
        </w:rPr>
        <w:t xml:space="preserve"> </w:t>
      </w:r>
    </w:p>
    <w:p w:rsidR="005E3A7B" w:rsidRPr="0074511A" w:rsidRDefault="005E3A7B" w:rsidP="0074511A">
      <w:pPr>
        <w:pStyle w:val="ListParagraph"/>
        <w:ind w:left="2268"/>
        <w:contextualSpacing/>
        <w:jc w:val="both"/>
        <w:rPr>
          <w:rFonts w:ascii="Arial" w:hAnsi="Arial" w:cs="Arial"/>
          <w:sz w:val="20"/>
          <w:szCs w:val="20"/>
        </w:rPr>
      </w:pPr>
      <w:r w:rsidRPr="0074511A">
        <w:rPr>
          <w:rFonts w:ascii="Arial" w:hAnsi="Arial" w:cs="Arial"/>
          <w:sz w:val="20"/>
          <w:szCs w:val="20"/>
        </w:rPr>
        <w:t>“on the evidence before me, I fin</w:t>
      </w:r>
      <w:r w:rsidR="0074511A" w:rsidRPr="0074511A">
        <w:rPr>
          <w:rFonts w:ascii="Arial" w:hAnsi="Arial" w:cs="Arial"/>
          <w:sz w:val="20"/>
          <w:szCs w:val="20"/>
        </w:rPr>
        <w:t>d</w:t>
      </w:r>
      <w:r w:rsidRPr="0074511A">
        <w:rPr>
          <w:rFonts w:ascii="Arial" w:hAnsi="Arial" w:cs="Arial"/>
          <w:sz w:val="20"/>
          <w:szCs w:val="20"/>
        </w:rPr>
        <w:t>, on balance of probability, the appellant had been subjected to domestic violence as defined by the respondent’s own Guidance.</w:t>
      </w:r>
    </w:p>
    <w:p w:rsidR="00457A64" w:rsidRDefault="00457A64" w:rsidP="0074511A">
      <w:pPr>
        <w:pStyle w:val="ListParagraph"/>
        <w:ind w:left="2127" w:firstLine="141"/>
        <w:contextualSpacing/>
        <w:jc w:val="both"/>
        <w:rPr>
          <w:rFonts w:ascii="Arial" w:hAnsi="Arial" w:cs="Arial"/>
          <w:sz w:val="20"/>
          <w:szCs w:val="20"/>
        </w:rPr>
      </w:pPr>
      <w:r>
        <w:rPr>
          <w:rFonts w:ascii="Arial" w:hAnsi="Arial" w:cs="Arial"/>
          <w:sz w:val="20"/>
          <w:szCs w:val="20"/>
        </w:rPr>
        <w:t>Notice of decision</w:t>
      </w:r>
    </w:p>
    <w:p w:rsidR="005E3A7B" w:rsidRPr="0074511A" w:rsidRDefault="005E3A7B" w:rsidP="0074511A">
      <w:pPr>
        <w:pStyle w:val="ListParagraph"/>
        <w:ind w:left="2127" w:firstLine="141"/>
        <w:contextualSpacing/>
        <w:jc w:val="both"/>
        <w:rPr>
          <w:rFonts w:ascii="Arial" w:hAnsi="Arial" w:cs="Arial"/>
          <w:sz w:val="20"/>
          <w:szCs w:val="20"/>
        </w:rPr>
      </w:pPr>
      <w:r w:rsidRPr="0074511A">
        <w:rPr>
          <w:rFonts w:ascii="Arial" w:hAnsi="Arial" w:cs="Arial"/>
          <w:sz w:val="20"/>
          <w:szCs w:val="20"/>
        </w:rPr>
        <w:t>The appeal under</w:t>
      </w:r>
      <w:r w:rsidR="009C35BD" w:rsidRPr="0074511A">
        <w:rPr>
          <w:rFonts w:ascii="Arial" w:hAnsi="Arial" w:cs="Arial"/>
          <w:sz w:val="20"/>
          <w:szCs w:val="20"/>
        </w:rPr>
        <w:t xml:space="preserve"> </w:t>
      </w:r>
      <w:r w:rsidRPr="0074511A">
        <w:rPr>
          <w:rFonts w:ascii="Arial" w:hAnsi="Arial" w:cs="Arial"/>
          <w:sz w:val="20"/>
          <w:szCs w:val="20"/>
        </w:rPr>
        <w:t>the domestic violence provisions, is allowed.”</w:t>
      </w:r>
    </w:p>
    <w:p w:rsidR="00F61FE0" w:rsidRDefault="00F61FE0" w:rsidP="00F61FE0">
      <w:pPr>
        <w:pStyle w:val="ListParagraph"/>
        <w:ind w:left="1560"/>
        <w:contextualSpacing/>
        <w:jc w:val="both"/>
        <w:rPr>
          <w:rFonts w:ascii="Arial" w:hAnsi="Arial" w:cs="Arial"/>
        </w:rPr>
      </w:pPr>
    </w:p>
    <w:p w:rsidR="00F61FE0" w:rsidRDefault="00212BE4" w:rsidP="005E3A7B">
      <w:pPr>
        <w:pStyle w:val="ListParagraph"/>
        <w:numPr>
          <w:ilvl w:val="0"/>
          <w:numId w:val="28"/>
        </w:numPr>
        <w:contextualSpacing/>
        <w:jc w:val="both"/>
        <w:rPr>
          <w:rFonts w:ascii="Arial" w:hAnsi="Arial" w:cs="Arial"/>
        </w:rPr>
      </w:pPr>
      <w:r>
        <w:rPr>
          <w:rFonts w:ascii="Arial" w:hAnsi="Arial" w:cs="Arial"/>
        </w:rPr>
        <w:t xml:space="preserve">The Secretary of State sought and was granted permission </w:t>
      </w:r>
      <w:proofErr w:type="gramStart"/>
      <w:r>
        <w:rPr>
          <w:rFonts w:ascii="Arial" w:hAnsi="Arial" w:cs="Arial"/>
        </w:rPr>
        <w:t>on the</w:t>
      </w:r>
      <w:r w:rsidR="00F61FE0">
        <w:rPr>
          <w:rFonts w:ascii="Arial" w:hAnsi="Arial" w:cs="Arial"/>
        </w:rPr>
        <w:t xml:space="preserve"> </w:t>
      </w:r>
      <w:r>
        <w:rPr>
          <w:rFonts w:ascii="Arial" w:hAnsi="Arial" w:cs="Arial"/>
        </w:rPr>
        <w:t>grounds that</w:t>
      </w:r>
      <w:proofErr w:type="gramEnd"/>
      <w:r>
        <w:rPr>
          <w:rFonts w:ascii="Arial" w:hAnsi="Arial" w:cs="Arial"/>
        </w:rPr>
        <w:t xml:space="preserve"> it was arguable</w:t>
      </w:r>
      <w:r w:rsidR="0074511A">
        <w:rPr>
          <w:rFonts w:ascii="Arial" w:hAnsi="Arial" w:cs="Arial"/>
        </w:rPr>
        <w:t xml:space="preserve"> </w:t>
      </w:r>
      <w:r w:rsidR="00F61FE0">
        <w:rPr>
          <w:rFonts w:ascii="Arial" w:hAnsi="Arial" w:cs="Arial"/>
        </w:rPr>
        <w:t xml:space="preserve">that the judge erred in allowing the appeal on domestic </w:t>
      </w:r>
      <w:r w:rsidR="00F61FE0">
        <w:rPr>
          <w:rFonts w:ascii="Arial" w:hAnsi="Arial" w:cs="Arial"/>
        </w:rPr>
        <w:lastRenderedPageBreak/>
        <w:t>violence grounds when the appellant had not sought indefinite leave to remain on the grounds of domestic violence.</w:t>
      </w:r>
    </w:p>
    <w:p w:rsidR="00F61FE0" w:rsidRDefault="00F61FE0" w:rsidP="00F61FE0">
      <w:pPr>
        <w:pStyle w:val="ListParagraph"/>
        <w:ind w:left="1560"/>
        <w:contextualSpacing/>
        <w:jc w:val="both"/>
        <w:rPr>
          <w:rFonts w:ascii="Arial" w:hAnsi="Arial" w:cs="Arial"/>
        </w:rPr>
      </w:pPr>
    </w:p>
    <w:p w:rsidR="00F61FE0" w:rsidRDefault="00855D94" w:rsidP="005E3A7B">
      <w:pPr>
        <w:pStyle w:val="ListParagraph"/>
        <w:numPr>
          <w:ilvl w:val="0"/>
          <w:numId w:val="28"/>
        </w:numPr>
        <w:contextualSpacing/>
        <w:jc w:val="both"/>
        <w:rPr>
          <w:rFonts w:ascii="Arial" w:hAnsi="Arial" w:cs="Arial"/>
        </w:rPr>
      </w:pPr>
      <w:r>
        <w:rPr>
          <w:rFonts w:ascii="Arial" w:hAnsi="Arial" w:cs="Arial"/>
        </w:rPr>
        <w:t>The grounds relied upon by the S</w:t>
      </w:r>
      <w:r w:rsidR="00F61FE0">
        <w:rPr>
          <w:rFonts w:ascii="Arial" w:hAnsi="Arial" w:cs="Arial"/>
        </w:rPr>
        <w:t xml:space="preserve">ecretary of State do not take issue with the findings of the judge that </w:t>
      </w:r>
      <w:r w:rsidR="00193E17">
        <w:rPr>
          <w:rFonts w:ascii="Arial" w:hAnsi="Arial" w:cs="Arial"/>
        </w:rPr>
        <w:t>TOA</w:t>
      </w:r>
      <w:r w:rsidR="00F61FE0">
        <w:rPr>
          <w:rFonts w:ascii="Arial" w:hAnsi="Arial" w:cs="Arial"/>
        </w:rPr>
        <w:t xml:space="preserve"> has been the victim of domestic vio</w:t>
      </w:r>
      <w:r>
        <w:rPr>
          <w:rFonts w:ascii="Arial" w:hAnsi="Arial" w:cs="Arial"/>
        </w:rPr>
        <w:t>lence but rely on the fact that she did not apply for indefinite</w:t>
      </w:r>
      <w:r w:rsidR="0074511A">
        <w:rPr>
          <w:rFonts w:ascii="Arial" w:hAnsi="Arial" w:cs="Arial"/>
        </w:rPr>
        <w:t xml:space="preserve"> </w:t>
      </w:r>
      <w:r>
        <w:rPr>
          <w:rFonts w:ascii="Arial" w:hAnsi="Arial" w:cs="Arial"/>
        </w:rPr>
        <w:t>leave to remain as a victim of domestic violence.</w:t>
      </w:r>
      <w:r w:rsidR="0074511A">
        <w:rPr>
          <w:rFonts w:ascii="Arial" w:hAnsi="Arial" w:cs="Arial"/>
        </w:rPr>
        <w:t xml:space="preserve"> The grounds as pleaded do not recognise that </w:t>
      </w:r>
      <w:r w:rsidR="00193E17">
        <w:rPr>
          <w:rFonts w:ascii="Arial" w:hAnsi="Arial" w:cs="Arial"/>
        </w:rPr>
        <w:t>TOA</w:t>
      </w:r>
      <w:r w:rsidR="0074511A">
        <w:rPr>
          <w:rFonts w:ascii="Arial" w:hAnsi="Arial" w:cs="Arial"/>
        </w:rPr>
        <w:t xml:space="preserve"> made a human rights claim; that claim was refused and it was that which was before the First Tier Tribunal – not an appeal against a decision made under the Immigration Rules.</w:t>
      </w:r>
    </w:p>
    <w:p w:rsidR="0074511A" w:rsidRPr="0074511A" w:rsidRDefault="0074511A" w:rsidP="0074511A">
      <w:pPr>
        <w:pStyle w:val="ListParagraph"/>
        <w:rPr>
          <w:rFonts w:ascii="Arial" w:hAnsi="Arial" w:cs="Arial"/>
        </w:rPr>
      </w:pPr>
    </w:p>
    <w:p w:rsidR="0074511A" w:rsidRDefault="0074511A" w:rsidP="005E3A7B">
      <w:pPr>
        <w:pStyle w:val="ListParagraph"/>
        <w:numPr>
          <w:ilvl w:val="0"/>
          <w:numId w:val="28"/>
        </w:numPr>
        <w:contextualSpacing/>
        <w:jc w:val="both"/>
        <w:rPr>
          <w:rFonts w:ascii="Arial" w:hAnsi="Arial" w:cs="Arial"/>
        </w:rPr>
      </w:pPr>
      <w:r>
        <w:rPr>
          <w:rFonts w:ascii="Arial" w:hAnsi="Arial" w:cs="Arial"/>
        </w:rPr>
        <w:t xml:space="preserve">Whether a person meets the criteria in the Immigration Rules are factors that are </w:t>
      </w:r>
      <w:proofErr w:type="gramStart"/>
      <w:r>
        <w:rPr>
          <w:rFonts w:ascii="Arial" w:hAnsi="Arial" w:cs="Arial"/>
        </w:rPr>
        <w:t>taken into account</w:t>
      </w:r>
      <w:proofErr w:type="gramEnd"/>
      <w:r>
        <w:rPr>
          <w:rFonts w:ascii="Arial" w:hAnsi="Arial" w:cs="Arial"/>
        </w:rPr>
        <w:t xml:space="preserve"> in determining whether a decision on </w:t>
      </w:r>
      <w:r w:rsidR="009736C1">
        <w:rPr>
          <w:rFonts w:ascii="Arial" w:hAnsi="Arial" w:cs="Arial"/>
        </w:rPr>
        <w:t xml:space="preserve">a </w:t>
      </w:r>
      <w:r>
        <w:rPr>
          <w:rFonts w:ascii="Arial" w:hAnsi="Arial" w:cs="Arial"/>
        </w:rPr>
        <w:t>human rights</w:t>
      </w:r>
      <w:r w:rsidR="009736C1">
        <w:rPr>
          <w:rFonts w:ascii="Arial" w:hAnsi="Arial" w:cs="Arial"/>
        </w:rPr>
        <w:t xml:space="preserve"> claim is proportionate. In this case there is no challenge to the finding that </w:t>
      </w:r>
      <w:r w:rsidR="00193E17">
        <w:rPr>
          <w:rFonts w:ascii="Arial" w:hAnsi="Arial" w:cs="Arial"/>
        </w:rPr>
        <w:t>TOA</w:t>
      </w:r>
      <w:r w:rsidR="009736C1">
        <w:rPr>
          <w:rFonts w:ascii="Arial" w:hAnsi="Arial" w:cs="Arial"/>
        </w:rPr>
        <w:t xml:space="preserve"> meets the criteria set out in the Secretary of State’s guidance as to what constitutes domestic violence </w:t>
      </w:r>
      <w:r w:rsidR="00A13ECA">
        <w:rPr>
          <w:rFonts w:ascii="Arial" w:hAnsi="Arial" w:cs="Arial"/>
        </w:rPr>
        <w:t>to</w:t>
      </w:r>
      <w:r w:rsidR="009736C1">
        <w:rPr>
          <w:rFonts w:ascii="Arial" w:hAnsi="Arial" w:cs="Arial"/>
        </w:rPr>
        <w:t xml:space="preserve"> decid</w:t>
      </w:r>
      <w:r w:rsidR="00A13ECA">
        <w:rPr>
          <w:rFonts w:ascii="Arial" w:hAnsi="Arial" w:cs="Arial"/>
        </w:rPr>
        <w:t>e</w:t>
      </w:r>
      <w:r w:rsidR="009736C1">
        <w:rPr>
          <w:rFonts w:ascii="Arial" w:hAnsi="Arial" w:cs="Arial"/>
        </w:rPr>
        <w:t xml:space="preserve"> whether she meets the Rules. </w:t>
      </w:r>
      <w:r w:rsidR="00193E17">
        <w:rPr>
          <w:rFonts w:ascii="Arial" w:hAnsi="Arial" w:cs="Arial"/>
        </w:rPr>
        <w:t>TOA</w:t>
      </w:r>
      <w:r w:rsidR="009736C1">
        <w:rPr>
          <w:rFonts w:ascii="Arial" w:hAnsi="Arial" w:cs="Arial"/>
        </w:rPr>
        <w:t xml:space="preserve"> made an application for further leave to remain. It is not suggested that the application was not valid but rather that she did not complete the correct form. The failure to complete the correct form cannot reasonably be said to render </w:t>
      </w:r>
      <w:bookmarkStart w:id="0" w:name="_GoBack"/>
      <w:bookmarkEnd w:id="0"/>
      <w:r w:rsidR="009736C1">
        <w:rPr>
          <w:rFonts w:ascii="Arial" w:hAnsi="Arial" w:cs="Arial"/>
        </w:rPr>
        <w:t xml:space="preserve">a decision to refuse </w:t>
      </w:r>
      <w:proofErr w:type="gramStart"/>
      <w:r w:rsidR="009736C1">
        <w:rPr>
          <w:rFonts w:ascii="Arial" w:hAnsi="Arial" w:cs="Arial"/>
        </w:rPr>
        <w:t>a human rights</w:t>
      </w:r>
      <w:proofErr w:type="gramEnd"/>
      <w:r w:rsidR="009736C1">
        <w:rPr>
          <w:rFonts w:ascii="Arial" w:hAnsi="Arial" w:cs="Arial"/>
        </w:rPr>
        <w:t xml:space="preserve"> claim proportionate when all the other criteria are met</w:t>
      </w:r>
      <w:r w:rsidR="00A13ECA">
        <w:rPr>
          <w:rFonts w:ascii="Arial" w:hAnsi="Arial" w:cs="Arial"/>
        </w:rPr>
        <w:t>; it cannot render proportionate a decision that in all other respects is disproportionate</w:t>
      </w:r>
      <w:r w:rsidR="009736C1">
        <w:rPr>
          <w:rFonts w:ascii="Arial" w:hAnsi="Arial" w:cs="Arial"/>
        </w:rPr>
        <w:t>.</w:t>
      </w:r>
    </w:p>
    <w:p w:rsidR="009736C1" w:rsidRPr="009736C1" w:rsidRDefault="009736C1" w:rsidP="009736C1">
      <w:pPr>
        <w:pStyle w:val="ListParagraph"/>
        <w:rPr>
          <w:rFonts w:ascii="Arial" w:hAnsi="Arial" w:cs="Arial"/>
        </w:rPr>
      </w:pPr>
    </w:p>
    <w:p w:rsidR="008C450E" w:rsidRDefault="00457A64" w:rsidP="00457A64">
      <w:pPr>
        <w:pStyle w:val="ListParagraph"/>
        <w:numPr>
          <w:ilvl w:val="0"/>
          <w:numId w:val="28"/>
        </w:numPr>
        <w:contextualSpacing/>
        <w:jc w:val="both"/>
        <w:rPr>
          <w:rFonts w:ascii="Arial" w:hAnsi="Arial" w:cs="Arial"/>
        </w:rPr>
      </w:pPr>
      <w:r>
        <w:rPr>
          <w:rFonts w:ascii="Arial" w:hAnsi="Arial" w:cs="Arial"/>
        </w:rPr>
        <w:t xml:space="preserve">The First </w:t>
      </w:r>
      <w:proofErr w:type="gramStart"/>
      <w:r>
        <w:rPr>
          <w:rFonts w:ascii="Arial" w:hAnsi="Arial" w:cs="Arial"/>
        </w:rPr>
        <w:t>tier</w:t>
      </w:r>
      <w:proofErr w:type="gramEnd"/>
      <w:r>
        <w:rPr>
          <w:rFonts w:ascii="Arial" w:hAnsi="Arial" w:cs="Arial"/>
        </w:rPr>
        <w:t xml:space="preserve"> Tribunal judge phrased his Notice of Decision inaccurately but the findings were clear</w:t>
      </w:r>
      <w:r w:rsidR="008C450E">
        <w:rPr>
          <w:rFonts w:ascii="Arial" w:hAnsi="Arial" w:cs="Arial"/>
        </w:rPr>
        <w:t>. The appeal against the adverse human rights claim decision was plainly allowed on the basis that the decision was disproportionate because she meets the relevant domestic criteria.</w:t>
      </w:r>
    </w:p>
    <w:p w:rsidR="008C450E" w:rsidRPr="008C450E" w:rsidRDefault="008C450E" w:rsidP="008C450E">
      <w:pPr>
        <w:pStyle w:val="ListParagraph"/>
        <w:rPr>
          <w:rFonts w:ascii="Arial" w:hAnsi="Arial" w:cs="Arial"/>
        </w:rPr>
      </w:pPr>
    </w:p>
    <w:p w:rsidR="008C450E" w:rsidRDefault="008C450E" w:rsidP="00457A64">
      <w:pPr>
        <w:pStyle w:val="ListParagraph"/>
        <w:numPr>
          <w:ilvl w:val="0"/>
          <w:numId w:val="28"/>
        </w:numPr>
        <w:contextualSpacing/>
        <w:jc w:val="both"/>
        <w:rPr>
          <w:rFonts w:ascii="Arial" w:hAnsi="Arial" w:cs="Arial"/>
        </w:rPr>
      </w:pPr>
      <w:r>
        <w:rPr>
          <w:rFonts w:ascii="Arial" w:hAnsi="Arial" w:cs="Arial"/>
        </w:rPr>
        <w:t xml:space="preserve">There is no material error of law by the First </w:t>
      </w:r>
      <w:proofErr w:type="gramStart"/>
      <w:r>
        <w:rPr>
          <w:rFonts w:ascii="Arial" w:hAnsi="Arial" w:cs="Arial"/>
        </w:rPr>
        <w:t>tier</w:t>
      </w:r>
      <w:proofErr w:type="gramEnd"/>
      <w:r>
        <w:rPr>
          <w:rFonts w:ascii="Arial" w:hAnsi="Arial" w:cs="Arial"/>
        </w:rPr>
        <w:t xml:space="preserve"> Tribunal Judge.</w:t>
      </w:r>
    </w:p>
    <w:p w:rsidR="008C450E" w:rsidRPr="008C450E" w:rsidRDefault="008C450E" w:rsidP="008C450E">
      <w:pPr>
        <w:pStyle w:val="ListParagraph"/>
        <w:rPr>
          <w:rFonts w:ascii="Arial" w:hAnsi="Arial" w:cs="Arial"/>
        </w:rPr>
      </w:pPr>
    </w:p>
    <w:p w:rsidR="00173FCC" w:rsidRDefault="008C450E" w:rsidP="008C450E">
      <w:pPr>
        <w:pStyle w:val="ListParagraph"/>
        <w:numPr>
          <w:ilvl w:val="0"/>
          <w:numId w:val="28"/>
        </w:numPr>
        <w:contextualSpacing/>
        <w:jc w:val="both"/>
        <w:rPr>
          <w:rFonts w:ascii="Arial" w:hAnsi="Arial" w:cs="Arial"/>
        </w:rPr>
      </w:pPr>
      <w:r>
        <w:rPr>
          <w:rFonts w:ascii="Arial" w:hAnsi="Arial" w:cs="Arial"/>
        </w:rPr>
        <w:t xml:space="preserve">I dismiss the Secretary of State’s appeal. The decision of the First </w:t>
      </w:r>
      <w:proofErr w:type="gramStart"/>
      <w:r>
        <w:rPr>
          <w:rFonts w:ascii="Arial" w:hAnsi="Arial" w:cs="Arial"/>
        </w:rPr>
        <w:t>tier</w:t>
      </w:r>
      <w:proofErr w:type="gramEnd"/>
      <w:r>
        <w:rPr>
          <w:rFonts w:ascii="Arial" w:hAnsi="Arial" w:cs="Arial"/>
        </w:rPr>
        <w:t xml:space="preserve"> Tribunal stands.</w:t>
      </w:r>
    </w:p>
    <w:p w:rsidR="00173FCC" w:rsidRPr="00173FCC" w:rsidRDefault="00173FCC" w:rsidP="00173FCC">
      <w:pPr>
        <w:pStyle w:val="ListParagraph"/>
        <w:rPr>
          <w:rFonts w:ascii="Arial" w:hAnsi="Arial" w:cs="Arial"/>
        </w:rPr>
      </w:pPr>
    </w:p>
    <w:p w:rsidR="00423156" w:rsidRPr="008578D0" w:rsidRDefault="00423156" w:rsidP="00173FCC">
      <w:pPr>
        <w:pStyle w:val="ListParagraph"/>
        <w:ind w:left="1560"/>
        <w:contextualSpacing/>
        <w:jc w:val="both"/>
        <w:rPr>
          <w:rFonts w:ascii="Arial" w:hAnsi="Arial" w:cs="Arial"/>
        </w:rPr>
      </w:pPr>
    </w:p>
    <w:p w:rsidR="001F2716" w:rsidRPr="008578D0" w:rsidRDefault="00780F86" w:rsidP="00ED036F">
      <w:pPr>
        <w:ind w:left="1079" w:hanging="539"/>
        <w:rPr>
          <w:rFonts w:ascii="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008578D0">
        <w:rPr>
          <w:rFonts w:ascii="Arial" w:hAnsi="Arial" w:cs="Arial"/>
        </w:rPr>
        <w:t>Date</w:t>
      </w:r>
      <w:r w:rsidR="002E575D" w:rsidRPr="008578D0">
        <w:rPr>
          <w:rFonts w:ascii="Arial" w:hAnsi="Arial" w:cs="Arial"/>
        </w:rPr>
        <w:t xml:space="preserve"> </w:t>
      </w:r>
      <w:r w:rsidR="00E74408">
        <w:rPr>
          <w:rFonts w:ascii="Arial" w:hAnsi="Arial" w:cs="Arial"/>
        </w:rPr>
        <w:t>30</w:t>
      </w:r>
      <w:r w:rsidR="00E74408" w:rsidRPr="00E74408">
        <w:rPr>
          <w:rFonts w:ascii="Arial" w:hAnsi="Arial" w:cs="Arial"/>
          <w:vertAlign w:val="superscript"/>
        </w:rPr>
        <w:t>th</w:t>
      </w:r>
      <w:r w:rsidR="00E74408">
        <w:rPr>
          <w:rFonts w:ascii="Arial" w:hAnsi="Arial" w:cs="Arial"/>
        </w:rPr>
        <w:t xml:space="preserve"> May 2018</w:t>
      </w:r>
    </w:p>
    <w:p w:rsidR="00423156" w:rsidRDefault="00173FCC" w:rsidP="00B55768">
      <w:pPr>
        <w:tabs>
          <w:tab w:val="left" w:pos="2520"/>
        </w:tabs>
        <w:rPr>
          <w:rFonts w:ascii="Arial" w:hAnsi="Arial" w:cs="Arial"/>
          <w:color w:val="000000"/>
        </w:rPr>
      </w:pPr>
      <w:r>
        <w:rPr>
          <w:rFonts w:ascii="Arial" w:hAnsi="Arial" w:cs="Arial"/>
          <w:color w:val="000000"/>
        </w:rPr>
        <w:tab/>
      </w:r>
      <w:r w:rsidR="00082D15">
        <w:rPr>
          <w:rFonts w:ascii="Arial" w:hAnsi="Arial" w:cs="Arial"/>
          <w:noProof/>
          <w:color w:val="000000"/>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rsidR="00B95326" w:rsidRPr="008578D0" w:rsidRDefault="00173FCC" w:rsidP="00B55768">
      <w:pPr>
        <w:tabs>
          <w:tab w:val="left" w:pos="2520"/>
        </w:tabs>
        <w:rPr>
          <w:rFonts w:ascii="Arial" w:hAnsi="Arial" w:cs="Arial"/>
          <w:color w:val="000000"/>
        </w:rPr>
      </w:pPr>
      <w:r>
        <w:rPr>
          <w:rFonts w:ascii="Arial" w:hAnsi="Arial" w:cs="Arial"/>
          <w:color w:val="000000"/>
        </w:rPr>
        <w:tab/>
      </w:r>
      <w:r w:rsidR="00EB45D2" w:rsidRPr="008578D0">
        <w:rPr>
          <w:rFonts w:ascii="Arial" w:hAnsi="Arial" w:cs="Arial"/>
          <w:color w:val="000000"/>
        </w:rPr>
        <w:t xml:space="preserve">Upper Tribunal </w:t>
      </w:r>
      <w:r w:rsidR="009D055C" w:rsidRPr="008578D0">
        <w:rPr>
          <w:rFonts w:ascii="Arial" w:hAnsi="Arial" w:cs="Arial"/>
          <w:color w:val="000000"/>
        </w:rPr>
        <w:t xml:space="preserve">Judge </w:t>
      </w:r>
      <w:r w:rsidR="00630C34" w:rsidRPr="008578D0">
        <w:rPr>
          <w:rFonts w:ascii="Arial" w:hAnsi="Arial" w:cs="Arial"/>
          <w:color w:val="000000"/>
        </w:rPr>
        <w:t>Coker</w:t>
      </w:r>
    </w:p>
    <w:sectPr w:rsidR="00B95326" w:rsidRPr="008578D0" w:rsidSect="00C713E2">
      <w:headerReference w:type="default" r:id="rId10"/>
      <w:footerReference w:type="defaul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268" w:rsidRDefault="00814268">
      <w:r>
        <w:separator/>
      </w:r>
    </w:p>
  </w:endnote>
  <w:endnote w:type="continuationSeparator" w:id="0">
    <w:p w:rsidR="00814268" w:rsidRDefault="0081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C713E2" w:rsidRDefault="001F6F7E" w:rsidP="00593795">
    <w:pPr>
      <w:pStyle w:val="Footer"/>
      <w:jc w:val="center"/>
      <w:rPr>
        <w:rFonts w:ascii="Arial" w:hAnsi="Arial" w:cs="Arial"/>
      </w:rPr>
    </w:pPr>
    <w:r w:rsidRPr="00C713E2">
      <w:rPr>
        <w:rStyle w:val="PageNumber"/>
        <w:rFonts w:ascii="Arial" w:hAnsi="Arial" w:cs="Arial"/>
      </w:rPr>
      <w:fldChar w:fldCharType="begin"/>
    </w:r>
    <w:r w:rsidRPr="00C713E2">
      <w:rPr>
        <w:rStyle w:val="PageNumber"/>
        <w:rFonts w:ascii="Arial" w:hAnsi="Arial" w:cs="Arial"/>
      </w:rPr>
      <w:instrText xml:space="preserve"> PAGE </w:instrText>
    </w:r>
    <w:r w:rsidRPr="00C713E2">
      <w:rPr>
        <w:rStyle w:val="PageNumber"/>
        <w:rFonts w:ascii="Arial" w:hAnsi="Arial" w:cs="Arial"/>
      </w:rPr>
      <w:fldChar w:fldCharType="separate"/>
    </w:r>
    <w:r w:rsidR="00C46B15">
      <w:rPr>
        <w:rStyle w:val="PageNumber"/>
        <w:rFonts w:ascii="Arial" w:hAnsi="Arial" w:cs="Arial"/>
        <w:noProof/>
      </w:rPr>
      <w:t>2</w:t>
    </w:r>
    <w:r w:rsidRPr="00C713E2">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206D4B">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268" w:rsidRDefault="00814268">
      <w:r>
        <w:separator/>
      </w:r>
    </w:p>
  </w:footnote>
  <w:footnote w:type="continuationSeparator" w:id="0">
    <w:p w:rsidR="00814268" w:rsidRDefault="00814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Default="001F6F7E" w:rsidP="00593795">
    <w:pPr>
      <w:pStyle w:val="Header"/>
      <w:jc w:val="right"/>
      <w:rPr>
        <w:rFonts w:ascii="Arial" w:hAnsi="Arial" w:cs="Arial"/>
        <w:sz w:val="16"/>
        <w:szCs w:val="16"/>
      </w:rPr>
    </w:pPr>
    <w:r>
      <w:rPr>
        <w:rFonts w:ascii="Arial" w:hAnsi="Arial" w:cs="Arial"/>
        <w:sz w:val="16"/>
        <w:szCs w:val="16"/>
      </w:rPr>
      <w:t>Appeal Number:</w:t>
    </w:r>
    <w:r w:rsidR="00D463AA">
      <w:rPr>
        <w:rFonts w:ascii="Arial" w:hAnsi="Arial" w:cs="Arial"/>
        <w:sz w:val="16"/>
        <w:szCs w:val="16"/>
      </w:rPr>
      <w:t xml:space="preserve"> </w:t>
    </w:r>
    <w:r w:rsidR="00B271FA">
      <w:rPr>
        <w:rFonts w:ascii="Arial" w:hAnsi="Arial" w:cs="Arial"/>
        <w:sz w:val="16"/>
        <w:szCs w:val="16"/>
      </w:rPr>
      <w:t>HU/</w:t>
    </w:r>
    <w:r w:rsidR="0074511A">
      <w:rPr>
        <w:rFonts w:ascii="Arial" w:hAnsi="Arial" w:cs="Arial"/>
        <w:sz w:val="16"/>
        <w:szCs w:val="16"/>
      </w:rPr>
      <w:t>16327/2016</w:t>
    </w:r>
    <w:r>
      <w:rPr>
        <w:rFonts w:ascii="Arial" w:hAnsi="Arial" w:cs="Arial"/>
        <w:sz w:val="16"/>
        <w:szCs w:val="16"/>
      </w:rPr>
      <w:t xml:space="preserve"> </w:t>
    </w:r>
  </w:p>
  <w:p w:rsidR="00C713E2" w:rsidRPr="003C5CE5" w:rsidRDefault="00C713E2"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65C4454"/>
    <w:multiLevelType w:val="hybridMultilevel"/>
    <w:tmpl w:val="8C4A9BF2"/>
    <w:lvl w:ilvl="0" w:tplc="ACF23696">
      <w:start w:val="1"/>
      <w:numFmt w:val="decimal"/>
      <w:lvlText w:val="%1."/>
      <w:lvlJc w:val="left"/>
      <w:pPr>
        <w:ind w:left="2265" w:hanging="705"/>
      </w:pPr>
      <w:rPr>
        <w:rFonts w:hint="default"/>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81E593A"/>
    <w:multiLevelType w:val="hybridMultilevel"/>
    <w:tmpl w:val="CCDC9F84"/>
    <w:lvl w:ilvl="0" w:tplc="D8CEEF16">
      <w:start w:val="1"/>
      <w:numFmt w:val="decimal"/>
      <w:lvlText w:val="%1."/>
      <w:lvlJc w:val="left"/>
      <w:pPr>
        <w:tabs>
          <w:tab w:val="num" w:pos="1560"/>
        </w:tabs>
        <w:ind w:left="1560" w:hanging="570"/>
      </w:pPr>
      <w:rPr>
        <w:rFonts w:hint="default"/>
      </w:r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7"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5"/>
  </w:num>
  <w:num w:numId="2">
    <w:abstractNumId w:val="15"/>
  </w:num>
  <w:num w:numId="3">
    <w:abstractNumId w:val="2"/>
  </w:num>
  <w:num w:numId="4">
    <w:abstractNumId w:val="11"/>
  </w:num>
  <w:num w:numId="5">
    <w:abstractNumId w:val="22"/>
  </w:num>
  <w:num w:numId="6">
    <w:abstractNumId w:val="25"/>
  </w:num>
  <w:num w:numId="7">
    <w:abstractNumId w:val="23"/>
  </w:num>
  <w:num w:numId="8">
    <w:abstractNumId w:val="27"/>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7"/>
  </w:num>
  <w:num w:numId="19">
    <w:abstractNumId w:val="13"/>
  </w:num>
  <w:num w:numId="20">
    <w:abstractNumId w:val="3"/>
  </w:num>
  <w:num w:numId="21">
    <w:abstractNumId w:val="24"/>
  </w:num>
  <w:num w:numId="22">
    <w:abstractNumId w:val="4"/>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33D3D"/>
    <w:rsid w:val="00036813"/>
    <w:rsid w:val="00051C2D"/>
    <w:rsid w:val="00062F02"/>
    <w:rsid w:val="000645AE"/>
    <w:rsid w:val="00071A7E"/>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165A7"/>
    <w:rsid w:val="00120B85"/>
    <w:rsid w:val="00126036"/>
    <w:rsid w:val="00152C19"/>
    <w:rsid w:val="00165516"/>
    <w:rsid w:val="00167D3A"/>
    <w:rsid w:val="00171775"/>
    <w:rsid w:val="00172D1A"/>
    <w:rsid w:val="00173551"/>
    <w:rsid w:val="00173FCC"/>
    <w:rsid w:val="00181749"/>
    <w:rsid w:val="00186868"/>
    <w:rsid w:val="00190848"/>
    <w:rsid w:val="00193E17"/>
    <w:rsid w:val="001A3082"/>
    <w:rsid w:val="001B186A"/>
    <w:rsid w:val="001B2F75"/>
    <w:rsid w:val="001C715E"/>
    <w:rsid w:val="001D14B9"/>
    <w:rsid w:val="001D3CBB"/>
    <w:rsid w:val="001E0E74"/>
    <w:rsid w:val="001F2716"/>
    <w:rsid w:val="001F4A9C"/>
    <w:rsid w:val="001F6F7E"/>
    <w:rsid w:val="00206D4B"/>
    <w:rsid w:val="00207617"/>
    <w:rsid w:val="0021104D"/>
    <w:rsid w:val="00212BE4"/>
    <w:rsid w:val="00212C9C"/>
    <w:rsid w:val="0023134B"/>
    <w:rsid w:val="00232618"/>
    <w:rsid w:val="00232E7A"/>
    <w:rsid w:val="00233CF5"/>
    <w:rsid w:val="00242BC1"/>
    <w:rsid w:val="00247922"/>
    <w:rsid w:val="00267DEE"/>
    <w:rsid w:val="0027048E"/>
    <w:rsid w:val="00270844"/>
    <w:rsid w:val="00270E13"/>
    <w:rsid w:val="00271186"/>
    <w:rsid w:val="00273160"/>
    <w:rsid w:val="002774EE"/>
    <w:rsid w:val="002814F4"/>
    <w:rsid w:val="00283659"/>
    <w:rsid w:val="00290C6F"/>
    <w:rsid w:val="0029603D"/>
    <w:rsid w:val="00296D48"/>
    <w:rsid w:val="002A224B"/>
    <w:rsid w:val="002A67C1"/>
    <w:rsid w:val="002B6EE0"/>
    <w:rsid w:val="002C6BD4"/>
    <w:rsid w:val="002D3F52"/>
    <w:rsid w:val="002D68BF"/>
    <w:rsid w:val="002D6D9A"/>
    <w:rsid w:val="002E151A"/>
    <w:rsid w:val="002E575D"/>
    <w:rsid w:val="002F12D1"/>
    <w:rsid w:val="002F2F63"/>
    <w:rsid w:val="002F5398"/>
    <w:rsid w:val="002F6B98"/>
    <w:rsid w:val="003161B0"/>
    <w:rsid w:val="00322A5E"/>
    <w:rsid w:val="00336CBF"/>
    <w:rsid w:val="00342F01"/>
    <w:rsid w:val="00343FE3"/>
    <w:rsid w:val="003509D4"/>
    <w:rsid w:val="003546C8"/>
    <w:rsid w:val="00354DD7"/>
    <w:rsid w:val="003645CD"/>
    <w:rsid w:val="00365573"/>
    <w:rsid w:val="00373539"/>
    <w:rsid w:val="00381CAE"/>
    <w:rsid w:val="00386793"/>
    <w:rsid w:val="00394820"/>
    <w:rsid w:val="003A3EB7"/>
    <w:rsid w:val="003A7CF2"/>
    <w:rsid w:val="003C0E80"/>
    <w:rsid w:val="003C5CE5"/>
    <w:rsid w:val="003C5D94"/>
    <w:rsid w:val="003D61E4"/>
    <w:rsid w:val="003E1F16"/>
    <w:rsid w:val="003E260A"/>
    <w:rsid w:val="003E267B"/>
    <w:rsid w:val="003E7CD1"/>
    <w:rsid w:val="004024BC"/>
    <w:rsid w:val="0040281D"/>
    <w:rsid w:val="00402B9E"/>
    <w:rsid w:val="00406F0F"/>
    <w:rsid w:val="004106DE"/>
    <w:rsid w:val="00415F05"/>
    <w:rsid w:val="00422F82"/>
    <w:rsid w:val="00423156"/>
    <w:rsid w:val="004249CB"/>
    <w:rsid w:val="0043425E"/>
    <w:rsid w:val="00434AA5"/>
    <w:rsid w:val="0044127D"/>
    <w:rsid w:val="004448DB"/>
    <w:rsid w:val="00446C9A"/>
    <w:rsid w:val="00452EA8"/>
    <w:rsid w:val="00452F2B"/>
    <w:rsid w:val="00457A64"/>
    <w:rsid w:val="004751B6"/>
    <w:rsid w:val="00477193"/>
    <w:rsid w:val="0048742E"/>
    <w:rsid w:val="004A0BEA"/>
    <w:rsid w:val="004A1848"/>
    <w:rsid w:val="004A6F4A"/>
    <w:rsid w:val="004B1D2E"/>
    <w:rsid w:val="004C773C"/>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2348"/>
    <w:rsid w:val="005656DF"/>
    <w:rsid w:val="00570EF1"/>
    <w:rsid w:val="0057323B"/>
    <w:rsid w:val="005750C2"/>
    <w:rsid w:val="0057790C"/>
    <w:rsid w:val="00593795"/>
    <w:rsid w:val="00593821"/>
    <w:rsid w:val="005965E5"/>
    <w:rsid w:val="005966DA"/>
    <w:rsid w:val="005A0343"/>
    <w:rsid w:val="005A4B7C"/>
    <w:rsid w:val="005A549B"/>
    <w:rsid w:val="005A75FF"/>
    <w:rsid w:val="005B0A90"/>
    <w:rsid w:val="005D10AB"/>
    <w:rsid w:val="005E3A7B"/>
    <w:rsid w:val="005E52F3"/>
    <w:rsid w:val="005F0ED1"/>
    <w:rsid w:val="005F484F"/>
    <w:rsid w:val="0060112E"/>
    <w:rsid w:val="00601D8F"/>
    <w:rsid w:val="0060237D"/>
    <w:rsid w:val="006061F8"/>
    <w:rsid w:val="00611276"/>
    <w:rsid w:val="00624F1A"/>
    <w:rsid w:val="0062579D"/>
    <w:rsid w:val="00630C34"/>
    <w:rsid w:val="00633D25"/>
    <w:rsid w:val="00645E92"/>
    <w:rsid w:val="00653E97"/>
    <w:rsid w:val="006664A5"/>
    <w:rsid w:val="00673E8F"/>
    <w:rsid w:val="00680319"/>
    <w:rsid w:val="00682039"/>
    <w:rsid w:val="00683EEF"/>
    <w:rsid w:val="00684A74"/>
    <w:rsid w:val="00690B8A"/>
    <w:rsid w:val="006A345A"/>
    <w:rsid w:val="006A405B"/>
    <w:rsid w:val="006B0197"/>
    <w:rsid w:val="006B1AB5"/>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243EE"/>
    <w:rsid w:val="00727743"/>
    <w:rsid w:val="007334B3"/>
    <w:rsid w:val="00734672"/>
    <w:rsid w:val="0074320E"/>
    <w:rsid w:val="0074511A"/>
    <w:rsid w:val="007552A9"/>
    <w:rsid w:val="007601F3"/>
    <w:rsid w:val="00761858"/>
    <w:rsid w:val="007656C6"/>
    <w:rsid w:val="00767D59"/>
    <w:rsid w:val="0077393E"/>
    <w:rsid w:val="00776E97"/>
    <w:rsid w:val="00780F86"/>
    <w:rsid w:val="00782743"/>
    <w:rsid w:val="00784D03"/>
    <w:rsid w:val="007912AD"/>
    <w:rsid w:val="007937AD"/>
    <w:rsid w:val="00796712"/>
    <w:rsid w:val="007A1D0C"/>
    <w:rsid w:val="007A7B35"/>
    <w:rsid w:val="007B0824"/>
    <w:rsid w:val="007B5D3C"/>
    <w:rsid w:val="007B7552"/>
    <w:rsid w:val="007D6EAB"/>
    <w:rsid w:val="007E37AC"/>
    <w:rsid w:val="007F665C"/>
    <w:rsid w:val="00800360"/>
    <w:rsid w:val="00813C29"/>
    <w:rsid w:val="00814268"/>
    <w:rsid w:val="00815082"/>
    <w:rsid w:val="00820E54"/>
    <w:rsid w:val="00821B72"/>
    <w:rsid w:val="008226DD"/>
    <w:rsid w:val="00823EF2"/>
    <w:rsid w:val="00825109"/>
    <w:rsid w:val="008303B8"/>
    <w:rsid w:val="00833DCE"/>
    <w:rsid w:val="00844156"/>
    <w:rsid w:val="00846BE3"/>
    <w:rsid w:val="00846D61"/>
    <w:rsid w:val="0085282C"/>
    <w:rsid w:val="00852DCE"/>
    <w:rsid w:val="00852F5A"/>
    <w:rsid w:val="00855D94"/>
    <w:rsid w:val="008578D0"/>
    <w:rsid w:val="00861DFF"/>
    <w:rsid w:val="00870267"/>
    <w:rsid w:val="00871D34"/>
    <w:rsid w:val="00874C7E"/>
    <w:rsid w:val="008825F7"/>
    <w:rsid w:val="0088430A"/>
    <w:rsid w:val="00894951"/>
    <w:rsid w:val="00895F9E"/>
    <w:rsid w:val="008A37E3"/>
    <w:rsid w:val="008B270C"/>
    <w:rsid w:val="008B5078"/>
    <w:rsid w:val="008C3D3D"/>
    <w:rsid w:val="008C450E"/>
    <w:rsid w:val="008C71A2"/>
    <w:rsid w:val="008D0620"/>
    <w:rsid w:val="008D382E"/>
    <w:rsid w:val="008D4131"/>
    <w:rsid w:val="008F1932"/>
    <w:rsid w:val="008F1E92"/>
    <w:rsid w:val="00900688"/>
    <w:rsid w:val="00903C06"/>
    <w:rsid w:val="009162E8"/>
    <w:rsid w:val="009164EF"/>
    <w:rsid w:val="00921062"/>
    <w:rsid w:val="00924E18"/>
    <w:rsid w:val="00925AB2"/>
    <w:rsid w:val="009722BC"/>
    <w:rsid w:val="0097235D"/>
    <w:rsid w:val="009727A3"/>
    <w:rsid w:val="009736C1"/>
    <w:rsid w:val="0097577A"/>
    <w:rsid w:val="00977E5A"/>
    <w:rsid w:val="009873DD"/>
    <w:rsid w:val="00987774"/>
    <w:rsid w:val="00990CF3"/>
    <w:rsid w:val="00992C74"/>
    <w:rsid w:val="009A0F09"/>
    <w:rsid w:val="009A11E8"/>
    <w:rsid w:val="009A2B75"/>
    <w:rsid w:val="009C2408"/>
    <w:rsid w:val="009C35BD"/>
    <w:rsid w:val="009C40B8"/>
    <w:rsid w:val="009C6CC6"/>
    <w:rsid w:val="009D055C"/>
    <w:rsid w:val="009F5220"/>
    <w:rsid w:val="009F526C"/>
    <w:rsid w:val="009F637C"/>
    <w:rsid w:val="00A13ECA"/>
    <w:rsid w:val="00A15234"/>
    <w:rsid w:val="00A201AB"/>
    <w:rsid w:val="00A27297"/>
    <w:rsid w:val="00A31C8B"/>
    <w:rsid w:val="00A343D8"/>
    <w:rsid w:val="00A35CFC"/>
    <w:rsid w:val="00A47A96"/>
    <w:rsid w:val="00A509FA"/>
    <w:rsid w:val="00A5238A"/>
    <w:rsid w:val="00A5334F"/>
    <w:rsid w:val="00A567F1"/>
    <w:rsid w:val="00A719B9"/>
    <w:rsid w:val="00A845DC"/>
    <w:rsid w:val="00A905CD"/>
    <w:rsid w:val="00A91607"/>
    <w:rsid w:val="00A91E1E"/>
    <w:rsid w:val="00AA7A2D"/>
    <w:rsid w:val="00AB0287"/>
    <w:rsid w:val="00AB15C9"/>
    <w:rsid w:val="00AB6C32"/>
    <w:rsid w:val="00AC664C"/>
    <w:rsid w:val="00AC6A9F"/>
    <w:rsid w:val="00AD27F4"/>
    <w:rsid w:val="00AE1907"/>
    <w:rsid w:val="00AF39EB"/>
    <w:rsid w:val="00B0097A"/>
    <w:rsid w:val="00B03496"/>
    <w:rsid w:val="00B03A37"/>
    <w:rsid w:val="00B10A9C"/>
    <w:rsid w:val="00B11FCD"/>
    <w:rsid w:val="00B26AA2"/>
    <w:rsid w:val="00B271FA"/>
    <w:rsid w:val="00B27DFE"/>
    <w:rsid w:val="00B300CE"/>
    <w:rsid w:val="00B3524D"/>
    <w:rsid w:val="00B37AC9"/>
    <w:rsid w:val="00B40F69"/>
    <w:rsid w:val="00B434A7"/>
    <w:rsid w:val="00B46616"/>
    <w:rsid w:val="00B55768"/>
    <w:rsid w:val="00B564F9"/>
    <w:rsid w:val="00B574ED"/>
    <w:rsid w:val="00B64A78"/>
    <w:rsid w:val="00B668D8"/>
    <w:rsid w:val="00B7040A"/>
    <w:rsid w:val="00B71BF5"/>
    <w:rsid w:val="00B83391"/>
    <w:rsid w:val="00B866FB"/>
    <w:rsid w:val="00B9038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2D9F"/>
    <w:rsid w:val="00C25725"/>
    <w:rsid w:val="00C26032"/>
    <w:rsid w:val="00C345E1"/>
    <w:rsid w:val="00C43BFD"/>
    <w:rsid w:val="00C46B15"/>
    <w:rsid w:val="00C46F62"/>
    <w:rsid w:val="00C640A8"/>
    <w:rsid w:val="00C64A47"/>
    <w:rsid w:val="00C713E2"/>
    <w:rsid w:val="00C7704B"/>
    <w:rsid w:val="00C81167"/>
    <w:rsid w:val="00C865C1"/>
    <w:rsid w:val="00C951B1"/>
    <w:rsid w:val="00C95BBD"/>
    <w:rsid w:val="00CA107F"/>
    <w:rsid w:val="00CA10A1"/>
    <w:rsid w:val="00CA1344"/>
    <w:rsid w:val="00CA5CE4"/>
    <w:rsid w:val="00CB6E35"/>
    <w:rsid w:val="00CC3A26"/>
    <w:rsid w:val="00CC6AB3"/>
    <w:rsid w:val="00CD4490"/>
    <w:rsid w:val="00CE1A46"/>
    <w:rsid w:val="00CE465E"/>
    <w:rsid w:val="00CF14D4"/>
    <w:rsid w:val="00D105F2"/>
    <w:rsid w:val="00D20757"/>
    <w:rsid w:val="00D20AA6"/>
    <w:rsid w:val="00D21B5D"/>
    <w:rsid w:val="00D22636"/>
    <w:rsid w:val="00D273A7"/>
    <w:rsid w:val="00D31443"/>
    <w:rsid w:val="00D3621D"/>
    <w:rsid w:val="00D40FD9"/>
    <w:rsid w:val="00D463AA"/>
    <w:rsid w:val="00D46C41"/>
    <w:rsid w:val="00D472E1"/>
    <w:rsid w:val="00D47597"/>
    <w:rsid w:val="00D53769"/>
    <w:rsid w:val="00D70B67"/>
    <w:rsid w:val="00D8561E"/>
    <w:rsid w:val="00D85C13"/>
    <w:rsid w:val="00D86F3A"/>
    <w:rsid w:val="00D9111A"/>
    <w:rsid w:val="00D91BE3"/>
    <w:rsid w:val="00D9326A"/>
    <w:rsid w:val="00D94AFC"/>
    <w:rsid w:val="00DA4D91"/>
    <w:rsid w:val="00DB70AE"/>
    <w:rsid w:val="00DC6C25"/>
    <w:rsid w:val="00DD19E4"/>
    <w:rsid w:val="00DD4872"/>
    <w:rsid w:val="00DD5071"/>
    <w:rsid w:val="00DD5ADB"/>
    <w:rsid w:val="00DD5C39"/>
    <w:rsid w:val="00DD7829"/>
    <w:rsid w:val="00DE6C66"/>
    <w:rsid w:val="00DE7DB7"/>
    <w:rsid w:val="00E00A0A"/>
    <w:rsid w:val="00E066DE"/>
    <w:rsid w:val="00E07F57"/>
    <w:rsid w:val="00E13F63"/>
    <w:rsid w:val="00E13FE0"/>
    <w:rsid w:val="00E30683"/>
    <w:rsid w:val="00E453D8"/>
    <w:rsid w:val="00E50BCE"/>
    <w:rsid w:val="00E574BF"/>
    <w:rsid w:val="00E61292"/>
    <w:rsid w:val="00E74408"/>
    <w:rsid w:val="00E77C4D"/>
    <w:rsid w:val="00E80AD9"/>
    <w:rsid w:val="00E81D01"/>
    <w:rsid w:val="00E83C14"/>
    <w:rsid w:val="00E92383"/>
    <w:rsid w:val="00EB2144"/>
    <w:rsid w:val="00EB45D2"/>
    <w:rsid w:val="00ED036F"/>
    <w:rsid w:val="00EE1FA1"/>
    <w:rsid w:val="00EE45D8"/>
    <w:rsid w:val="00EF0787"/>
    <w:rsid w:val="00EF49C7"/>
    <w:rsid w:val="00EF5E91"/>
    <w:rsid w:val="00F052AB"/>
    <w:rsid w:val="00F10DE1"/>
    <w:rsid w:val="00F12BB0"/>
    <w:rsid w:val="00F22AA0"/>
    <w:rsid w:val="00F22EDA"/>
    <w:rsid w:val="00F313E3"/>
    <w:rsid w:val="00F52CE2"/>
    <w:rsid w:val="00F563B2"/>
    <w:rsid w:val="00F61FE0"/>
    <w:rsid w:val="00F71D8B"/>
    <w:rsid w:val="00F734A7"/>
    <w:rsid w:val="00F829C0"/>
    <w:rsid w:val="00F86938"/>
    <w:rsid w:val="00F902FD"/>
    <w:rsid w:val="00F9560A"/>
    <w:rsid w:val="00F97703"/>
    <w:rsid w:val="00FA0071"/>
    <w:rsid w:val="00FA77E1"/>
    <w:rsid w:val="00FA7A30"/>
    <w:rsid w:val="00FB1A36"/>
    <w:rsid w:val="00FC20F8"/>
    <w:rsid w:val="00FD50E5"/>
    <w:rsid w:val="00FE06E1"/>
    <w:rsid w:val="00FF2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3B14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596D-0C1D-4B96-8948-40F9945C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2679</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2018-06-22T10:37:00Z</dcterms:created>
  <dcterms:modified xsi:type="dcterms:W3CDTF">2018-06-22T10:37:00Z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