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91986" w:rsidP="00C321B5">
      <w:pPr>
        <w:jc w:val="center"/>
        <w:rPr>
          <w:rFonts w:ascii="Book Antiqua" w:hAnsi="Book Antiqua" w:cs="Arial"/>
          <w:sz w:val="16"/>
          <w:szCs w:val="16"/>
        </w:rPr>
      </w:pPr>
      <w:r w:rsidRPr="005118DB">
        <w:rPr>
          <w:noProof/>
          <w:lang w:val="en-US" w:eastAsia="en-US"/>
        </w:rPr>
        <w:drawing>
          <wp:inline distT="0" distB="0" distL="0" distR="0">
            <wp:extent cx="1184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C74988"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74988">
        <w:rPr>
          <w:rFonts w:ascii="Book Antiqua" w:hAnsi="Book Antiqua" w:cs="Arial"/>
          <w:b/>
        </w:rPr>
        <w:t xml:space="preserve">   </w:t>
      </w:r>
      <w:proofErr w:type="gramEnd"/>
      <w:r w:rsidR="00C74988">
        <w:rPr>
          <w:rFonts w:ascii="Book Antiqua" w:hAnsi="Book Antiqua" w:cs="Arial"/>
          <w:b/>
        </w:rPr>
        <w:t xml:space="preserve">                  </w:t>
      </w:r>
      <w:r w:rsidR="00B3524D" w:rsidRPr="00C74988">
        <w:rPr>
          <w:rFonts w:ascii="Book Antiqua" w:hAnsi="Book Antiqua" w:cs="Arial"/>
          <w:b/>
        </w:rPr>
        <w:t>Appeal Number</w:t>
      </w:r>
      <w:r w:rsidR="00D53769" w:rsidRPr="00C74988">
        <w:rPr>
          <w:rFonts w:ascii="Book Antiqua" w:hAnsi="Book Antiqua" w:cs="Arial"/>
          <w:b/>
        </w:rPr>
        <w:t>:</w:t>
      </w:r>
      <w:r w:rsidR="00B3524D" w:rsidRPr="00C74988">
        <w:rPr>
          <w:rFonts w:ascii="Book Antiqua" w:hAnsi="Book Antiqua" w:cs="Arial"/>
          <w:b/>
        </w:rPr>
        <w:t xml:space="preserve"> </w:t>
      </w:r>
      <w:r w:rsidR="0057744F" w:rsidRPr="00C74988">
        <w:rPr>
          <w:rFonts w:ascii="Book Antiqua" w:hAnsi="Book Antiqua" w:cs="Arial"/>
          <w:b/>
          <w:caps/>
        </w:rPr>
        <w:t>HU/16485/2016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664C" w:rsidTr="00C74988">
        <w:tc>
          <w:tcPr>
            <w:tcW w:w="5103" w:type="dxa"/>
            <w:shd w:val="clear" w:color="auto" w:fill="auto"/>
          </w:tcPr>
          <w:p w:rsidR="00D22636" w:rsidRPr="005118DB" w:rsidRDefault="00D22636" w:rsidP="005118DB">
            <w:pPr>
              <w:jc w:val="both"/>
              <w:rPr>
                <w:rFonts w:ascii="Book Antiqua" w:hAnsi="Book Antiqua" w:cs="Arial"/>
                <w:b/>
              </w:rPr>
            </w:pPr>
            <w:r w:rsidRPr="005118DB">
              <w:rPr>
                <w:rFonts w:ascii="Book Antiqua" w:hAnsi="Book Antiqua" w:cs="Arial"/>
                <w:b/>
              </w:rPr>
              <w:t xml:space="preserve">Heard at </w:t>
            </w:r>
            <w:r w:rsidR="0057744F" w:rsidRPr="005118DB">
              <w:rPr>
                <w:rFonts w:ascii="Book Antiqua" w:hAnsi="Book Antiqua" w:cs="Arial"/>
                <w:b/>
              </w:rPr>
              <w:t>Manchester Civil Justice Centre</w:t>
            </w:r>
          </w:p>
        </w:tc>
        <w:tc>
          <w:tcPr>
            <w:tcW w:w="4905" w:type="dxa"/>
            <w:shd w:val="clear" w:color="auto" w:fill="auto"/>
          </w:tcPr>
          <w:p w:rsidR="00D22636" w:rsidRPr="005118DB" w:rsidRDefault="00C74988" w:rsidP="005118DB">
            <w:pPr>
              <w:jc w:val="both"/>
              <w:rPr>
                <w:rFonts w:ascii="Book Antiqua" w:hAnsi="Book Antiqua" w:cs="Arial"/>
                <w:b/>
              </w:rPr>
            </w:pPr>
            <w:r>
              <w:rPr>
                <w:rFonts w:ascii="Book Antiqua" w:hAnsi="Book Antiqua" w:cs="Arial"/>
                <w:b/>
              </w:rPr>
              <w:t xml:space="preserve"> </w:t>
            </w:r>
            <w:r w:rsidR="000E34AA" w:rsidRPr="005118DB">
              <w:rPr>
                <w:rFonts w:ascii="Book Antiqua" w:hAnsi="Book Antiqua" w:cs="Arial"/>
                <w:b/>
              </w:rPr>
              <w:t>Decision &amp; Reasons</w:t>
            </w:r>
            <w:r w:rsidR="00283659" w:rsidRPr="005118DB">
              <w:rPr>
                <w:rFonts w:ascii="Book Antiqua" w:hAnsi="Book Antiqua" w:cs="Arial"/>
                <w:b/>
              </w:rPr>
              <w:t xml:space="preserve"> Promulgated</w:t>
            </w:r>
          </w:p>
        </w:tc>
      </w:tr>
      <w:tr w:rsidR="00D22636" w:rsidRPr="00F5664C" w:rsidTr="00C74988">
        <w:tc>
          <w:tcPr>
            <w:tcW w:w="5103" w:type="dxa"/>
            <w:shd w:val="clear" w:color="auto" w:fill="auto"/>
          </w:tcPr>
          <w:p w:rsidR="00D22636" w:rsidRPr="005118DB" w:rsidRDefault="00D22636" w:rsidP="005118DB">
            <w:pPr>
              <w:jc w:val="both"/>
              <w:rPr>
                <w:rFonts w:ascii="Book Antiqua" w:hAnsi="Book Antiqua" w:cs="Arial"/>
                <w:b/>
              </w:rPr>
            </w:pPr>
            <w:r w:rsidRPr="005118DB">
              <w:rPr>
                <w:rFonts w:ascii="Book Antiqua" w:hAnsi="Book Antiqua" w:cs="Arial"/>
                <w:b/>
              </w:rPr>
              <w:t xml:space="preserve">On </w:t>
            </w:r>
            <w:r w:rsidR="0057744F" w:rsidRPr="005118DB">
              <w:rPr>
                <w:rFonts w:ascii="Book Antiqua" w:hAnsi="Book Antiqua" w:cs="Arial"/>
                <w:b/>
              </w:rPr>
              <w:t>17</w:t>
            </w:r>
            <w:r w:rsidR="0057744F" w:rsidRPr="005118DB">
              <w:rPr>
                <w:rFonts w:ascii="Book Antiqua" w:hAnsi="Book Antiqua" w:cs="Arial"/>
                <w:b/>
                <w:vertAlign w:val="superscript"/>
              </w:rPr>
              <w:t>th</w:t>
            </w:r>
            <w:r w:rsidR="0057744F" w:rsidRPr="005118DB">
              <w:rPr>
                <w:rFonts w:ascii="Book Antiqua" w:hAnsi="Book Antiqua" w:cs="Arial"/>
                <w:b/>
              </w:rPr>
              <w:t xml:space="preserve"> May 2018</w:t>
            </w:r>
          </w:p>
        </w:tc>
        <w:tc>
          <w:tcPr>
            <w:tcW w:w="4905" w:type="dxa"/>
            <w:shd w:val="clear" w:color="auto" w:fill="auto"/>
          </w:tcPr>
          <w:p w:rsidR="00D22636" w:rsidRPr="005118DB" w:rsidRDefault="00C74988" w:rsidP="005118DB">
            <w:pPr>
              <w:jc w:val="both"/>
              <w:rPr>
                <w:rFonts w:ascii="Book Antiqua" w:hAnsi="Book Antiqua" w:cs="Arial"/>
                <w:b/>
              </w:rPr>
            </w:pPr>
            <w:r>
              <w:rPr>
                <w:rFonts w:ascii="Book Antiqua" w:hAnsi="Book Antiqua" w:cs="Arial"/>
                <w:b/>
              </w:rPr>
              <w:t xml:space="preserve"> </w:t>
            </w:r>
            <w:r w:rsidR="00991986">
              <w:rPr>
                <w:rFonts w:ascii="Book Antiqua" w:hAnsi="Book Antiqua" w:cs="Arial"/>
                <w:b/>
              </w:rPr>
              <w:t>On 12</w:t>
            </w:r>
            <w:r w:rsidR="00991986" w:rsidRPr="00991986">
              <w:rPr>
                <w:rFonts w:ascii="Book Antiqua" w:hAnsi="Book Antiqua" w:cs="Arial"/>
                <w:b/>
                <w:vertAlign w:val="superscript"/>
              </w:rPr>
              <w:t>th</w:t>
            </w:r>
            <w:r w:rsidR="00991986">
              <w:rPr>
                <w:rFonts w:ascii="Book Antiqua" w:hAnsi="Book Antiqua" w:cs="Arial"/>
                <w:b/>
              </w:rPr>
              <w:t xml:space="preserve"> September 2018</w:t>
            </w:r>
          </w:p>
        </w:tc>
      </w:tr>
      <w:tr w:rsidR="00D22636" w:rsidRPr="00F5664C" w:rsidTr="00C74988">
        <w:tc>
          <w:tcPr>
            <w:tcW w:w="5103" w:type="dxa"/>
            <w:shd w:val="clear" w:color="auto" w:fill="auto"/>
          </w:tcPr>
          <w:p w:rsidR="00D22636" w:rsidRPr="005118DB" w:rsidRDefault="00D22636" w:rsidP="005118DB">
            <w:pPr>
              <w:jc w:val="both"/>
              <w:rPr>
                <w:rFonts w:ascii="Book Antiqua" w:hAnsi="Book Antiqua" w:cs="Arial"/>
                <w:b/>
              </w:rPr>
            </w:pPr>
          </w:p>
        </w:tc>
        <w:tc>
          <w:tcPr>
            <w:tcW w:w="4905" w:type="dxa"/>
            <w:shd w:val="clear" w:color="auto" w:fill="auto"/>
          </w:tcPr>
          <w:p w:rsidR="00D22636" w:rsidRPr="005118DB" w:rsidRDefault="00D22636" w:rsidP="005118D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Pr="00F5664C" w:rsidRDefault="001A1E2C" w:rsidP="0057744F">
      <w:pP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91986" w:rsidP="00742A8D">
      <w:pPr>
        <w:jc w:val="center"/>
        <w:rPr>
          <w:rFonts w:ascii="Book Antiqua" w:hAnsi="Book Antiqua" w:cs="Arial"/>
          <w:b/>
          <w:caps/>
        </w:rPr>
      </w:pPr>
      <w:r>
        <w:rPr>
          <w:rFonts w:ascii="Book Antiqua" w:hAnsi="Book Antiqua" w:cs="Arial"/>
          <w:b/>
          <w:caps/>
        </w:rPr>
        <w:t xml:space="preserve"> E B O</w:t>
      </w:r>
    </w:p>
    <w:p w:rsidR="000E34AA" w:rsidRPr="00C74988" w:rsidRDefault="000E34AA" w:rsidP="000E34AA">
      <w:pPr>
        <w:jc w:val="center"/>
        <w:rPr>
          <w:rFonts w:ascii="Book Antiqua" w:hAnsi="Book Antiqua" w:cs="Arial"/>
          <w:caps/>
        </w:rPr>
      </w:pPr>
      <w:r w:rsidRPr="00C74988">
        <w:rPr>
          <w:rFonts w:ascii="Book Antiqua" w:hAnsi="Book Antiqua" w:cs="Arial"/>
          <w:caps/>
        </w:rPr>
        <w:t xml:space="preserve">(ANONYMITY DIRECTION </w:t>
      </w:r>
      <w:r w:rsidR="0057744F" w:rsidRPr="00C74988">
        <w:rPr>
          <w:rFonts w:ascii="Book Antiqua" w:hAnsi="Book Antiqua" w:cs="Arial"/>
          <w:caps/>
        </w:rPr>
        <w:t>MADE</w:t>
      </w:r>
      <w:r w:rsidRPr="00C74988">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74988" w:rsidRPr="00F5664C" w:rsidRDefault="00C74988"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37D4F">
        <w:rPr>
          <w:rFonts w:ascii="Book Antiqua" w:hAnsi="Book Antiqua" w:cs="Arial"/>
        </w:rPr>
        <w:t>M</w:t>
      </w:r>
      <w:r w:rsidR="0057744F">
        <w:rPr>
          <w:rFonts w:ascii="Book Antiqua" w:hAnsi="Book Antiqua" w:cs="Arial"/>
        </w:rPr>
        <w:t xml:space="preserve">s Elizabeth </w:t>
      </w:r>
      <w:proofErr w:type="spellStart"/>
      <w:r w:rsidR="0057744F">
        <w:rPr>
          <w:rFonts w:ascii="Book Antiqua" w:hAnsi="Book Antiqua" w:cs="Arial"/>
        </w:rPr>
        <w:t>Mottershaw</w:t>
      </w:r>
      <w:proofErr w:type="spellEnd"/>
      <w:r w:rsidR="0057744F">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7744F">
        <w:rPr>
          <w:rFonts w:ascii="Book Antiqua" w:hAnsi="Book Antiqua" w:cs="Arial"/>
        </w:rPr>
        <w:t xml:space="preserve">Mr Anthony </w:t>
      </w:r>
      <w:proofErr w:type="spellStart"/>
      <w:r w:rsidR="0057744F">
        <w:rPr>
          <w:rFonts w:ascii="Book Antiqua" w:hAnsi="Book Antiqua" w:cs="Arial"/>
        </w:rPr>
        <w:t>McVeety</w:t>
      </w:r>
      <w:proofErr w:type="spellEnd"/>
      <w:r w:rsidR="0057744F">
        <w:rPr>
          <w:rFonts w:ascii="Book Antiqua" w:hAnsi="Book Antiqua" w:cs="Arial"/>
        </w:rPr>
        <w:t xml:space="preserve"> (Senior </w:t>
      </w:r>
      <w:r w:rsidR="00244BD1">
        <w:rPr>
          <w:rFonts w:ascii="Book Antiqua" w:hAnsi="Book Antiqua" w:cs="Arial"/>
        </w:rPr>
        <w:t>HOPO</w:t>
      </w:r>
      <w:r w:rsidR="0057744F">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57744F" w:rsidP="00D33B16">
      <w:pPr>
        <w:numPr>
          <w:ilvl w:val="0"/>
          <w:numId w:val="3"/>
        </w:numPr>
        <w:spacing w:before="240"/>
        <w:jc w:val="both"/>
        <w:rPr>
          <w:rFonts w:ascii="Book Antiqua" w:hAnsi="Book Antiqua" w:cs="Arial"/>
        </w:rPr>
      </w:pPr>
      <w:r>
        <w:rPr>
          <w:rFonts w:ascii="Book Antiqua" w:hAnsi="Book Antiqua" w:cs="Arial"/>
        </w:rPr>
        <w:t xml:space="preserve">This is an appeal against a determination of First-tier Tribunal Judge </w:t>
      </w:r>
      <w:proofErr w:type="spellStart"/>
      <w:r>
        <w:rPr>
          <w:rFonts w:ascii="Book Antiqua" w:hAnsi="Book Antiqua" w:cs="Arial"/>
        </w:rPr>
        <w:t>Sharkett</w:t>
      </w:r>
      <w:proofErr w:type="spellEnd"/>
      <w:r>
        <w:rPr>
          <w:rFonts w:ascii="Book Antiqua" w:hAnsi="Book Antiqua" w:cs="Arial"/>
        </w:rPr>
        <w:t>, promulgated on 22</w:t>
      </w:r>
      <w:r w:rsidRPr="0057744F">
        <w:rPr>
          <w:rFonts w:ascii="Book Antiqua" w:hAnsi="Book Antiqua" w:cs="Arial"/>
          <w:vertAlign w:val="superscript"/>
        </w:rPr>
        <w:t>nd</w:t>
      </w:r>
      <w:r>
        <w:rPr>
          <w:rFonts w:ascii="Book Antiqua" w:hAnsi="Book Antiqua" w:cs="Arial"/>
        </w:rPr>
        <w:t xml:space="preserve"> May 2017, following a hearing at Manchester on 11</w:t>
      </w:r>
      <w:r w:rsidRPr="0057744F">
        <w:rPr>
          <w:rFonts w:ascii="Book Antiqua" w:hAnsi="Book Antiqua" w:cs="Arial"/>
          <w:vertAlign w:val="superscript"/>
        </w:rPr>
        <w:t>th</w:t>
      </w:r>
      <w:r>
        <w:rPr>
          <w:rFonts w:ascii="Book Antiqua" w:hAnsi="Book Antiqua" w:cs="Arial"/>
        </w:rPr>
        <w:t xml:space="preserve"> April 2017.  In the determination, the judge allowed the appeal of the Appellant on human rights grounds, but dismissed it under the Immigration Rules.  The Respondent Secretary of State, subsequently applied for, and was granted, permission to appeal</w:t>
      </w:r>
      <w:r w:rsidR="00244BD1">
        <w:rPr>
          <w:rFonts w:ascii="Book Antiqua" w:hAnsi="Book Antiqua" w:cs="Arial"/>
        </w:rPr>
        <w:t xml:space="preserve"> to</w:t>
      </w:r>
      <w:r>
        <w:rPr>
          <w:rFonts w:ascii="Book Antiqua" w:hAnsi="Book Antiqua" w:cs="Arial"/>
        </w:rPr>
        <w:t xml:space="preserve"> the Upper Tribunal, and thus the matter comes before me.</w:t>
      </w:r>
    </w:p>
    <w:p w:rsidR="0057744F" w:rsidRPr="0057744F" w:rsidRDefault="0057744F" w:rsidP="0057744F">
      <w:pPr>
        <w:spacing w:before="240"/>
        <w:jc w:val="both"/>
        <w:rPr>
          <w:rFonts w:ascii="Book Antiqua" w:hAnsi="Book Antiqua" w:cs="Arial"/>
          <w:b/>
          <w:u w:val="single"/>
        </w:rPr>
      </w:pPr>
      <w:r>
        <w:rPr>
          <w:rFonts w:ascii="Book Antiqua" w:hAnsi="Book Antiqua" w:cs="Arial"/>
          <w:b/>
          <w:u w:val="single"/>
        </w:rPr>
        <w:t>The Appellant</w:t>
      </w:r>
    </w:p>
    <w:p w:rsidR="0057744F" w:rsidRDefault="0057744F" w:rsidP="00D33B16">
      <w:pPr>
        <w:numPr>
          <w:ilvl w:val="0"/>
          <w:numId w:val="3"/>
        </w:numPr>
        <w:spacing w:before="240"/>
        <w:jc w:val="both"/>
        <w:rPr>
          <w:rFonts w:ascii="Book Antiqua" w:hAnsi="Book Antiqua" w:cs="Arial"/>
        </w:rPr>
      </w:pPr>
      <w:r>
        <w:rPr>
          <w:rFonts w:ascii="Book Antiqua" w:hAnsi="Book Antiqua" w:cs="Arial"/>
        </w:rPr>
        <w:t>The Appellant is a male, a citizen of Nigeria, and was born on 27</w:t>
      </w:r>
      <w:r w:rsidRPr="0057744F">
        <w:rPr>
          <w:rFonts w:ascii="Book Antiqua" w:hAnsi="Book Antiqua" w:cs="Arial"/>
          <w:vertAlign w:val="superscript"/>
        </w:rPr>
        <w:t>th</w:t>
      </w:r>
      <w:r>
        <w:rPr>
          <w:rFonts w:ascii="Book Antiqua" w:hAnsi="Book Antiqua" w:cs="Arial"/>
        </w:rPr>
        <w:t xml:space="preserve"> February 1977.  He appealed against the decision of the Respondent Secretary of State dated 15</w:t>
      </w:r>
      <w:r w:rsidRPr="0057744F">
        <w:rPr>
          <w:rFonts w:ascii="Book Antiqua" w:hAnsi="Book Antiqua" w:cs="Arial"/>
          <w:vertAlign w:val="superscript"/>
        </w:rPr>
        <w:t>th</w:t>
      </w:r>
      <w:r>
        <w:rPr>
          <w:rFonts w:ascii="Book Antiqua" w:hAnsi="Book Antiqua" w:cs="Arial"/>
        </w:rPr>
        <w:t xml:space="preserve"> June 2016 </w:t>
      </w:r>
      <w:r>
        <w:rPr>
          <w:rFonts w:ascii="Book Antiqua" w:hAnsi="Book Antiqua" w:cs="Arial"/>
        </w:rPr>
        <w:lastRenderedPageBreak/>
        <w:t xml:space="preserve">refusing his application for leave to remain in the UK with his partner and children, the partner and the eldest child both being British citizens, at the time of the hearing before Judge </w:t>
      </w:r>
      <w:proofErr w:type="spellStart"/>
      <w:r>
        <w:rPr>
          <w:rFonts w:ascii="Book Antiqua" w:hAnsi="Book Antiqua" w:cs="Arial"/>
        </w:rPr>
        <w:t>Sharkett</w:t>
      </w:r>
      <w:proofErr w:type="spellEnd"/>
      <w:r>
        <w:rPr>
          <w:rFonts w:ascii="Book Antiqua" w:hAnsi="Book Antiqua" w:cs="Arial"/>
        </w:rPr>
        <w:t xml:space="preserve">.  </w:t>
      </w:r>
    </w:p>
    <w:p w:rsidR="0057744F" w:rsidRPr="0057744F" w:rsidRDefault="0057744F" w:rsidP="0057744F">
      <w:pPr>
        <w:spacing w:before="240"/>
        <w:jc w:val="both"/>
        <w:rPr>
          <w:rFonts w:ascii="Book Antiqua" w:hAnsi="Book Antiqua" w:cs="Arial"/>
          <w:b/>
          <w:u w:val="single"/>
        </w:rPr>
      </w:pPr>
      <w:r w:rsidRPr="0057744F">
        <w:rPr>
          <w:rFonts w:ascii="Book Antiqua" w:hAnsi="Book Antiqua" w:cs="Arial"/>
          <w:b/>
          <w:u w:val="single"/>
        </w:rPr>
        <w:t>The Appellant’s Claim</w:t>
      </w:r>
    </w:p>
    <w:p w:rsidR="0057744F" w:rsidRDefault="0057744F" w:rsidP="00D33B16">
      <w:pPr>
        <w:numPr>
          <w:ilvl w:val="0"/>
          <w:numId w:val="3"/>
        </w:numPr>
        <w:spacing w:before="240"/>
        <w:jc w:val="both"/>
        <w:rPr>
          <w:rFonts w:ascii="Book Antiqua" w:hAnsi="Book Antiqua" w:cs="Arial"/>
        </w:rPr>
      </w:pPr>
      <w:r>
        <w:rPr>
          <w:rFonts w:ascii="Book Antiqua" w:hAnsi="Book Antiqua" w:cs="Arial"/>
        </w:rPr>
        <w:t>The Appellant’s claim is that, having on 13</w:t>
      </w:r>
      <w:r w:rsidRPr="0057744F">
        <w:rPr>
          <w:rFonts w:ascii="Book Antiqua" w:hAnsi="Book Antiqua" w:cs="Arial"/>
          <w:vertAlign w:val="superscript"/>
        </w:rPr>
        <w:t>th</w:t>
      </w:r>
      <w:r>
        <w:rPr>
          <w:rFonts w:ascii="Book Antiqua" w:hAnsi="Book Antiqua" w:cs="Arial"/>
        </w:rPr>
        <w:t xml:space="preserve"> June 2013 been convicted, and then sentenced to </w:t>
      </w:r>
      <w:r w:rsidR="00B973BE">
        <w:rPr>
          <w:rFonts w:ascii="Book Antiqua" w:hAnsi="Book Antiqua" w:cs="Arial"/>
        </w:rPr>
        <w:t>sixteen</w:t>
      </w:r>
      <w:r w:rsidR="005413FD">
        <w:rPr>
          <w:rFonts w:ascii="Book Antiqua" w:hAnsi="Book Antiqua" w:cs="Arial"/>
        </w:rPr>
        <w:t xml:space="preserve"> </w:t>
      </w:r>
      <w:r>
        <w:rPr>
          <w:rFonts w:ascii="Book Antiqua" w:hAnsi="Book Antiqua" w:cs="Arial"/>
        </w:rPr>
        <w:t>months’ imprisonment, he was released for good behaviour in January 2014, havi</w:t>
      </w:r>
      <w:r w:rsidR="005413FD">
        <w:rPr>
          <w:rFonts w:ascii="Book Antiqua" w:hAnsi="Book Antiqua" w:cs="Arial"/>
        </w:rPr>
        <w:t xml:space="preserve">ng served nine months of his </w:t>
      </w:r>
      <w:r>
        <w:rPr>
          <w:rFonts w:ascii="Book Antiqua" w:hAnsi="Book Antiqua" w:cs="Arial"/>
        </w:rPr>
        <w:t>sentence.</w:t>
      </w:r>
      <w:r w:rsidR="005413FD">
        <w:rPr>
          <w:rFonts w:ascii="Book Antiqua" w:hAnsi="Book Antiqua" w:cs="Arial"/>
        </w:rPr>
        <w:t xml:space="preserve">  A deportation order was then made against him on 2</w:t>
      </w:r>
      <w:r w:rsidR="005413FD" w:rsidRPr="005413FD">
        <w:rPr>
          <w:rFonts w:ascii="Book Antiqua" w:hAnsi="Book Antiqua" w:cs="Arial"/>
          <w:vertAlign w:val="superscript"/>
        </w:rPr>
        <w:t>nd</w:t>
      </w:r>
      <w:r w:rsidR="005413FD">
        <w:rPr>
          <w:rFonts w:ascii="Book Antiqua" w:hAnsi="Book Antiqua" w:cs="Arial"/>
        </w:rPr>
        <w:t xml:space="preserve"> May 2014.  However, on 4</w:t>
      </w:r>
      <w:r w:rsidR="005413FD" w:rsidRPr="005413FD">
        <w:rPr>
          <w:rFonts w:ascii="Book Antiqua" w:hAnsi="Book Antiqua" w:cs="Arial"/>
          <w:vertAlign w:val="superscript"/>
        </w:rPr>
        <w:t>th</w:t>
      </w:r>
      <w:r w:rsidR="005413FD">
        <w:rPr>
          <w:rFonts w:ascii="Book Antiqua" w:hAnsi="Book Antiqua" w:cs="Arial"/>
        </w:rPr>
        <w:t xml:space="preserve"> June 2014 the Appellant’s partner, applied for leave to remain with her three children, and in this application the Appellant was a dependant on her, but whereas his wife and three children were granted leave to remain, he was not.  He now states that he cannot return to Nigeria because it would mean that he would be separated from his wife and children.  His wife, on the other hand, could also not return to Nigeria because the children have only known life in the UK, and would not be able to integrate into Nigerian life.  </w:t>
      </w:r>
      <w:r w:rsidR="007858F9">
        <w:rPr>
          <w:rFonts w:ascii="Book Antiqua" w:hAnsi="Book Antiqua" w:cs="Arial"/>
        </w:rPr>
        <w:t xml:space="preserve">His eldest daughter, was now a British citizen, and aged almost 11 years, and was under the care of a consultant for her skin condition, and she also had learning difficulties at school.  The second daughter was 8 years old, at the time of the hearing before Judge </w:t>
      </w:r>
      <w:proofErr w:type="spellStart"/>
      <w:r w:rsidR="007858F9">
        <w:rPr>
          <w:rFonts w:ascii="Book Antiqua" w:hAnsi="Book Antiqua" w:cs="Arial"/>
        </w:rPr>
        <w:t>Sharkett</w:t>
      </w:r>
      <w:proofErr w:type="spellEnd"/>
      <w:r w:rsidR="007542AE">
        <w:rPr>
          <w:rFonts w:ascii="Book Antiqua" w:hAnsi="Book Antiqua" w:cs="Arial"/>
        </w:rPr>
        <w:t>,</w:t>
      </w:r>
      <w:r w:rsidR="007858F9">
        <w:rPr>
          <w:rFonts w:ascii="Book Antiqua" w:hAnsi="Book Antiqua" w:cs="Arial"/>
        </w:rPr>
        <w:t xml:space="preserve"> (and at the time of the hearing before this Tribunal had also acquired British citizenship) and his son was 4 years of age at the time of the hearing.  He was remorseful in respect of what he had done.</w:t>
      </w:r>
    </w:p>
    <w:p w:rsidR="007858F9" w:rsidRDefault="007858F9" w:rsidP="00D33B16">
      <w:pPr>
        <w:numPr>
          <w:ilvl w:val="0"/>
          <w:numId w:val="3"/>
        </w:numPr>
        <w:spacing w:before="240"/>
        <w:jc w:val="both"/>
        <w:rPr>
          <w:rFonts w:ascii="Book Antiqua" w:hAnsi="Book Antiqua" w:cs="Arial"/>
        </w:rPr>
      </w:pPr>
      <w:r>
        <w:rPr>
          <w:rFonts w:ascii="Book Antiqua" w:hAnsi="Book Antiqua" w:cs="Arial"/>
        </w:rPr>
        <w:t>The Respondent in the refusal letter stated that the Appellant could not satisfy the requirements of Appendix FM as a partner, and did not meet the suitability requirements of the Rules, because there was a deportation order against him dated 2</w:t>
      </w:r>
      <w:r w:rsidRPr="007858F9">
        <w:rPr>
          <w:rFonts w:ascii="Book Antiqua" w:hAnsi="Book Antiqua" w:cs="Arial"/>
          <w:vertAlign w:val="superscript"/>
        </w:rPr>
        <w:t>nd</w:t>
      </w:r>
      <w:r>
        <w:rPr>
          <w:rFonts w:ascii="Book Antiqua" w:hAnsi="Book Antiqua" w:cs="Arial"/>
        </w:rPr>
        <w:t xml:space="preserve"> May 2014.  It would be reasonable for his eldest daughter (who at the time had lived in the UK for more than seven years), along with the other children, to return with their mother to Nigeria so that they could all return as a </w:t>
      </w:r>
      <w:proofErr w:type="gramStart"/>
      <w:r>
        <w:rPr>
          <w:rFonts w:ascii="Book Antiqua" w:hAnsi="Book Antiqua" w:cs="Arial"/>
        </w:rPr>
        <w:t>single family</w:t>
      </w:r>
      <w:proofErr w:type="gramEnd"/>
      <w:r>
        <w:rPr>
          <w:rFonts w:ascii="Book Antiqua" w:hAnsi="Book Antiqua" w:cs="Arial"/>
        </w:rPr>
        <w:t xml:space="preserve"> unit.</w:t>
      </w:r>
    </w:p>
    <w:p w:rsidR="007858F9" w:rsidRPr="007858F9" w:rsidRDefault="007858F9" w:rsidP="007858F9">
      <w:pPr>
        <w:spacing w:before="240"/>
        <w:jc w:val="both"/>
        <w:rPr>
          <w:rFonts w:ascii="Book Antiqua" w:hAnsi="Book Antiqua" w:cs="Arial"/>
          <w:b/>
          <w:u w:val="single"/>
        </w:rPr>
      </w:pPr>
      <w:r>
        <w:rPr>
          <w:rFonts w:ascii="Book Antiqua" w:hAnsi="Book Antiqua" w:cs="Arial"/>
          <w:b/>
          <w:u w:val="single"/>
        </w:rPr>
        <w:t>The Judge’s Findings</w:t>
      </w:r>
    </w:p>
    <w:p w:rsidR="005118DB" w:rsidRDefault="007858F9" w:rsidP="00D33B16">
      <w:pPr>
        <w:numPr>
          <w:ilvl w:val="0"/>
          <w:numId w:val="3"/>
        </w:numPr>
        <w:spacing w:before="240"/>
        <w:jc w:val="both"/>
        <w:rPr>
          <w:rFonts w:ascii="Book Antiqua" w:hAnsi="Book Antiqua" w:cs="Arial"/>
        </w:rPr>
      </w:pPr>
      <w:r>
        <w:rPr>
          <w:rFonts w:ascii="Book Antiqua" w:hAnsi="Book Antiqua" w:cs="Arial"/>
        </w:rPr>
        <w:t xml:space="preserve">The judge held that it was not likely that the Appellant would return to Nigeria on his own, without his wife and children, and the result would therefore be that “the Appellant would be separated from his three children and the family unit would be fractured” (paragraph 46).  However, the Appellant was a foreign criminal within the definition of Section 117B (paragraph 2) and the public interest was engaged.  Although the children </w:t>
      </w:r>
      <w:r w:rsidR="00244BD1">
        <w:rPr>
          <w:rFonts w:ascii="Book Antiqua" w:hAnsi="Book Antiqua" w:cs="Arial"/>
        </w:rPr>
        <w:t>had</w:t>
      </w:r>
      <w:r>
        <w:rPr>
          <w:rFonts w:ascii="Book Antiqua" w:hAnsi="Book Antiqua" w:cs="Arial"/>
        </w:rPr>
        <w:t xml:space="preserve"> been born in the UK (and the eldest was a British citizen now), “all three children currently live with their mother and father and I have heard evidence of the role the Appellant plays within that family unit which has been corroborated in letters received from the children’s school” (paragraph 50), and there was evidence that the Appellant’s partner had struggled with parenting during the time that the Appellant had been in prison and there had arisen “the need for intervention by </w:t>
      </w:r>
      <w:r w:rsidR="00DC387D">
        <w:rPr>
          <w:rFonts w:ascii="Book Antiqua" w:hAnsi="Book Antiqua" w:cs="Arial"/>
        </w:rPr>
        <w:t>social services</w:t>
      </w:r>
      <w:r>
        <w:rPr>
          <w:rFonts w:ascii="Book Antiqua" w:hAnsi="Book Antiqua" w:cs="Arial"/>
        </w:rPr>
        <w:t xml:space="preserve">” (paragraph 51).  The judge in these circumstances held that the “best interests of all three children would be to remain within the complete family unit where they would benefit from care of both parents” (paragraph 52).  </w:t>
      </w:r>
    </w:p>
    <w:p w:rsidR="007858F9" w:rsidRDefault="007858F9" w:rsidP="00D33B16">
      <w:pPr>
        <w:numPr>
          <w:ilvl w:val="0"/>
          <w:numId w:val="3"/>
        </w:numPr>
        <w:spacing w:before="240"/>
        <w:jc w:val="both"/>
        <w:rPr>
          <w:rFonts w:ascii="Book Antiqua" w:hAnsi="Book Antiqua" w:cs="Arial"/>
        </w:rPr>
      </w:pPr>
      <w:r>
        <w:rPr>
          <w:rFonts w:ascii="Book Antiqua" w:hAnsi="Book Antiqua" w:cs="Arial"/>
        </w:rPr>
        <w:t xml:space="preserve">Nevertheless, against the interests of the family, there was the “public interest to deport foreign criminals and under Section 117C the more serious the offence the </w:t>
      </w:r>
      <w:r>
        <w:rPr>
          <w:rFonts w:ascii="Book Antiqua" w:hAnsi="Book Antiqua" w:cs="Arial"/>
        </w:rPr>
        <w:lastRenderedPageBreak/>
        <w:t>greater the public interest”.  This was a case where the Appellant had “entered the UK using false documents in 1999 and since then he has not had a righ</w:t>
      </w:r>
      <w:r w:rsidR="00244BD1">
        <w:rPr>
          <w:rFonts w:ascii="Book Antiqua" w:hAnsi="Book Antiqua" w:cs="Arial"/>
        </w:rPr>
        <w:t>t to reside in the UK.  He has had</w:t>
      </w:r>
      <w:r>
        <w:rPr>
          <w:rFonts w:ascii="Book Antiqua" w:hAnsi="Book Antiqua" w:cs="Arial"/>
        </w:rPr>
        <w:t xml:space="preserve"> blatant disregard for the </w:t>
      </w:r>
      <w:r w:rsidR="009E1BF4">
        <w:rPr>
          <w:rFonts w:ascii="Book Antiqua" w:hAnsi="Book Antiqua" w:cs="Arial"/>
        </w:rPr>
        <w:t xml:space="preserve">Immigration Rules of the UK and has entered into a fraudulent marriage and used false documents </w:t>
      </w:r>
      <w:proofErr w:type="gramStart"/>
      <w:r w:rsidR="009E1BF4">
        <w:rPr>
          <w:rFonts w:ascii="Book Antiqua" w:hAnsi="Book Antiqua" w:cs="Arial"/>
        </w:rPr>
        <w:t>in order to</w:t>
      </w:r>
      <w:proofErr w:type="gramEnd"/>
      <w:r w:rsidR="009E1BF4">
        <w:rPr>
          <w:rFonts w:ascii="Book Antiqua" w:hAnsi="Book Antiqua" w:cs="Arial"/>
        </w:rPr>
        <w:t xml:space="preserve"> circumvent the Rules” (paragraph 54).  He had been convicted of serious offences (paragraph 55).  Nevertheless, “both the Appellant’s daughters are qualifying children</w:t>
      </w:r>
      <w:r w:rsidR="00DC387D">
        <w:rPr>
          <w:rFonts w:ascii="Book Antiqua" w:hAnsi="Book Antiqua" w:cs="Arial"/>
        </w:rPr>
        <w:t>” (paragraph 57).</w:t>
      </w:r>
    </w:p>
    <w:p w:rsidR="005118DB" w:rsidRDefault="00DC387D" w:rsidP="00244BD1">
      <w:pPr>
        <w:numPr>
          <w:ilvl w:val="0"/>
          <w:numId w:val="3"/>
        </w:numPr>
        <w:spacing w:before="240"/>
        <w:jc w:val="both"/>
        <w:rPr>
          <w:rFonts w:ascii="Book Antiqua" w:hAnsi="Book Antiqua" w:cs="Arial"/>
        </w:rPr>
      </w:pPr>
      <w:r>
        <w:rPr>
          <w:rFonts w:ascii="Book Antiqua" w:hAnsi="Book Antiqua" w:cs="Arial"/>
        </w:rPr>
        <w:t xml:space="preserve">Balancing out the facts, the judge held that, “I have regard to the circumstances of these three children, the length of time they have all been in the UK and their own personal circumstances” (paragraph 59).  The judge held that </w:t>
      </w:r>
      <w:r w:rsidR="00EF0354">
        <w:rPr>
          <w:rFonts w:ascii="Book Antiqua" w:hAnsi="Book Antiqua" w:cs="Arial"/>
        </w:rPr>
        <w:t>she would</w:t>
      </w:r>
      <w:r>
        <w:rPr>
          <w:rFonts w:ascii="Book Antiqua" w:hAnsi="Book Antiqua" w:cs="Arial"/>
        </w:rPr>
        <w:t xml:space="preserve"> have regard to “the instability created within the family when the Appellant was in prison” which had resulted in the Appellant’s partner physically abusing the eldest child to such an extent that social services had to be involved, which only abated after the Appellant returned from prison to be a father figure in the family.  </w:t>
      </w:r>
    </w:p>
    <w:p w:rsidR="005118DB" w:rsidRDefault="00DC387D" w:rsidP="00244BD1">
      <w:pPr>
        <w:numPr>
          <w:ilvl w:val="0"/>
          <w:numId w:val="3"/>
        </w:numPr>
        <w:spacing w:before="240"/>
        <w:jc w:val="both"/>
        <w:rPr>
          <w:rFonts w:ascii="Book Antiqua" w:hAnsi="Book Antiqua" w:cs="Arial"/>
        </w:rPr>
      </w:pPr>
      <w:r>
        <w:rPr>
          <w:rFonts w:ascii="Book Antiqua" w:hAnsi="Book Antiqua" w:cs="Arial"/>
        </w:rPr>
        <w:t>As the judge observed, “the creation of instability which has previously given rise to safeguarding issues and</w:t>
      </w:r>
      <w:r w:rsidR="00244BD1">
        <w:rPr>
          <w:rFonts w:ascii="Book Antiqua" w:hAnsi="Book Antiqua" w:cs="Arial"/>
        </w:rPr>
        <w:t xml:space="preserve"> resulted</w:t>
      </w:r>
      <w:r>
        <w:rPr>
          <w:rFonts w:ascii="Book Antiqua" w:hAnsi="Book Antiqua" w:cs="Arial"/>
        </w:rPr>
        <w:t xml:space="preserve"> in the children being the subject of protection is something that should be given significant weight” (paragraph 60).  There was, inevitably, as the judge found, “a degree of speculation” as to “what may happen to these children if their father is removed from the family</w:t>
      </w:r>
      <w:r w:rsidR="00244BD1">
        <w:rPr>
          <w:rFonts w:ascii="Book Antiqua" w:hAnsi="Book Antiqua" w:cs="Arial"/>
        </w:rPr>
        <w:t xml:space="preserve"> unit</w:t>
      </w:r>
      <w:r>
        <w:rPr>
          <w:rFonts w:ascii="Book Antiqua" w:hAnsi="Book Antiqua" w:cs="Arial"/>
        </w:rPr>
        <w:t xml:space="preserve"> indefinitely”, but there was, nevertheless, a </w:t>
      </w:r>
      <w:r w:rsidRPr="00244BD1">
        <w:rPr>
          <w:rFonts w:ascii="Book Antiqua" w:hAnsi="Book Antiqua" w:cs="Arial"/>
        </w:rPr>
        <w:t xml:space="preserve">“history in this family that can inform my conclusions”.  </w:t>
      </w:r>
    </w:p>
    <w:p w:rsidR="00244BD1" w:rsidRDefault="00DC387D" w:rsidP="00244BD1">
      <w:pPr>
        <w:numPr>
          <w:ilvl w:val="0"/>
          <w:numId w:val="3"/>
        </w:numPr>
        <w:spacing w:before="240"/>
        <w:jc w:val="both"/>
        <w:rPr>
          <w:rFonts w:ascii="Book Antiqua" w:hAnsi="Book Antiqua" w:cs="Arial"/>
        </w:rPr>
      </w:pPr>
      <w:r w:rsidRPr="00244BD1">
        <w:rPr>
          <w:rFonts w:ascii="Book Antiqua" w:hAnsi="Book Antiqua" w:cs="Arial"/>
        </w:rPr>
        <w:t xml:space="preserve">What this led to the judge deciding was that </w:t>
      </w:r>
    </w:p>
    <w:p w:rsidR="00DC387D" w:rsidRPr="00244BD1" w:rsidRDefault="00DC387D" w:rsidP="00244BD1">
      <w:pPr>
        <w:spacing w:before="240"/>
        <w:ind w:left="1134"/>
        <w:jc w:val="both"/>
        <w:rPr>
          <w:rFonts w:ascii="Book Antiqua" w:hAnsi="Book Antiqua" w:cs="Arial"/>
        </w:rPr>
      </w:pPr>
      <w:r w:rsidRPr="00244BD1">
        <w:rPr>
          <w:rFonts w:ascii="Book Antiqua" w:hAnsi="Book Antiqua" w:cs="Arial"/>
        </w:rPr>
        <w:t xml:space="preserve">“there is suggestion in the report from Manchester Safeguarding and </w:t>
      </w:r>
      <w:r w:rsidR="00EF0354" w:rsidRPr="00244BD1">
        <w:rPr>
          <w:rFonts w:ascii="Book Antiqua" w:hAnsi="Book Antiqua" w:cs="Arial"/>
        </w:rPr>
        <w:t>Improvement</w:t>
      </w:r>
      <w:r w:rsidRPr="00244BD1">
        <w:rPr>
          <w:rFonts w:ascii="Book Antiqua" w:hAnsi="Book Antiqua" w:cs="Arial"/>
        </w:rPr>
        <w:t xml:space="preserve"> Unit (AB-41) that even when social services were involved the mother was continuing to hit the girls particularly the second daughter.  It was only when the Appellant returned to the family home that the problem subsided and social services considered it safe to withdraw their involvement.  In the circumstances I find that to remove the Appellant to Nigeria would be unduly harsh for the children because their father is a stabilising influence within that family that allows the children to remain in a family situation and free from fear of or acts of physical violence, such that </w:t>
      </w:r>
      <w:r w:rsidR="008F5F6E" w:rsidRPr="00244BD1">
        <w:rPr>
          <w:rFonts w:ascii="Book Antiqua" w:hAnsi="Book Antiqua" w:cs="Arial"/>
        </w:rPr>
        <w:t xml:space="preserve">their best interests are not </w:t>
      </w:r>
      <w:r w:rsidRPr="00244BD1">
        <w:rPr>
          <w:rFonts w:ascii="Book Antiqua" w:hAnsi="Book Antiqua" w:cs="Arial"/>
        </w:rPr>
        <w:t>with the public interest on this occasion” (paragraph 61).</w:t>
      </w:r>
    </w:p>
    <w:p w:rsidR="00DC387D" w:rsidRDefault="00DC387D" w:rsidP="00D33B16">
      <w:pPr>
        <w:numPr>
          <w:ilvl w:val="0"/>
          <w:numId w:val="3"/>
        </w:numPr>
        <w:spacing w:before="240"/>
        <w:jc w:val="both"/>
        <w:rPr>
          <w:rFonts w:ascii="Book Antiqua" w:hAnsi="Book Antiqua" w:cs="Arial"/>
        </w:rPr>
      </w:pPr>
      <w:r>
        <w:rPr>
          <w:rFonts w:ascii="Book Antiqua" w:hAnsi="Book Antiqua" w:cs="Arial"/>
        </w:rPr>
        <w:t>The appeal was allowed under the Human Rights Act.  It was not allowed under the Immigration Rules.</w:t>
      </w:r>
    </w:p>
    <w:p w:rsidR="00DC387D" w:rsidRPr="00DC387D" w:rsidRDefault="00DC387D" w:rsidP="00244BD1">
      <w:pPr>
        <w:keepNext/>
        <w:spacing w:before="240"/>
        <w:jc w:val="both"/>
        <w:rPr>
          <w:rFonts w:ascii="Book Antiqua" w:hAnsi="Book Antiqua" w:cs="Arial"/>
          <w:b/>
          <w:u w:val="single"/>
        </w:rPr>
      </w:pPr>
      <w:r>
        <w:rPr>
          <w:rFonts w:ascii="Book Antiqua" w:hAnsi="Book Antiqua" w:cs="Arial"/>
          <w:b/>
          <w:u w:val="single"/>
        </w:rPr>
        <w:t>Grounds of Application</w:t>
      </w:r>
    </w:p>
    <w:p w:rsidR="00DC387D" w:rsidRDefault="00244BD1" w:rsidP="00244BD1">
      <w:pPr>
        <w:keepNext/>
        <w:numPr>
          <w:ilvl w:val="0"/>
          <w:numId w:val="3"/>
        </w:numPr>
        <w:spacing w:before="240"/>
        <w:jc w:val="both"/>
        <w:rPr>
          <w:rFonts w:ascii="Book Antiqua" w:hAnsi="Book Antiqua" w:cs="Arial"/>
        </w:rPr>
      </w:pPr>
      <w:r>
        <w:rPr>
          <w:rFonts w:ascii="Book Antiqua" w:hAnsi="Book Antiqua" w:cs="Arial"/>
        </w:rPr>
        <w:t>The g</w:t>
      </w:r>
      <w:r w:rsidR="00DC387D">
        <w:rPr>
          <w:rFonts w:ascii="Book Antiqua" w:hAnsi="Book Antiqua" w:cs="Arial"/>
        </w:rPr>
        <w:t>rounds of application stated that the</w:t>
      </w:r>
      <w:r>
        <w:rPr>
          <w:rFonts w:ascii="Book Antiqua" w:hAnsi="Book Antiqua" w:cs="Arial"/>
        </w:rPr>
        <w:t xml:space="preserve"> judge had failed to apply the R</w:t>
      </w:r>
      <w:r w:rsidR="00DC387D">
        <w:rPr>
          <w:rFonts w:ascii="Book Antiqua" w:hAnsi="Book Antiqua" w:cs="Arial"/>
        </w:rPr>
        <w:t xml:space="preserve">ule in </w:t>
      </w:r>
      <w:proofErr w:type="spellStart"/>
      <w:r w:rsidR="00DC387D">
        <w:rPr>
          <w:rFonts w:ascii="Book Antiqua" w:hAnsi="Book Antiqua" w:cs="Arial"/>
          <w:b/>
          <w:u w:val="single"/>
        </w:rPr>
        <w:t>Devaseelan</w:t>
      </w:r>
      <w:proofErr w:type="spellEnd"/>
      <w:r w:rsidR="00437D4F">
        <w:rPr>
          <w:rFonts w:ascii="Book Antiqua" w:hAnsi="Book Antiqua" w:cs="Arial"/>
          <w:b/>
        </w:rPr>
        <w:t xml:space="preserve"> [2002] UKIA</w:t>
      </w:r>
      <w:r w:rsidR="00DC387D">
        <w:rPr>
          <w:rFonts w:ascii="Book Antiqua" w:hAnsi="Book Antiqua" w:cs="Arial"/>
          <w:b/>
        </w:rPr>
        <w:t xml:space="preserve">T 00702 </w:t>
      </w:r>
      <w:r w:rsidR="00437D4F">
        <w:rPr>
          <w:rFonts w:ascii="Book Antiqua" w:hAnsi="Book Antiqua" w:cs="Arial"/>
        </w:rPr>
        <w:t>in circumstances where the Appellant’s previous deportation appeal had been dismissed two years before.  Moreover, the judge failed to apply the “unduly harsh” test correctly in the proportionality exercise.</w:t>
      </w:r>
    </w:p>
    <w:p w:rsidR="00437D4F" w:rsidRDefault="00437D4F" w:rsidP="00D33B16">
      <w:pPr>
        <w:numPr>
          <w:ilvl w:val="0"/>
          <w:numId w:val="3"/>
        </w:numPr>
        <w:spacing w:before="240"/>
        <w:jc w:val="both"/>
        <w:rPr>
          <w:rFonts w:ascii="Book Antiqua" w:hAnsi="Book Antiqua" w:cs="Arial"/>
        </w:rPr>
      </w:pPr>
      <w:r>
        <w:rPr>
          <w:rFonts w:ascii="Book Antiqua" w:hAnsi="Book Antiqua" w:cs="Arial"/>
        </w:rPr>
        <w:t>On 13</w:t>
      </w:r>
      <w:r w:rsidRPr="00437D4F">
        <w:rPr>
          <w:rFonts w:ascii="Book Antiqua" w:hAnsi="Book Antiqua" w:cs="Arial"/>
          <w:vertAlign w:val="superscript"/>
        </w:rPr>
        <w:t>th</w:t>
      </w:r>
      <w:r>
        <w:rPr>
          <w:rFonts w:ascii="Book Antiqua" w:hAnsi="Book Antiqua" w:cs="Arial"/>
        </w:rPr>
        <w:t xml:space="preserve"> December 2017 permission to appeal was granted on the basis that given that the judge had accepted (at paragraph 61) that there was an element of speculation in </w:t>
      </w:r>
      <w:r>
        <w:rPr>
          <w:rFonts w:ascii="Book Antiqua" w:hAnsi="Book Antiqua" w:cs="Arial"/>
        </w:rPr>
        <w:lastRenderedPageBreak/>
        <w:t xml:space="preserve">finding the effect of the Appellant’s deportation </w:t>
      </w:r>
      <w:r w:rsidR="008F5F6E">
        <w:rPr>
          <w:rFonts w:ascii="Book Antiqua" w:hAnsi="Book Antiqua" w:cs="Arial"/>
        </w:rPr>
        <w:t>up</w:t>
      </w:r>
      <w:r>
        <w:rPr>
          <w:rFonts w:ascii="Book Antiqua" w:hAnsi="Book Antiqua" w:cs="Arial"/>
        </w:rPr>
        <w:t>on the ch</w:t>
      </w:r>
      <w:r w:rsidR="008F5F6E">
        <w:rPr>
          <w:rFonts w:ascii="Book Antiqua" w:hAnsi="Book Antiqua" w:cs="Arial"/>
        </w:rPr>
        <w:t xml:space="preserve">ildren as being “unduly harsh” </w:t>
      </w:r>
      <w:r>
        <w:rPr>
          <w:rFonts w:ascii="Book Antiqua" w:hAnsi="Book Antiqua" w:cs="Arial"/>
        </w:rPr>
        <w:t>it was arguable that the correct reasoning had not been given in this case.</w:t>
      </w:r>
    </w:p>
    <w:p w:rsidR="00437D4F" w:rsidRDefault="00437D4F" w:rsidP="008F5F6E">
      <w:pPr>
        <w:numPr>
          <w:ilvl w:val="0"/>
          <w:numId w:val="3"/>
        </w:numPr>
        <w:spacing w:before="240"/>
        <w:rPr>
          <w:rFonts w:ascii="Book Antiqua" w:hAnsi="Book Antiqua" w:cs="Arial"/>
        </w:rPr>
      </w:pPr>
      <w:r>
        <w:rPr>
          <w:rFonts w:ascii="Book Antiqua" w:hAnsi="Book Antiqua" w:cs="Arial"/>
        </w:rPr>
        <w:t>On 12</w:t>
      </w:r>
      <w:r w:rsidRPr="00437D4F">
        <w:rPr>
          <w:rFonts w:ascii="Book Antiqua" w:hAnsi="Book Antiqua" w:cs="Arial"/>
          <w:vertAlign w:val="superscript"/>
        </w:rPr>
        <w:t>th</w:t>
      </w:r>
      <w:r>
        <w:rPr>
          <w:rFonts w:ascii="Book Antiqua" w:hAnsi="Book Antiqua" w:cs="Arial"/>
        </w:rPr>
        <w:t xml:space="preserve"> March 2018, a Rule 24 response was entered by Ms Elizabeth </w:t>
      </w:r>
      <w:proofErr w:type="spellStart"/>
      <w:r>
        <w:rPr>
          <w:rFonts w:ascii="Book Antiqua" w:hAnsi="Book Antiqua" w:cs="Arial"/>
        </w:rPr>
        <w:t>Mottershaw</w:t>
      </w:r>
      <w:proofErr w:type="spellEnd"/>
      <w:r>
        <w:rPr>
          <w:rFonts w:ascii="Book Antiqua" w:hAnsi="Book Antiqua" w:cs="Arial"/>
        </w:rPr>
        <w:t xml:space="preserve">, of Counsel, on behalf of the Appellant.  </w:t>
      </w:r>
    </w:p>
    <w:p w:rsidR="00437D4F" w:rsidRPr="00437D4F" w:rsidRDefault="00437D4F" w:rsidP="00437D4F">
      <w:pPr>
        <w:spacing w:before="240"/>
        <w:jc w:val="both"/>
        <w:rPr>
          <w:rFonts w:ascii="Book Antiqua" w:hAnsi="Book Antiqua" w:cs="Arial"/>
          <w:b/>
          <w:u w:val="single"/>
        </w:rPr>
      </w:pPr>
      <w:r>
        <w:rPr>
          <w:rFonts w:ascii="Book Antiqua" w:hAnsi="Book Antiqua" w:cs="Arial"/>
          <w:b/>
          <w:u w:val="single"/>
        </w:rPr>
        <w:t>The Hearing</w:t>
      </w:r>
    </w:p>
    <w:p w:rsidR="00B668E0" w:rsidRDefault="00437D4F" w:rsidP="00B668E0">
      <w:pPr>
        <w:numPr>
          <w:ilvl w:val="0"/>
          <w:numId w:val="3"/>
        </w:numPr>
        <w:spacing w:before="240"/>
        <w:jc w:val="both"/>
        <w:rPr>
          <w:rFonts w:ascii="Book Antiqua" w:hAnsi="Book Antiqua" w:cs="Arial"/>
        </w:rPr>
      </w:pPr>
      <w:r>
        <w:rPr>
          <w:rFonts w:ascii="Book Antiqua" w:hAnsi="Book Antiqua" w:cs="Arial"/>
        </w:rPr>
        <w:t>At the hearing before me on 17</w:t>
      </w:r>
      <w:r w:rsidRPr="00437D4F">
        <w:rPr>
          <w:rFonts w:ascii="Book Antiqua" w:hAnsi="Book Antiqua" w:cs="Arial"/>
          <w:vertAlign w:val="superscript"/>
        </w:rPr>
        <w:t>th</w:t>
      </w:r>
      <w:r>
        <w:rPr>
          <w:rFonts w:ascii="Book Antiqua" w:hAnsi="Book Antiqua" w:cs="Arial"/>
        </w:rPr>
        <w:t xml:space="preserve"> May 2018, Mr </w:t>
      </w:r>
      <w:proofErr w:type="spellStart"/>
      <w:r>
        <w:rPr>
          <w:rFonts w:ascii="Book Antiqua" w:hAnsi="Book Antiqua" w:cs="Arial"/>
        </w:rPr>
        <w:t>McVeety</w:t>
      </w:r>
      <w:proofErr w:type="spellEnd"/>
      <w:r>
        <w:rPr>
          <w:rFonts w:ascii="Book Antiqua" w:hAnsi="Book Antiqua" w:cs="Arial"/>
        </w:rPr>
        <w:t xml:space="preserve">, appearing as Senior Home Office Presenting Officer on behalf of the Respondent Secretary of State, submitted that, having discussed this matter, at the outset of the hearing with Ms </w:t>
      </w:r>
      <w:proofErr w:type="spellStart"/>
      <w:r>
        <w:rPr>
          <w:rFonts w:ascii="Book Antiqua" w:hAnsi="Book Antiqua" w:cs="Arial"/>
        </w:rPr>
        <w:t>Mottershaw</w:t>
      </w:r>
      <w:proofErr w:type="spellEnd"/>
      <w:r>
        <w:rPr>
          <w:rFonts w:ascii="Book Antiqua" w:hAnsi="Book Antiqua" w:cs="Arial"/>
        </w:rPr>
        <w:t>, on behalf of the Appellant, he would have to accept, that the grant of per</w:t>
      </w:r>
      <w:r w:rsidR="00244BD1">
        <w:rPr>
          <w:rFonts w:ascii="Book Antiqua" w:hAnsi="Book Antiqua" w:cs="Arial"/>
        </w:rPr>
        <w:t>mission, on the basis that the R</w:t>
      </w:r>
      <w:r>
        <w:rPr>
          <w:rFonts w:ascii="Book Antiqua" w:hAnsi="Book Antiqua" w:cs="Arial"/>
        </w:rPr>
        <w:t xml:space="preserve">ule in </w:t>
      </w:r>
      <w:proofErr w:type="spellStart"/>
      <w:r>
        <w:rPr>
          <w:rFonts w:ascii="Book Antiqua" w:hAnsi="Book Antiqua" w:cs="Arial"/>
          <w:b/>
          <w:u w:val="single"/>
        </w:rPr>
        <w:t>Devaseelan</w:t>
      </w:r>
      <w:proofErr w:type="spellEnd"/>
      <w:r>
        <w:rPr>
          <w:rFonts w:ascii="Book Antiqua" w:hAnsi="Book Antiqua" w:cs="Arial"/>
        </w:rPr>
        <w:t xml:space="preserve"> had not been applied, was unsustainable given that no mention whatsoever had been made of </w:t>
      </w:r>
      <w:proofErr w:type="spellStart"/>
      <w:r>
        <w:rPr>
          <w:rFonts w:ascii="Book Antiqua" w:hAnsi="Book Antiqua" w:cs="Arial"/>
          <w:b/>
          <w:u w:val="single"/>
        </w:rPr>
        <w:t>Devaseelan</w:t>
      </w:r>
      <w:proofErr w:type="spellEnd"/>
      <w:r>
        <w:rPr>
          <w:rFonts w:ascii="Book Antiqua" w:hAnsi="Book Antiqua" w:cs="Arial"/>
        </w:rPr>
        <w:t xml:space="preserve"> at the hearing before Judge </w:t>
      </w:r>
      <w:proofErr w:type="spellStart"/>
      <w:r>
        <w:rPr>
          <w:rFonts w:ascii="Book Antiqua" w:hAnsi="Book Antiqua" w:cs="Arial"/>
        </w:rPr>
        <w:t>Sharkett</w:t>
      </w:r>
      <w:proofErr w:type="spellEnd"/>
      <w:r>
        <w:rPr>
          <w:rFonts w:ascii="Book Antiqua" w:hAnsi="Book Antiqua" w:cs="Arial"/>
        </w:rPr>
        <w:t xml:space="preserve">.  Indeed, there was no mention of this even in the refusal letter.  Mr </w:t>
      </w:r>
      <w:proofErr w:type="spellStart"/>
      <w:r>
        <w:rPr>
          <w:rFonts w:ascii="Book Antiqua" w:hAnsi="Book Antiqua" w:cs="Arial"/>
        </w:rPr>
        <w:t>McVeety</w:t>
      </w:r>
      <w:proofErr w:type="spellEnd"/>
      <w:r>
        <w:rPr>
          <w:rFonts w:ascii="Book Antiqua" w:hAnsi="Book Antiqua" w:cs="Arial"/>
        </w:rPr>
        <w:t xml:space="preserve"> submitted that having read the Rule 24 response of </w:t>
      </w:r>
      <w:r w:rsidR="008F5F6E">
        <w:rPr>
          <w:rFonts w:ascii="Book Antiqua" w:hAnsi="Book Antiqua" w:cs="Arial"/>
        </w:rPr>
        <w:t xml:space="preserve">Ms </w:t>
      </w:r>
      <w:proofErr w:type="spellStart"/>
      <w:r w:rsidR="008F5F6E">
        <w:rPr>
          <w:rFonts w:ascii="Book Antiqua" w:hAnsi="Book Antiqua" w:cs="Arial"/>
        </w:rPr>
        <w:t>M</w:t>
      </w:r>
      <w:r>
        <w:rPr>
          <w:rFonts w:ascii="Book Antiqua" w:hAnsi="Book Antiqua" w:cs="Arial"/>
        </w:rPr>
        <w:t>ottershaw</w:t>
      </w:r>
      <w:proofErr w:type="spellEnd"/>
      <w:r>
        <w:rPr>
          <w:rFonts w:ascii="Book Antiqua" w:hAnsi="Book Antiqua" w:cs="Arial"/>
        </w:rPr>
        <w:t xml:space="preserve">, he would have to accept that the basis of the grant of permission was to that extent questionable.  </w:t>
      </w:r>
    </w:p>
    <w:p w:rsidR="005118DB" w:rsidRDefault="00F8267E" w:rsidP="00B668E0">
      <w:pPr>
        <w:numPr>
          <w:ilvl w:val="0"/>
          <w:numId w:val="3"/>
        </w:numPr>
        <w:spacing w:before="240"/>
        <w:jc w:val="both"/>
        <w:rPr>
          <w:rFonts w:ascii="Book Antiqua" w:hAnsi="Book Antiqua" w:cs="Arial"/>
        </w:rPr>
      </w:pPr>
      <w:r w:rsidRPr="00B668E0">
        <w:rPr>
          <w:rFonts w:ascii="Book Antiqua" w:hAnsi="Book Antiqua" w:cs="Arial"/>
        </w:rPr>
        <w:t>For her p</w:t>
      </w:r>
      <w:r w:rsidR="00B668E0">
        <w:rPr>
          <w:rFonts w:ascii="Book Antiqua" w:hAnsi="Book Antiqua" w:cs="Arial"/>
        </w:rPr>
        <w:t>art, M</w:t>
      </w:r>
      <w:r w:rsidRPr="00B668E0">
        <w:rPr>
          <w:rFonts w:ascii="Book Antiqua" w:hAnsi="Book Antiqua" w:cs="Arial"/>
        </w:rPr>
        <w:t xml:space="preserve">s </w:t>
      </w:r>
      <w:proofErr w:type="spellStart"/>
      <w:r w:rsidRPr="00B668E0">
        <w:rPr>
          <w:rFonts w:ascii="Book Antiqua" w:hAnsi="Book Antiqua" w:cs="Arial"/>
        </w:rPr>
        <w:t>Mottershaw</w:t>
      </w:r>
      <w:proofErr w:type="spellEnd"/>
      <w:r w:rsidRPr="00B668E0">
        <w:rPr>
          <w:rFonts w:ascii="Book Antiqua" w:hAnsi="Book Antiqua" w:cs="Arial"/>
        </w:rPr>
        <w:t xml:space="preserve"> submitted that the Respondent had indeed not previously ever suggested that this was a case where the principles set out in </w:t>
      </w:r>
      <w:proofErr w:type="spellStart"/>
      <w:r w:rsidRPr="00B668E0">
        <w:rPr>
          <w:rFonts w:ascii="Book Antiqua" w:hAnsi="Book Antiqua" w:cs="Arial"/>
          <w:b/>
          <w:u w:val="single"/>
        </w:rPr>
        <w:t>Devaseelan</w:t>
      </w:r>
      <w:proofErr w:type="spellEnd"/>
      <w:r w:rsidRPr="00244BD1">
        <w:rPr>
          <w:rFonts w:ascii="Book Antiqua" w:hAnsi="Book Antiqua" w:cs="Arial"/>
          <w:b/>
        </w:rPr>
        <w:t xml:space="preserve"> </w:t>
      </w:r>
      <w:r w:rsidRPr="00B668E0">
        <w:rPr>
          <w:rFonts w:ascii="Book Antiqua" w:hAnsi="Book Antiqua" w:cs="Arial"/>
        </w:rPr>
        <w:t xml:space="preserve">should apply.  There had been ample opportunity to do so.  Yet, </w:t>
      </w:r>
      <w:proofErr w:type="spellStart"/>
      <w:r w:rsidRPr="00B668E0">
        <w:rPr>
          <w:rFonts w:ascii="Book Antiqua" w:hAnsi="Book Antiqua" w:cs="Arial"/>
          <w:b/>
          <w:u w:val="single"/>
        </w:rPr>
        <w:t>Devaseelan</w:t>
      </w:r>
      <w:proofErr w:type="spellEnd"/>
      <w:r w:rsidRPr="00B668E0">
        <w:rPr>
          <w:rFonts w:ascii="Book Antiqua" w:hAnsi="Book Antiqua" w:cs="Arial"/>
        </w:rPr>
        <w:t xml:space="preserve"> was not mentioned in the reasons for refusal letter of 15</w:t>
      </w:r>
      <w:r w:rsidRPr="00B668E0">
        <w:rPr>
          <w:rFonts w:ascii="Book Antiqua" w:hAnsi="Book Antiqua" w:cs="Arial"/>
          <w:vertAlign w:val="superscript"/>
        </w:rPr>
        <w:t>th</w:t>
      </w:r>
      <w:r w:rsidRPr="00B668E0">
        <w:rPr>
          <w:rFonts w:ascii="Book Antiqua" w:hAnsi="Book Antiqua" w:cs="Arial"/>
        </w:rPr>
        <w:t xml:space="preserve"> June 2016.  Moreover, the earlier decision of 25</w:t>
      </w:r>
      <w:r w:rsidRPr="00B668E0">
        <w:rPr>
          <w:rFonts w:ascii="Book Antiqua" w:hAnsi="Book Antiqua" w:cs="Arial"/>
          <w:vertAlign w:val="superscript"/>
        </w:rPr>
        <w:t>th</w:t>
      </w:r>
      <w:r w:rsidRPr="00B668E0">
        <w:rPr>
          <w:rFonts w:ascii="Book Antiqua" w:hAnsi="Book Antiqua" w:cs="Arial"/>
        </w:rPr>
        <w:t xml:space="preserve"> August 2014, which had refused the Appellant’s appeal against deportation, and </w:t>
      </w:r>
      <w:proofErr w:type="gramStart"/>
      <w:r w:rsidRPr="00B668E0">
        <w:rPr>
          <w:rFonts w:ascii="Book Antiqua" w:hAnsi="Book Antiqua" w:cs="Arial"/>
        </w:rPr>
        <w:t>on the basis of</w:t>
      </w:r>
      <w:proofErr w:type="gramEnd"/>
      <w:r w:rsidRPr="00B668E0">
        <w:rPr>
          <w:rFonts w:ascii="Book Antiqua" w:hAnsi="Book Antiqua" w:cs="Arial"/>
        </w:rPr>
        <w:t xml:space="preserve"> which it was now being argued that this decision should have been taken into account in the refusal letter of 15</w:t>
      </w:r>
      <w:r w:rsidRPr="00B668E0">
        <w:rPr>
          <w:rFonts w:ascii="Book Antiqua" w:hAnsi="Book Antiqua" w:cs="Arial"/>
          <w:vertAlign w:val="superscript"/>
        </w:rPr>
        <w:t>th</w:t>
      </w:r>
      <w:r w:rsidRPr="00B668E0">
        <w:rPr>
          <w:rFonts w:ascii="Book Antiqua" w:hAnsi="Book Antiqua" w:cs="Arial"/>
        </w:rPr>
        <w:t xml:space="preserve"> June 2016, was not even included in the Respondent’s bundle for the hearing of the appeal on 11</w:t>
      </w:r>
      <w:r w:rsidRPr="00B668E0">
        <w:rPr>
          <w:rFonts w:ascii="Book Antiqua" w:hAnsi="Book Antiqua" w:cs="Arial"/>
          <w:vertAlign w:val="superscript"/>
        </w:rPr>
        <w:t>th</w:t>
      </w:r>
      <w:r w:rsidRPr="00B668E0">
        <w:rPr>
          <w:rFonts w:ascii="Book Antiqua" w:hAnsi="Book Antiqua" w:cs="Arial"/>
        </w:rPr>
        <w:t xml:space="preserve"> April 2017 against that decision.  There were no questions or submissions ever made on this matter during the hearing either.  </w:t>
      </w:r>
    </w:p>
    <w:p w:rsidR="005118DB" w:rsidRDefault="00F8267E" w:rsidP="00B668E0">
      <w:pPr>
        <w:numPr>
          <w:ilvl w:val="0"/>
          <w:numId w:val="3"/>
        </w:numPr>
        <w:spacing w:before="240"/>
        <w:jc w:val="both"/>
        <w:rPr>
          <w:rFonts w:ascii="Book Antiqua" w:hAnsi="Book Antiqua" w:cs="Arial"/>
        </w:rPr>
      </w:pPr>
      <w:r w:rsidRPr="00B668E0">
        <w:rPr>
          <w:rFonts w:ascii="Book Antiqua" w:hAnsi="Book Antiqua" w:cs="Arial"/>
        </w:rPr>
        <w:t xml:space="preserve">Ms </w:t>
      </w:r>
      <w:proofErr w:type="spellStart"/>
      <w:r w:rsidRPr="00B668E0">
        <w:rPr>
          <w:rFonts w:ascii="Book Antiqua" w:hAnsi="Book Antiqua" w:cs="Arial"/>
        </w:rPr>
        <w:t>Mottershaw</w:t>
      </w:r>
      <w:proofErr w:type="spellEnd"/>
      <w:r w:rsidRPr="00B668E0">
        <w:rPr>
          <w:rFonts w:ascii="Book Antiqua" w:hAnsi="Book Antiqua" w:cs="Arial"/>
        </w:rPr>
        <w:t xml:space="preserve"> went on to make the following three submissions</w:t>
      </w:r>
      <w:r w:rsidR="008F5F6E">
        <w:rPr>
          <w:rFonts w:ascii="Book Antiqua" w:hAnsi="Book Antiqua" w:cs="Arial"/>
        </w:rPr>
        <w:t xml:space="preserve"> as well</w:t>
      </w:r>
      <w:r w:rsidRPr="00B668E0">
        <w:rPr>
          <w:rFonts w:ascii="Book Antiqua" w:hAnsi="Book Antiqua" w:cs="Arial"/>
        </w:rPr>
        <w:t xml:space="preserve">.  </w:t>
      </w:r>
    </w:p>
    <w:p w:rsidR="005118DB" w:rsidRDefault="00F8267E" w:rsidP="00B668E0">
      <w:pPr>
        <w:numPr>
          <w:ilvl w:val="0"/>
          <w:numId w:val="3"/>
        </w:numPr>
        <w:spacing w:before="240"/>
        <w:jc w:val="both"/>
        <w:rPr>
          <w:rFonts w:ascii="Book Antiqua" w:hAnsi="Book Antiqua" w:cs="Arial"/>
        </w:rPr>
      </w:pPr>
      <w:r w:rsidRPr="00B668E0">
        <w:rPr>
          <w:rFonts w:ascii="Book Antiqua" w:hAnsi="Book Antiqua" w:cs="Arial"/>
        </w:rPr>
        <w:t xml:space="preserve">First, the appeal in this case had no merit.  The two appeals, in any event, had different applications and related to different circumstances, so that even if </w:t>
      </w:r>
      <w:proofErr w:type="spellStart"/>
      <w:r w:rsidRPr="00B668E0">
        <w:rPr>
          <w:rFonts w:ascii="Book Antiqua" w:hAnsi="Book Antiqua" w:cs="Arial"/>
          <w:b/>
          <w:u w:val="single"/>
        </w:rPr>
        <w:t>Devaseelan</w:t>
      </w:r>
      <w:proofErr w:type="spellEnd"/>
      <w:r w:rsidRPr="00B668E0">
        <w:rPr>
          <w:rFonts w:ascii="Book Antiqua" w:hAnsi="Book Antiqua" w:cs="Arial"/>
        </w:rPr>
        <w:t xml:space="preserve"> had been raised, it would not have applied.  The 2014 First-tier Tribunal decision had understandably for that reason not been put into the evidence for the latest appeal because it had not been considered applicable or relevant by the Respondent.  Had it </w:t>
      </w:r>
      <w:proofErr w:type="gramStart"/>
      <w:r w:rsidRPr="00B668E0">
        <w:rPr>
          <w:rFonts w:ascii="Book Antiqua" w:hAnsi="Book Antiqua" w:cs="Arial"/>
        </w:rPr>
        <w:t>been considered to be</w:t>
      </w:r>
      <w:proofErr w:type="gramEnd"/>
      <w:r w:rsidRPr="00B668E0">
        <w:rPr>
          <w:rFonts w:ascii="Book Antiqua" w:hAnsi="Book Antiqua" w:cs="Arial"/>
        </w:rPr>
        <w:t xml:space="preserve"> relevant, it doubtlessly would have been submitted and made relevant.  </w:t>
      </w:r>
    </w:p>
    <w:p w:rsidR="005118DB" w:rsidRPr="005118DB" w:rsidRDefault="00F8267E" w:rsidP="00B668E0">
      <w:pPr>
        <w:numPr>
          <w:ilvl w:val="0"/>
          <w:numId w:val="3"/>
        </w:numPr>
        <w:spacing w:before="240"/>
        <w:jc w:val="both"/>
        <w:rPr>
          <w:rFonts w:ascii="Book Antiqua" w:hAnsi="Book Antiqua" w:cs="Arial"/>
        </w:rPr>
      </w:pPr>
      <w:r w:rsidRPr="00B668E0">
        <w:rPr>
          <w:rFonts w:ascii="Book Antiqua" w:hAnsi="Book Antiqua" w:cs="Arial"/>
        </w:rPr>
        <w:t xml:space="preserve">Second, to allow an appeal on this basis now would run contrary to the principles of fairness, which have been set out in </w:t>
      </w:r>
      <w:r w:rsidRPr="00B668E0">
        <w:rPr>
          <w:rFonts w:ascii="Book Antiqua" w:hAnsi="Book Antiqua" w:cs="Arial"/>
          <w:b/>
          <w:u w:val="single"/>
        </w:rPr>
        <w:t>RR</w:t>
      </w:r>
      <w:r w:rsidRPr="00B668E0">
        <w:rPr>
          <w:rFonts w:ascii="Book Antiqua" w:hAnsi="Book Antiqua" w:cs="Arial"/>
          <w:b/>
        </w:rPr>
        <w:t xml:space="preserve"> (Challenging Evidence) Sri Lanka [2010] UKUT 000274</w:t>
      </w:r>
      <w:r w:rsidRPr="00B668E0">
        <w:rPr>
          <w:rFonts w:ascii="Book Antiqua" w:hAnsi="Book Antiqua" w:cs="Arial"/>
        </w:rPr>
        <w:t>, the headnote 4 of which reads that, “</w:t>
      </w:r>
      <w:r w:rsidRPr="00B668E0">
        <w:rPr>
          <w:rFonts w:ascii="Book Antiqua" w:hAnsi="Book Antiqua"/>
        </w:rPr>
        <w:t xml:space="preserve">if the Respondent does not put its case clearly it may well be very difficult for the Tribunal to decide against an Appellant who has not been given an opportunity to deal with the Respondent’s concern”.  Such was indeed the position here.  It would now be very difficult for the Tribunal to decide against the Appellant.  This is exactly what Judge </w:t>
      </w:r>
      <w:proofErr w:type="spellStart"/>
      <w:r w:rsidRPr="00B668E0">
        <w:rPr>
          <w:rFonts w:ascii="Book Antiqua" w:hAnsi="Book Antiqua"/>
        </w:rPr>
        <w:t>Sharkett</w:t>
      </w:r>
      <w:proofErr w:type="spellEnd"/>
      <w:r w:rsidRPr="00B668E0">
        <w:rPr>
          <w:rFonts w:ascii="Book Antiqua" w:hAnsi="Book Antiqua"/>
        </w:rPr>
        <w:t xml:space="preserve"> had had faced.  </w:t>
      </w:r>
    </w:p>
    <w:p w:rsidR="005118DB" w:rsidRPr="005118DB" w:rsidRDefault="00F8267E" w:rsidP="00B668E0">
      <w:pPr>
        <w:numPr>
          <w:ilvl w:val="0"/>
          <w:numId w:val="3"/>
        </w:numPr>
        <w:spacing w:before="240"/>
        <w:jc w:val="both"/>
        <w:rPr>
          <w:rFonts w:ascii="Book Antiqua" w:hAnsi="Book Antiqua" w:cs="Arial"/>
        </w:rPr>
      </w:pPr>
      <w:r w:rsidRPr="00B668E0">
        <w:rPr>
          <w:rFonts w:ascii="Book Antiqua" w:hAnsi="Book Antiqua"/>
        </w:rPr>
        <w:t xml:space="preserve">Third, even if the Upper Tribunal were to now find that Judge </w:t>
      </w:r>
      <w:proofErr w:type="spellStart"/>
      <w:r w:rsidRPr="00B668E0">
        <w:rPr>
          <w:rFonts w:ascii="Book Antiqua" w:hAnsi="Book Antiqua"/>
        </w:rPr>
        <w:t>Sharkett</w:t>
      </w:r>
      <w:proofErr w:type="spellEnd"/>
      <w:r w:rsidRPr="00B668E0">
        <w:rPr>
          <w:rFonts w:ascii="Book Antiqua" w:hAnsi="Book Antiqua"/>
        </w:rPr>
        <w:t xml:space="preserve"> had erred in law, the erro</w:t>
      </w:r>
      <w:r w:rsidR="00244BD1">
        <w:rPr>
          <w:rFonts w:ascii="Book Antiqua" w:hAnsi="Book Antiqua"/>
        </w:rPr>
        <w:t>r would not be material if the R</w:t>
      </w:r>
      <w:r w:rsidRPr="00B668E0">
        <w:rPr>
          <w:rFonts w:ascii="Book Antiqua" w:hAnsi="Book Antiqua"/>
        </w:rPr>
        <w:t xml:space="preserve">ule in </w:t>
      </w:r>
      <w:proofErr w:type="spellStart"/>
      <w:r w:rsidRPr="00B668E0">
        <w:rPr>
          <w:rFonts w:ascii="Book Antiqua" w:hAnsi="Book Antiqua"/>
          <w:b/>
          <w:u w:val="single"/>
        </w:rPr>
        <w:t>Devaseelan</w:t>
      </w:r>
      <w:proofErr w:type="spellEnd"/>
      <w:r w:rsidRPr="00B668E0">
        <w:rPr>
          <w:rFonts w:ascii="Book Antiqua" w:hAnsi="Book Antiqua"/>
        </w:rPr>
        <w:t xml:space="preserve"> were to be properly </w:t>
      </w:r>
      <w:r w:rsidRPr="00B668E0">
        <w:rPr>
          <w:rFonts w:ascii="Book Antiqua" w:hAnsi="Book Antiqua"/>
        </w:rPr>
        <w:lastRenderedPageBreak/>
        <w:t xml:space="preserve">understood.  Whilst it is the case that the first determination should be a “starting point”, </w:t>
      </w:r>
      <w:proofErr w:type="spellStart"/>
      <w:r w:rsidRPr="00B668E0">
        <w:rPr>
          <w:rFonts w:ascii="Book Antiqua" w:hAnsi="Book Antiqua"/>
          <w:b/>
          <w:u w:val="single"/>
        </w:rPr>
        <w:t>Devaseelan</w:t>
      </w:r>
      <w:proofErr w:type="spellEnd"/>
      <w:r w:rsidRPr="00B668E0">
        <w:rPr>
          <w:rFonts w:ascii="Book Antiqua" w:hAnsi="Book Antiqua"/>
        </w:rPr>
        <w:t xml:space="preserve"> makes it clear that the first determination is only an authoritative assessment of the Appellant’s status “at the time it was made” and that “f</w:t>
      </w:r>
      <w:r w:rsidR="008F5F6E">
        <w:rPr>
          <w:rFonts w:ascii="Book Antiqua" w:hAnsi="Book Antiqua"/>
        </w:rPr>
        <w:t>acts happening since the first A</w:t>
      </w:r>
      <w:r w:rsidRPr="00B668E0">
        <w:rPr>
          <w:rFonts w:ascii="Book Antiqua" w:hAnsi="Book Antiqua"/>
        </w:rPr>
        <w:t xml:space="preserve">djudicator’s determination can always be </w:t>
      </w:r>
      <w:proofErr w:type="gramStart"/>
      <w:r w:rsidRPr="00B668E0">
        <w:rPr>
          <w:rFonts w:ascii="Book Antiqua" w:hAnsi="Book Antiqua"/>
        </w:rPr>
        <w:t>taken into account</w:t>
      </w:r>
      <w:proofErr w:type="gramEnd"/>
      <w:r w:rsidRPr="00B668E0">
        <w:rPr>
          <w:rFonts w:ascii="Book Antiqua" w:hAnsi="Book Antiqua"/>
        </w:rPr>
        <w:t xml:space="preserve"> by the second </w:t>
      </w:r>
      <w:r w:rsidR="008F5F6E">
        <w:rPr>
          <w:rFonts w:ascii="Book Antiqua" w:hAnsi="Book Antiqua"/>
        </w:rPr>
        <w:t>Adjudicator</w:t>
      </w:r>
      <w:r w:rsidRPr="00B668E0">
        <w:rPr>
          <w:rFonts w:ascii="Book Antiqua" w:hAnsi="Book Antiqua"/>
        </w:rPr>
        <w:t xml:space="preserve">” (at paragraph 39 of </w:t>
      </w:r>
      <w:proofErr w:type="spellStart"/>
      <w:r w:rsidRPr="00B668E0">
        <w:rPr>
          <w:rFonts w:ascii="Book Antiqua" w:hAnsi="Book Antiqua"/>
          <w:b/>
          <w:u w:val="single"/>
        </w:rPr>
        <w:t>Devaseelan</w:t>
      </w:r>
      <w:proofErr w:type="spellEnd"/>
      <w:r w:rsidRPr="00B668E0">
        <w:rPr>
          <w:rFonts w:ascii="Book Antiqua" w:hAnsi="Book Antiqua"/>
        </w:rPr>
        <w:t xml:space="preserve">).  </w:t>
      </w:r>
    </w:p>
    <w:p w:rsidR="008F5F6E" w:rsidRPr="008F5F6E" w:rsidRDefault="00F8267E" w:rsidP="00B668E0">
      <w:pPr>
        <w:numPr>
          <w:ilvl w:val="0"/>
          <w:numId w:val="3"/>
        </w:numPr>
        <w:spacing w:before="240"/>
        <w:jc w:val="both"/>
        <w:rPr>
          <w:rFonts w:ascii="Book Antiqua" w:hAnsi="Book Antiqua" w:cs="Arial"/>
        </w:rPr>
      </w:pPr>
      <w:r w:rsidRPr="00B668E0">
        <w:rPr>
          <w:rFonts w:ascii="Book Antiqua" w:hAnsi="Book Antiqua"/>
        </w:rPr>
        <w:t xml:space="preserve">What the judge in this case had done was to have </w:t>
      </w:r>
      <w:r w:rsidR="00A534A0" w:rsidRPr="00B668E0">
        <w:rPr>
          <w:rFonts w:ascii="Book Antiqua" w:hAnsi="Book Antiqua"/>
        </w:rPr>
        <w:t>expressed regard to the position of the children, and especially of their safety, which had resulted in the involvement of social services, and the stabilising influence of the returning father, the Appellant, once he had been released from prison.</w:t>
      </w:r>
    </w:p>
    <w:p w:rsidR="00B668E0" w:rsidRDefault="008F5F6E" w:rsidP="008F5F6E">
      <w:pPr>
        <w:spacing w:before="240"/>
        <w:jc w:val="both"/>
        <w:rPr>
          <w:rFonts w:ascii="Book Antiqua" w:hAnsi="Book Antiqua" w:cs="Arial"/>
        </w:rPr>
      </w:pPr>
      <w:r>
        <w:rPr>
          <w:rFonts w:ascii="Book Antiqua" w:hAnsi="Book Antiqua"/>
          <w:b/>
          <w:u w:val="single"/>
        </w:rPr>
        <w:t>No Error of Law</w:t>
      </w:r>
      <w:r>
        <w:rPr>
          <w:rFonts w:ascii="Book Antiqua" w:hAnsi="Book Antiqua" w:cs="Arial"/>
        </w:rPr>
        <w:t xml:space="preserve"> </w:t>
      </w:r>
    </w:p>
    <w:p w:rsidR="005118DB" w:rsidRDefault="00B668E0" w:rsidP="00B668E0">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did not involve the making of an error on a point of law (see Section 12(1) of TCEA 2007) such that I should set aside the decision.  My reasons are as follows.  </w:t>
      </w:r>
    </w:p>
    <w:p w:rsidR="005118DB" w:rsidRDefault="00B668E0" w:rsidP="00B668E0">
      <w:pPr>
        <w:numPr>
          <w:ilvl w:val="0"/>
          <w:numId w:val="3"/>
        </w:numPr>
        <w:spacing w:before="240"/>
        <w:jc w:val="both"/>
        <w:rPr>
          <w:rFonts w:ascii="Book Antiqua" w:hAnsi="Book Antiqua" w:cs="Arial"/>
        </w:rPr>
      </w:pPr>
      <w:r>
        <w:rPr>
          <w:rFonts w:ascii="Book Antiqua" w:hAnsi="Book Antiqua" w:cs="Arial"/>
        </w:rPr>
        <w:t xml:space="preserve">First, and as Mr </w:t>
      </w:r>
      <w:proofErr w:type="spellStart"/>
      <w:r>
        <w:rPr>
          <w:rFonts w:ascii="Book Antiqua" w:hAnsi="Book Antiqua" w:cs="Arial"/>
        </w:rPr>
        <w:t>McVeety</w:t>
      </w:r>
      <w:proofErr w:type="spellEnd"/>
      <w:r>
        <w:rPr>
          <w:rFonts w:ascii="Book Antiqua" w:hAnsi="Book Antiqua" w:cs="Arial"/>
        </w:rPr>
        <w:t xml:space="preserve"> has wisely accepted, the </w:t>
      </w:r>
      <w:proofErr w:type="spellStart"/>
      <w:r>
        <w:rPr>
          <w:rFonts w:ascii="Book Antiqua" w:hAnsi="Book Antiqua" w:cs="Arial"/>
          <w:b/>
          <w:u w:val="single"/>
        </w:rPr>
        <w:t>Devaseelan</w:t>
      </w:r>
      <w:proofErr w:type="spellEnd"/>
      <w:r>
        <w:rPr>
          <w:rFonts w:ascii="Book Antiqua" w:hAnsi="Book Antiqua" w:cs="Arial"/>
        </w:rPr>
        <w:t xml:space="preserve"> argument was never raised before Judge </w:t>
      </w:r>
      <w:proofErr w:type="spellStart"/>
      <w:r>
        <w:rPr>
          <w:rFonts w:ascii="Book Antiqua" w:hAnsi="Book Antiqua" w:cs="Arial"/>
        </w:rPr>
        <w:t>Sharkett</w:t>
      </w:r>
      <w:proofErr w:type="spellEnd"/>
      <w:r>
        <w:rPr>
          <w:rFonts w:ascii="Book Antiqua" w:hAnsi="Book Antiqua" w:cs="Arial"/>
        </w:rPr>
        <w:t xml:space="preserve">.  The 2014 decision did not form part of the bundle before the judge.  Even going further back, there is no reference to </w:t>
      </w:r>
      <w:r w:rsidR="00AF35A0">
        <w:rPr>
          <w:rFonts w:ascii="Book Antiqua" w:hAnsi="Book Antiqua" w:cs="Arial"/>
        </w:rPr>
        <w:t xml:space="preserve">it </w:t>
      </w:r>
      <w:r>
        <w:rPr>
          <w:rFonts w:ascii="Book Antiqua" w:hAnsi="Book Antiqua" w:cs="Arial"/>
        </w:rPr>
        <w:t xml:space="preserve">in the latest refusal letter.  There cannot be an error of law </w:t>
      </w:r>
      <w:proofErr w:type="gramStart"/>
      <w:r>
        <w:rPr>
          <w:rFonts w:ascii="Book Antiqua" w:hAnsi="Book Antiqua" w:cs="Arial"/>
        </w:rPr>
        <w:t>on the basis of</w:t>
      </w:r>
      <w:proofErr w:type="gramEnd"/>
      <w:r>
        <w:rPr>
          <w:rFonts w:ascii="Book Antiqua" w:hAnsi="Book Antiqua" w:cs="Arial"/>
        </w:rPr>
        <w:t xml:space="preserve"> an argument that has never been raised, and the case of </w:t>
      </w:r>
      <w:r>
        <w:rPr>
          <w:rFonts w:ascii="Book Antiqua" w:hAnsi="Book Antiqua" w:cs="Arial"/>
          <w:b/>
          <w:u w:val="single"/>
        </w:rPr>
        <w:t>RR</w:t>
      </w:r>
      <w:r>
        <w:rPr>
          <w:rFonts w:ascii="Book Antiqua" w:hAnsi="Book Antiqua" w:cs="Arial"/>
          <w:b/>
        </w:rPr>
        <w:t xml:space="preserve"> (Challenging Evidence)</w:t>
      </w:r>
      <w:r>
        <w:rPr>
          <w:rFonts w:ascii="Book Antiqua" w:hAnsi="Book Antiqua" w:cs="Arial"/>
        </w:rPr>
        <w:t xml:space="preserve"> </w:t>
      </w:r>
      <w:r>
        <w:rPr>
          <w:rFonts w:ascii="Book Antiqua" w:hAnsi="Book Antiqua" w:cs="Arial"/>
          <w:b/>
        </w:rPr>
        <w:t xml:space="preserve">Sri Lanka [2010] UKUT 000274 </w:t>
      </w:r>
      <w:r>
        <w:rPr>
          <w:rFonts w:ascii="Book Antiqua" w:hAnsi="Book Antiqua" w:cs="Arial"/>
        </w:rPr>
        <w:t xml:space="preserve">is a salutary reminder of this fundamental principle.  </w:t>
      </w:r>
    </w:p>
    <w:p w:rsidR="005118DB" w:rsidRDefault="00B668E0" w:rsidP="00B668E0">
      <w:pPr>
        <w:numPr>
          <w:ilvl w:val="0"/>
          <w:numId w:val="3"/>
        </w:numPr>
        <w:spacing w:before="240"/>
        <w:jc w:val="both"/>
        <w:rPr>
          <w:rFonts w:ascii="Book Antiqua" w:hAnsi="Book Antiqua" w:cs="Arial"/>
        </w:rPr>
      </w:pPr>
      <w:r>
        <w:rPr>
          <w:rFonts w:ascii="Book Antiqua" w:hAnsi="Book Antiqua" w:cs="Arial"/>
        </w:rPr>
        <w:t xml:space="preserve">Second, even if it were to be relevant, it remains the case, as Ms </w:t>
      </w:r>
      <w:proofErr w:type="spellStart"/>
      <w:r>
        <w:rPr>
          <w:rFonts w:ascii="Book Antiqua" w:hAnsi="Book Antiqua" w:cs="Arial"/>
        </w:rPr>
        <w:t>Mottershaw</w:t>
      </w:r>
      <w:proofErr w:type="spellEnd"/>
      <w:r>
        <w:rPr>
          <w:rFonts w:ascii="Book Antiqua" w:hAnsi="Book Antiqua" w:cs="Arial"/>
        </w:rPr>
        <w:t xml:space="preserve"> has argued, that “facts happening since the first </w:t>
      </w:r>
      <w:r w:rsidR="008F5F6E">
        <w:rPr>
          <w:rFonts w:ascii="Book Antiqua" w:hAnsi="Book Antiqua" w:cs="Arial"/>
        </w:rPr>
        <w:t>Adjudicator</w:t>
      </w:r>
      <w:r>
        <w:rPr>
          <w:rFonts w:ascii="Book Antiqua" w:hAnsi="Book Antiqua" w:cs="Arial"/>
        </w:rPr>
        <w:t>’s determination” are such that they made a material difference to the outcome of the appeal.  In what is plainly a nuanced and sophisticated determination by the judge, the appeal was expressly not allowed under the Immigration Rules, but allowed on human rights grounds, on the basis that, in circumstance</w:t>
      </w:r>
      <w:r w:rsidR="00AF35A0">
        <w:rPr>
          <w:rFonts w:ascii="Book Antiqua" w:hAnsi="Book Antiqua" w:cs="Arial"/>
        </w:rPr>
        <w:t>s</w:t>
      </w:r>
      <w:r>
        <w:rPr>
          <w:rFonts w:ascii="Book Antiqua" w:hAnsi="Book Antiqua" w:cs="Arial"/>
        </w:rPr>
        <w:t xml:space="preserve"> where the Appellant’s family would not accompany him to Nigeria, the emerging result “would be unduly harsh for the children because their father is the stabilising influence within that family”.  </w:t>
      </w:r>
    </w:p>
    <w:p w:rsidR="005118DB" w:rsidRDefault="00B668E0" w:rsidP="00B668E0">
      <w:pPr>
        <w:numPr>
          <w:ilvl w:val="0"/>
          <w:numId w:val="3"/>
        </w:numPr>
        <w:spacing w:before="240"/>
        <w:jc w:val="both"/>
        <w:rPr>
          <w:rFonts w:ascii="Book Antiqua" w:hAnsi="Book Antiqua" w:cs="Arial"/>
        </w:rPr>
      </w:pPr>
      <w:r>
        <w:rPr>
          <w:rFonts w:ascii="Book Antiqua" w:hAnsi="Book Antiqua" w:cs="Arial"/>
        </w:rPr>
        <w:t xml:space="preserve">Indeed, the judge went on to say that the father’s presence in the family “allows the children to remain in a family situation free from fears of or acts of physical violence” (paragraph 61).  </w:t>
      </w:r>
    </w:p>
    <w:p w:rsidR="005118DB" w:rsidRDefault="00B668E0" w:rsidP="00B668E0">
      <w:pPr>
        <w:numPr>
          <w:ilvl w:val="0"/>
          <w:numId w:val="3"/>
        </w:numPr>
        <w:spacing w:before="240"/>
        <w:jc w:val="both"/>
        <w:rPr>
          <w:rFonts w:ascii="Book Antiqua" w:hAnsi="Book Antiqua" w:cs="Arial"/>
        </w:rPr>
      </w:pPr>
      <w:r>
        <w:rPr>
          <w:rFonts w:ascii="Book Antiqua" w:hAnsi="Book Antiqua" w:cs="Arial"/>
        </w:rPr>
        <w:t xml:space="preserve">This decision was arrived at by the judge because even after the involvement of social services “the mother was continuing to hit the girls particularly the second daughter” (paragraph 61), so that with the father off the scene, there is every possibility that the children would not be allowed to remain in the family situation.  </w:t>
      </w:r>
    </w:p>
    <w:p w:rsidR="00226B21" w:rsidRDefault="00226B21" w:rsidP="00B668E0">
      <w:pPr>
        <w:numPr>
          <w:ilvl w:val="0"/>
          <w:numId w:val="3"/>
        </w:numPr>
        <w:spacing w:before="240"/>
        <w:jc w:val="both"/>
        <w:rPr>
          <w:rFonts w:ascii="Book Antiqua" w:hAnsi="Book Antiqua" w:cs="Arial"/>
        </w:rPr>
      </w:pPr>
      <w:r>
        <w:rPr>
          <w:rFonts w:ascii="Book Antiqua" w:hAnsi="Book Antiqua" w:cs="Arial"/>
        </w:rPr>
        <w:t>Whereas that may, as the judge frankly conceded, amount to “speculation”, what is not speculation is that the effect of the father not being in the family home would be such as to have consequences that that were “unduly harsh for the children because their father is the stabilising influence within that family” (paragraph 61).</w:t>
      </w:r>
    </w:p>
    <w:p w:rsidR="004945FF" w:rsidRDefault="004945FF" w:rsidP="00226B21">
      <w:pPr>
        <w:spacing w:before="240"/>
        <w:jc w:val="both"/>
        <w:rPr>
          <w:rFonts w:ascii="Book Antiqua" w:hAnsi="Book Antiqua" w:cs="Arial"/>
          <w:b/>
          <w:u w:val="single"/>
        </w:rPr>
      </w:pPr>
    </w:p>
    <w:p w:rsidR="00226B21" w:rsidRPr="00226B21" w:rsidRDefault="00226B21" w:rsidP="00226B21">
      <w:pPr>
        <w:spacing w:before="240"/>
        <w:jc w:val="both"/>
        <w:rPr>
          <w:rFonts w:ascii="Book Antiqua" w:hAnsi="Book Antiqua" w:cs="Arial"/>
          <w:b/>
          <w:u w:val="single"/>
        </w:rPr>
      </w:pPr>
      <w:r>
        <w:rPr>
          <w:rFonts w:ascii="Book Antiqua" w:hAnsi="Book Antiqua" w:cs="Arial"/>
          <w:b/>
          <w:u w:val="single"/>
        </w:rPr>
        <w:lastRenderedPageBreak/>
        <w:t>Decision</w:t>
      </w:r>
    </w:p>
    <w:p w:rsidR="00B668E0" w:rsidRDefault="00226B21" w:rsidP="00AF35A0">
      <w:pPr>
        <w:spacing w:before="240"/>
        <w:jc w:val="both"/>
        <w:rPr>
          <w:rFonts w:ascii="Book Antiqua" w:hAnsi="Book Antiqua" w:cs="Arial"/>
        </w:rPr>
      </w:pPr>
      <w:r>
        <w:rPr>
          <w:rFonts w:ascii="Book Antiqua" w:hAnsi="Book Antiqua" w:cs="Arial"/>
        </w:rPr>
        <w:t>There is no material error of law in the original judge’s decision.  The determination shall stand.</w:t>
      </w:r>
    </w:p>
    <w:p w:rsidR="00226B21" w:rsidRPr="00B668E0" w:rsidRDefault="004945FF" w:rsidP="00AF35A0">
      <w:pPr>
        <w:spacing w:before="240"/>
        <w:jc w:val="both"/>
        <w:rPr>
          <w:rFonts w:ascii="Book Antiqua" w:hAnsi="Book Antiqua" w:cs="Arial"/>
        </w:rPr>
      </w:pPr>
      <w:r>
        <w:rPr>
          <w:rFonts w:ascii="Book Antiqua" w:hAnsi="Book Antiqua" w:cs="Arial"/>
        </w:rPr>
        <w:t>A</w:t>
      </w:r>
      <w:r w:rsidR="00226B21">
        <w:rPr>
          <w:rFonts w:ascii="Book Antiqua" w:hAnsi="Book Antiqua" w:cs="Arial"/>
        </w:rPr>
        <w:t>nonymity order is made.</w:t>
      </w:r>
    </w:p>
    <w:p w:rsidR="000E34AA" w:rsidRPr="000E34AA" w:rsidRDefault="000E34AA" w:rsidP="000E34AA">
      <w:pPr>
        <w:jc w:val="both"/>
        <w:rPr>
          <w:rFonts w:ascii="Book Antiqua" w:hAnsi="Book Antiqua" w:cs="Arial"/>
        </w:rPr>
      </w:pPr>
      <w:bookmarkStart w:id="0" w:name="_GoBack"/>
      <w:bookmarkEnd w:id="0"/>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5118DB">
        <w:rPr>
          <w:rFonts w:ascii="Book Antiqua" w:hAnsi="Book Antiqua" w:cs="Arial"/>
        </w:rPr>
        <w:tab/>
      </w:r>
      <w:r w:rsidR="005118DB">
        <w:rPr>
          <w:rFonts w:ascii="Book Antiqua" w:hAnsi="Book Antiqua" w:cs="Arial"/>
        </w:rPr>
        <w:tab/>
      </w:r>
      <w:r w:rsidR="005118DB">
        <w:rPr>
          <w:rFonts w:ascii="Book Antiqua" w:hAnsi="Book Antiqua" w:cs="Arial"/>
        </w:rPr>
        <w:tab/>
      </w:r>
      <w:r w:rsidR="005118DB">
        <w:rPr>
          <w:rFonts w:ascii="Book Antiqua" w:hAnsi="Book Antiqua" w:cs="Arial"/>
        </w:rPr>
        <w:tab/>
        <w:t>8</w:t>
      </w:r>
      <w:r w:rsidR="005118DB" w:rsidRPr="005118DB">
        <w:rPr>
          <w:rFonts w:ascii="Book Antiqua" w:hAnsi="Book Antiqua" w:cs="Arial"/>
          <w:vertAlign w:val="superscript"/>
        </w:rPr>
        <w:t>th</w:t>
      </w:r>
      <w:r w:rsidR="005118DB">
        <w:rPr>
          <w:rFonts w:ascii="Book Antiqua" w:hAnsi="Book Antiqua" w:cs="Arial"/>
        </w:rPr>
        <w:t xml:space="preserve"> September 2018</w:t>
      </w:r>
    </w:p>
    <w:p w:rsidR="000E34AA" w:rsidRDefault="000E34AA" w:rsidP="000369F5">
      <w:pPr>
        <w:tabs>
          <w:tab w:val="left" w:pos="2520"/>
        </w:tabs>
        <w:jc w:val="both"/>
        <w:rPr>
          <w:rFonts w:ascii="Book Antiqua" w:hAnsi="Book Antiqua" w:cs="Arial"/>
        </w:rPr>
      </w:pPr>
    </w:p>
    <w:p w:rsidR="005B7789" w:rsidRDefault="005B7789" w:rsidP="000369F5">
      <w:pPr>
        <w:tabs>
          <w:tab w:val="left" w:pos="2520"/>
        </w:tabs>
        <w:jc w:val="both"/>
        <w:rPr>
          <w:rFonts w:ascii="Book Antiqua" w:hAnsi="Book Antiqua" w:cs="Arial"/>
        </w:rPr>
      </w:pPr>
    </w:p>
    <w:p w:rsidR="00EC72E6" w:rsidRDefault="00EC72E6" w:rsidP="000369F5">
      <w:pPr>
        <w:tabs>
          <w:tab w:val="left" w:pos="2520"/>
        </w:tabs>
        <w:jc w:val="both"/>
        <w:rPr>
          <w:rFonts w:ascii="Book Antiqua" w:hAnsi="Book Antiqua" w:cs="Arial"/>
        </w:rPr>
      </w:pPr>
    </w:p>
    <w:p w:rsidR="00EC72E6" w:rsidRDefault="00EC72E6" w:rsidP="000369F5">
      <w:pPr>
        <w:tabs>
          <w:tab w:val="left" w:pos="2520"/>
        </w:tabs>
        <w:jc w:val="both"/>
        <w:rPr>
          <w:rFonts w:ascii="Book Antiqua" w:hAnsi="Book Antiqua" w:cs="Arial"/>
        </w:rPr>
      </w:pPr>
    </w:p>
    <w:p w:rsidR="00EC72E6" w:rsidRDefault="00EC72E6" w:rsidP="000369F5">
      <w:pPr>
        <w:tabs>
          <w:tab w:val="left" w:pos="2520"/>
        </w:tabs>
        <w:jc w:val="both"/>
        <w:rPr>
          <w:rFonts w:ascii="Book Antiqua" w:hAnsi="Book Antiqua" w:cs="Arial"/>
        </w:rPr>
      </w:pPr>
    </w:p>
    <w:p w:rsidR="005B7789" w:rsidRPr="00F5664C" w:rsidRDefault="005B7789" w:rsidP="00EC72E6">
      <w:pPr>
        <w:tabs>
          <w:tab w:val="left" w:pos="2520"/>
        </w:tabs>
        <w:jc w:val="both"/>
        <w:rPr>
          <w:rFonts w:ascii="Book Antiqua" w:hAnsi="Book Antiqua" w:cs="Arial"/>
        </w:rPr>
      </w:pPr>
    </w:p>
    <w:sectPr w:rsidR="005B7789" w:rsidRPr="00F5664C" w:rsidSect="00C74988">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9B2" w:rsidRDefault="004F09B2">
      <w:r>
        <w:separator/>
      </w:r>
    </w:p>
  </w:endnote>
  <w:endnote w:type="continuationSeparator" w:id="0">
    <w:p w:rsidR="004F09B2" w:rsidRDefault="004F0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C45A1E" w:rsidRDefault="00CF253F" w:rsidP="00593795">
    <w:pPr>
      <w:pStyle w:val="Footer"/>
      <w:jc w:val="center"/>
      <w:rPr>
        <w:rFonts w:ascii="Book Antiqua" w:hAnsi="Book Antiqua" w:cs="Arial"/>
      </w:rPr>
    </w:pPr>
    <w:r w:rsidRPr="00C45A1E">
      <w:rPr>
        <w:rStyle w:val="PageNumber"/>
        <w:rFonts w:ascii="Book Antiqua" w:hAnsi="Book Antiqua" w:cs="Arial"/>
      </w:rPr>
      <w:fldChar w:fldCharType="begin"/>
    </w:r>
    <w:r w:rsidRPr="00C45A1E">
      <w:rPr>
        <w:rStyle w:val="PageNumber"/>
        <w:rFonts w:ascii="Book Antiqua" w:hAnsi="Book Antiqua" w:cs="Arial"/>
      </w:rPr>
      <w:instrText xml:space="preserve"> PAGE </w:instrText>
    </w:r>
    <w:r w:rsidRPr="00C45A1E">
      <w:rPr>
        <w:rStyle w:val="PageNumber"/>
        <w:rFonts w:ascii="Book Antiqua" w:hAnsi="Book Antiqua" w:cs="Arial"/>
      </w:rPr>
      <w:fldChar w:fldCharType="separate"/>
    </w:r>
    <w:r w:rsidR="000F6FD0">
      <w:rPr>
        <w:rStyle w:val="PageNumber"/>
        <w:rFonts w:ascii="Book Antiqua" w:hAnsi="Book Antiqua" w:cs="Arial"/>
        <w:noProof/>
      </w:rPr>
      <w:t>6</w:t>
    </w:r>
    <w:r w:rsidRPr="00C45A1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9B2" w:rsidRDefault="004F09B2">
      <w:r>
        <w:separator/>
      </w:r>
    </w:p>
  </w:footnote>
  <w:footnote w:type="continuationSeparator" w:id="0">
    <w:p w:rsidR="004F09B2" w:rsidRDefault="004F0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57744F">
      <w:rPr>
        <w:rFonts w:ascii="Book Antiqua" w:hAnsi="Book Antiqua" w:cs="Arial"/>
        <w:sz w:val="16"/>
        <w:szCs w:val="16"/>
      </w:rPr>
      <w:t>HU/16485/2016</w:t>
    </w:r>
  </w:p>
  <w:p w:rsidR="00C45A1E" w:rsidRPr="00F5664C" w:rsidRDefault="00C45A1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D482DCC"/>
    <w:multiLevelType w:val="hybridMultilevel"/>
    <w:tmpl w:val="5BECD4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6"/>
  </w:num>
  <w:num w:numId="10">
    <w:abstractNumId w:val="18"/>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4F"/>
    <w:rsid w:val="00000621"/>
    <w:rsid w:val="000036C2"/>
    <w:rsid w:val="00033D3D"/>
    <w:rsid w:val="000369F5"/>
    <w:rsid w:val="00071A7E"/>
    <w:rsid w:val="000746C0"/>
    <w:rsid w:val="00074D1D"/>
    <w:rsid w:val="00092580"/>
    <w:rsid w:val="000D4112"/>
    <w:rsid w:val="000D5D94"/>
    <w:rsid w:val="000E34AA"/>
    <w:rsid w:val="000F6FD0"/>
    <w:rsid w:val="001165A7"/>
    <w:rsid w:val="00151BB7"/>
    <w:rsid w:val="00167D3A"/>
    <w:rsid w:val="001A1E2C"/>
    <w:rsid w:val="001E6CAB"/>
    <w:rsid w:val="001F2716"/>
    <w:rsid w:val="0020133A"/>
    <w:rsid w:val="00207617"/>
    <w:rsid w:val="00226B21"/>
    <w:rsid w:val="00244BD1"/>
    <w:rsid w:val="00250AF7"/>
    <w:rsid w:val="00283659"/>
    <w:rsid w:val="002C4E73"/>
    <w:rsid w:val="002D68BF"/>
    <w:rsid w:val="002E10BD"/>
    <w:rsid w:val="00336CBF"/>
    <w:rsid w:val="00341014"/>
    <w:rsid w:val="003546C8"/>
    <w:rsid w:val="003A7CF2"/>
    <w:rsid w:val="003C3633"/>
    <w:rsid w:val="003C5CE5"/>
    <w:rsid w:val="003E267B"/>
    <w:rsid w:val="003E7CD1"/>
    <w:rsid w:val="00402B9E"/>
    <w:rsid w:val="00423932"/>
    <w:rsid w:val="004249CB"/>
    <w:rsid w:val="004276AD"/>
    <w:rsid w:val="00437D4F"/>
    <w:rsid w:val="0044127D"/>
    <w:rsid w:val="004448DB"/>
    <w:rsid w:val="00446C9A"/>
    <w:rsid w:val="004528FA"/>
    <w:rsid w:val="00477193"/>
    <w:rsid w:val="00481EE1"/>
    <w:rsid w:val="004937DC"/>
    <w:rsid w:val="004945FF"/>
    <w:rsid w:val="004A1848"/>
    <w:rsid w:val="004F09B2"/>
    <w:rsid w:val="004F2E90"/>
    <w:rsid w:val="004F50BF"/>
    <w:rsid w:val="00507FEC"/>
    <w:rsid w:val="00510F0E"/>
    <w:rsid w:val="005118DB"/>
    <w:rsid w:val="005413FD"/>
    <w:rsid w:val="005479E1"/>
    <w:rsid w:val="005570FD"/>
    <w:rsid w:val="005575EA"/>
    <w:rsid w:val="0057744F"/>
    <w:rsid w:val="0057790C"/>
    <w:rsid w:val="00593795"/>
    <w:rsid w:val="005968F3"/>
    <w:rsid w:val="005A75FF"/>
    <w:rsid w:val="005B4408"/>
    <w:rsid w:val="005B7789"/>
    <w:rsid w:val="00600570"/>
    <w:rsid w:val="006219C2"/>
    <w:rsid w:val="0065791C"/>
    <w:rsid w:val="00670D4A"/>
    <w:rsid w:val="00690B8A"/>
    <w:rsid w:val="006A31E2"/>
    <w:rsid w:val="006D1DFA"/>
    <w:rsid w:val="006D506B"/>
    <w:rsid w:val="006E3C90"/>
    <w:rsid w:val="00704B61"/>
    <w:rsid w:val="00742A8D"/>
    <w:rsid w:val="007542AE"/>
    <w:rsid w:val="007552A9"/>
    <w:rsid w:val="00761858"/>
    <w:rsid w:val="00767D59"/>
    <w:rsid w:val="00776E97"/>
    <w:rsid w:val="00780FD7"/>
    <w:rsid w:val="007858F9"/>
    <w:rsid w:val="007912AD"/>
    <w:rsid w:val="007A1F28"/>
    <w:rsid w:val="007B0824"/>
    <w:rsid w:val="008303B8"/>
    <w:rsid w:val="00833DCE"/>
    <w:rsid w:val="00842418"/>
    <w:rsid w:val="00871D34"/>
    <w:rsid w:val="008B270C"/>
    <w:rsid w:val="008C3D3D"/>
    <w:rsid w:val="008D4131"/>
    <w:rsid w:val="008F1932"/>
    <w:rsid w:val="008F294D"/>
    <w:rsid w:val="008F5E87"/>
    <w:rsid w:val="008F5F6E"/>
    <w:rsid w:val="00920C76"/>
    <w:rsid w:val="00921062"/>
    <w:rsid w:val="0093083E"/>
    <w:rsid w:val="00966ECF"/>
    <w:rsid w:val="009727A3"/>
    <w:rsid w:val="00987774"/>
    <w:rsid w:val="00991986"/>
    <w:rsid w:val="009A11E8"/>
    <w:rsid w:val="009E1BF4"/>
    <w:rsid w:val="009E4E62"/>
    <w:rsid w:val="009F5220"/>
    <w:rsid w:val="009F7C4D"/>
    <w:rsid w:val="00A00716"/>
    <w:rsid w:val="00A15234"/>
    <w:rsid w:val="00A201AB"/>
    <w:rsid w:val="00A31C8B"/>
    <w:rsid w:val="00A44E24"/>
    <w:rsid w:val="00A534A0"/>
    <w:rsid w:val="00A845DC"/>
    <w:rsid w:val="00A97355"/>
    <w:rsid w:val="00A97AEE"/>
    <w:rsid w:val="00AC5CF6"/>
    <w:rsid w:val="00AF35A0"/>
    <w:rsid w:val="00B144FA"/>
    <w:rsid w:val="00B16F58"/>
    <w:rsid w:val="00B2116E"/>
    <w:rsid w:val="00B30648"/>
    <w:rsid w:val="00B3524D"/>
    <w:rsid w:val="00B40F69"/>
    <w:rsid w:val="00B46616"/>
    <w:rsid w:val="00B610E3"/>
    <w:rsid w:val="00B61205"/>
    <w:rsid w:val="00B617C4"/>
    <w:rsid w:val="00B626FA"/>
    <w:rsid w:val="00B668E0"/>
    <w:rsid w:val="00B7040A"/>
    <w:rsid w:val="00B96FA0"/>
    <w:rsid w:val="00B973BE"/>
    <w:rsid w:val="00BD4196"/>
    <w:rsid w:val="00BF20D7"/>
    <w:rsid w:val="00BF22CA"/>
    <w:rsid w:val="00C01616"/>
    <w:rsid w:val="00C26032"/>
    <w:rsid w:val="00C265B0"/>
    <w:rsid w:val="00C321B5"/>
    <w:rsid w:val="00C345E1"/>
    <w:rsid w:val="00C40EBB"/>
    <w:rsid w:val="00C45A1E"/>
    <w:rsid w:val="00C73C5D"/>
    <w:rsid w:val="00C74988"/>
    <w:rsid w:val="00C977BA"/>
    <w:rsid w:val="00CA763C"/>
    <w:rsid w:val="00CB6E35"/>
    <w:rsid w:val="00CE1A46"/>
    <w:rsid w:val="00CF253F"/>
    <w:rsid w:val="00CF56B4"/>
    <w:rsid w:val="00D20F09"/>
    <w:rsid w:val="00D22636"/>
    <w:rsid w:val="00D33B16"/>
    <w:rsid w:val="00D40FD9"/>
    <w:rsid w:val="00D53769"/>
    <w:rsid w:val="00D85C13"/>
    <w:rsid w:val="00D91BE3"/>
    <w:rsid w:val="00D94AFC"/>
    <w:rsid w:val="00DB70AE"/>
    <w:rsid w:val="00DB7231"/>
    <w:rsid w:val="00DC387D"/>
    <w:rsid w:val="00DD4ABC"/>
    <w:rsid w:val="00DD5071"/>
    <w:rsid w:val="00DD5C39"/>
    <w:rsid w:val="00DE26AF"/>
    <w:rsid w:val="00DE7DB7"/>
    <w:rsid w:val="00E00A0A"/>
    <w:rsid w:val="00E07F57"/>
    <w:rsid w:val="00E20872"/>
    <w:rsid w:val="00E50BCE"/>
    <w:rsid w:val="00E61292"/>
    <w:rsid w:val="00E76309"/>
    <w:rsid w:val="00E77C4D"/>
    <w:rsid w:val="00E81D01"/>
    <w:rsid w:val="00EC72E6"/>
    <w:rsid w:val="00ED2D16"/>
    <w:rsid w:val="00EE45D8"/>
    <w:rsid w:val="00EF0354"/>
    <w:rsid w:val="00F004CD"/>
    <w:rsid w:val="00F10D45"/>
    <w:rsid w:val="00F22EDA"/>
    <w:rsid w:val="00F3224D"/>
    <w:rsid w:val="00F33E0E"/>
    <w:rsid w:val="00F36B20"/>
    <w:rsid w:val="00F42469"/>
    <w:rsid w:val="00F5664C"/>
    <w:rsid w:val="00F8267E"/>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8BD2F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57F49-7261-4144-A406-E21D3DF68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2335</Words>
  <Characters>11558</Characters>
  <Application>Microsoft Office Word</Application>
  <DocSecurity>0</DocSecurity>
  <Lines>96</Lines>
  <Paragraphs>27</Paragraphs>
  <ScaleCrop>false</ScaleCrop>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2018-10-05T12:15:00Z</dcterms:created>
  <dcterms:modified xsi:type="dcterms:W3CDTF">2018-10-05T12:15:00Z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