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47E90" w:rsidP="00C321B5">
      <w:pPr>
        <w:jc w:val="center"/>
        <w:rPr>
          <w:rFonts w:ascii="Book Antiqua" w:hAnsi="Book Antiqua" w:cs="Arial"/>
          <w:sz w:val="16"/>
          <w:szCs w:val="16"/>
        </w:rPr>
      </w:pPr>
      <w:r>
        <w:t xml:space="preserve"> </w:t>
      </w:r>
      <w:r w:rsidR="00EB31CF">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BE06F1"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E06F1">
        <w:rPr>
          <w:rFonts w:ascii="Book Antiqua" w:hAnsi="Book Antiqua" w:cs="Arial"/>
          <w:b/>
        </w:rPr>
        <w:t xml:space="preserve">   </w:t>
      </w:r>
      <w:proofErr w:type="gramEnd"/>
      <w:r w:rsidR="00BE06F1">
        <w:rPr>
          <w:rFonts w:ascii="Book Antiqua" w:hAnsi="Book Antiqua" w:cs="Arial"/>
          <w:b/>
        </w:rPr>
        <w:t xml:space="preserve">                   </w:t>
      </w:r>
      <w:r w:rsidR="00B3524D" w:rsidRPr="00BE06F1">
        <w:rPr>
          <w:rFonts w:ascii="Book Antiqua" w:hAnsi="Book Antiqua" w:cs="Arial"/>
          <w:b/>
        </w:rPr>
        <w:t>Appeal Number</w:t>
      </w:r>
      <w:r w:rsidR="00D53769" w:rsidRPr="00BE06F1">
        <w:rPr>
          <w:rFonts w:ascii="Book Antiqua" w:hAnsi="Book Antiqua" w:cs="Arial"/>
          <w:b/>
        </w:rPr>
        <w:t>:</w:t>
      </w:r>
      <w:r w:rsidR="00B3524D" w:rsidRPr="00BE06F1">
        <w:rPr>
          <w:rFonts w:ascii="Book Antiqua" w:hAnsi="Book Antiqua" w:cs="Arial"/>
          <w:b/>
        </w:rPr>
        <w:t xml:space="preserve"> </w:t>
      </w:r>
      <w:r w:rsidR="00D36E3E" w:rsidRPr="00BE06F1">
        <w:rPr>
          <w:rFonts w:ascii="Book Antiqua" w:hAnsi="Book Antiqua" w:cs="Arial"/>
          <w:b/>
          <w:caps/>
        </w:rPr>
        <w:t>HU/1701</w:t>
      </w:r>
      <w:r w:rsidR="00154868" w:rsidRPr="00BE06F1">
        <w:rPr>
          <w:rFonts w:ascii="Book Antiqua" w:hAnsi="Book Antiqua" w:cs="Arial"/>
          <w:b/>
          <w:caps/>
        </w:rPr>
        <w:t>8/2016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8331F7" w:rsidTr="00BE06F1">
        <w:tc>
          <w:tcPr>
            <w:tcW w:w="524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154868">
              <w:rPr>
                <w:rFonts w:ascii="Book Antiqua" w:hAnsi="Book Antiqua" w:cs="Arial"/>
                <w:b/>
              </w:rPr>
              <w:t>Field House</w:t>
            </w:r>
          </w:p>
        </w:tc>
        <w:tc>
          <w:tcPr>
            <w:tcW w:w="4393" w:type="dxa"/>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BE06F1">
        <w:tc>
          <w:tcPr>
            <w:tcW w:w="524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154868">
              <w:rPr>
                <w:rFonts w:ascii="Book Antiqua" w:hAnsi="Book Antiqua" w:cs="Arial"/>
                <w:b/>
              </w:rPr>
              <w:t>1 June 2018</w:t>
            </w:r>
          </w:p>
        </w:tc>
        <w:tc>
          <w:tcPr>
            <w:tcW w:w="4393" w:type="dxa"/>
            <w:shd w:val="clear" w:color="auto" w:fill="auto"/>
          </w:tcPr>
          <w:p w:rsidR="00D22636" w:rsidRPr="008331F7" w:rsidRDefault="00EB31CF" w:rsidP="008331F7">
            <w:pPr>
              <w:jc w:val="both"/>
              <w:rPr>
                <w:rFonts w:ascii="Book Antiqua" w:hAnsi="Book Antiqua" w:cs="Arial"/>
                <w:b/>
              </w:rPr>
            </w:pPr>
            <w:r>
              <w:rPr>
                <w:rFonts w:ascii="Book Antiqua" w:hAnsi="Book Antiqua" w:cs="Arial"/>
                <w:b/>
              </w:rPr>
              <w:t>On 5 July 2018</w:t>
            </w:r>
          </w:p>
        </w:tc>
      </w:tr>
      <w:tr w:rsidR="00D22636" w:rsidRPr="008331F7" w:rsidTr="00BE06F1">
        <w:tc>
          <w:tcPr>
            <w:tcW w:w="5245" w:type="dxa"/>
            <w:shd w:val="clear" w:color="auto" w:fill="auto"/>
          </w:tcPr>
          <w:p w:rsidR="00D22636" w:rsidRPr="008331F7" w:rsidRDefault="00D22636" w:rsidP="008331F7">
            <w:pPr>
              <w:jc w:val="both"/>
              <w:rPr>
                <w:rFonts w:ascii="Book Antiqua" w:hAnsi="Book Antiqua" w:cs="Arial"/>
                <w:b/>
              </w:rPr>
            </w:pPr>
          </w:p>
        </w:tc>
        <w:tc>
          <w:tcPr>
            <w:tcW w:w="4393"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D36E3E">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36E3E" w:rsidP="00742A8D">
      <w:pPr>
        <w:jc w:val="center"/>
        <w:rPr>
          <w:rFonts w:ascii="Book Antiqua" w:hAnsi="Book Antiqua" w:cs="Arial"/>
          <w:b/>
          <w:caps/>
        </w:rPr>
      </w:pPr>
      <w:r>
        <w:rPr>
          <w:rFonts w:ascii="Book Antiqua" w:hAnsi="Book Antiqua" w:cs="Arial"/>
          <w:b/>
          <w:caps/>
        </w:rPr>
        <w:t>mr muhammad yasir pathan</w:t>
      </w:r>
    </w:p>
    <w:p w:rsidR="00BA6D13" w:rsidRPr="00BE06F1" w:rsidRDefault="00BA6D13" w:rsidP="00742A8D">
      <w:pPr>
        <w:jc w:val="center"/>
        <w:rPr>
          <w:rFonts w:ascii="Book Antiqua" w:hAnsi="Book Antiqua" w:cs="Arial"/>
          <w:caps/>
        </w:rPr>
      </w:pPr>
      <w:r w:rsidRPr="00BE06F1">
        <w:rPr>
          <w:rFonts w:ascii="Book Antiqua" w:hAnsi="Book Antiqua" w:cs="Arial"/>
          <w:caps/>
        </w:rPr>
        <w:t>(anonymity direction</w:t>
      </w:r>
      <w:r w:rsidR="00BE06F1" w:rsidRPr="00BE06F1">
        <w:rPr>
          <w:rFonts w:ascii="Book Antiqua" w:hAnsi="Book Antiqua" w:cs="Arial"/>
          <w:caps/>
        </w:rPr>
        <w:t xml:space="preserve"> NOT MADE</w:t>
      </w:r>
      <w:r w:rsidRPr="00BE06F1">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E06F1" w:rsidRPr="00F5664C" w:rsidRDefault="00BE06F1"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36E3E">
        <w:rPr>
          <w:rFonts w:ascii="Book Antiqua" w:hAnsi="Book Antiqua" w:cs="Arial"/>
        </w:rPr>
        <w:t>No appearance.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36E3E">
        <w:rPr>
          <w:rFonts w:ascii="Book Antiqua" w:hAnsi="Book Antiqua" w:cs="Arial"/>
        </w:rPr>
        <w:t>Mr T Melvin, Home Office Presenting Officer.</w:t>
      </w: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Default="00D36E3E"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 appealed against the decision of the Respondent to refuse his application for leave to remain on the basis of his family and private life under Appendix FM and paragraphs 276</w:t>
      </w:r>
      <w:proofErr w:type="gramStart"/>
      <w:r>
        <w:rPr>
          <w:rFonts w:ascii="Book Antiqua" w:hAnsi="Book Antiqua" w:cs="Arial"/>
        </w:rPr>
        <w:t>ADE(</w:t>
      </w:r>
      <w:proofErr w:type="gramEnd"/>
      <w:r>
        <w:rPr>
          <w:rFonts w:ascii="Book Antiqua" w:hAnsi="Book Antiqua" w:cs="Arial"/>
        </w:rPr>
        <w:t xml:space="preserve">1)-CE and outside the Immigration Rules. That appeal was heard by Judge of the First-tier Tribunal Juss who, in a decision promulgated on 1 August 2017, dismissed it. </w:t>
      </w:r>
    </w:p>
    <w:p w:rsidR="00D36E3E" w:rsidRDefault="00D36E3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sought permission to appeal and his application was granted by Judge of the First-tier Tribunal S P J Buchanan in a decision dated 30 January 2018. The reasons he gave for so granting </w:t>
      </w:r>
      <w:proofErr w:type="gramStart"/>
      <w:r>
        <w:rPr>
          <w:rFonts w:ascii="Book Antiqua" w:hAnsi="Book Antiqua" w:cs="Arial"/>
        </w:rPr>
        <w:t>were</w:t>
      </w:r>
      <w:proofErr w:type="gramEnd"/>
      <w:r>
        <w:rPr>
          <w:rFonts w:ascii="Book Antiqua" w:hAnsi="Book Antiqua" w:cs="Arial"/>
        </w:rPr>
        <w:t>: -</w:t>
      </w:r>
    </w:p>
    <w:p w:rsidR="00D36E3E" w:rsidRDefault="00D36E3E" w:rsidP="00C930C6">
      <w:pPr>
        <w:spacing w:before="240"/>
        <w:ind w:left="1689" w:hanging="555"/>
        <w:jc w:val="both"/>
        <w:rPr>
          <w:rFonts w:ascii="Book Antiqua" w:hAnsi="Book Antiqua" w:cs="Arial"/>
        </w:rPr>
      </w:pPr>
      <w:r>
        <w:rPr>
          <w:rFonts w:ascii="Book Antiqua" w:hAnsi="Book Antiqua" w:cs="Arial"/>
        </w:rPr>
        <w:lastRenderedPageBreak/>
        <w:t>“1.</w:t>
      </w:r>
      <w:r>
        <w:rPr>
          <w:rFonts w:ascii="Book Antiqua" w:hAnsi="Book Antiqua" w:cs="Arial"/>
        </w:rPr>
        <w:tab/>
        <w:t xml:space="preserve">The </w:t>
      </w:r>
      <w:r w:rsidR="00C930C6">
        <w:rPr>
          <w:rFonts w:ascii="Book Antiqua" w:hAnsi="Book Antiqua" w:cs="Arial"/>
        </w:rPr>
        <w:t>appellant</w:t>
      </w:r>
      <w:r>
        <w:rPr>
          <w:rFonts w:ascii="Book Antiqua" w:hAnsi="Book Antiqua" w:cs="Arial"/>
        </w:rPr>
        <w:t xml:space="preserve"> seeks permission to appeal, (out of time), against a Decision of the First-tier Tribunal </w:t>
      </w:r>
      <w:r w:rsidR="0015225D">
        <w:rPr>
          <w:rFonts w:ascii="Book Antiqua" w:hAnsi="Book Antiqua" w:cs="Arial"/>
        </w:rPr>
        <w:t xml:space="preserve">(Judge Juss) who, in a Decision and Reasons promulgated on 1 August 2017 dismissed the </w:t>
      </w:r>
      <w:r w:rsidR="00C930C6">
        <w:rPr>
          <w:rFonts w:ascii="Book Antiqua" w:hAnsi="Book Antiqua" w:cs="Arial"/>
        </w:rPr>
        <w:t>appellant</w:t>
      </w:r>
      <w:r w:rsidR="0015225D">
        <w:rPr>
          <w:rFonts w:ascii="Book Antiqua" w:hAnsi="Book Antiqua" w:cs="Arial"/>
        </w:rPr>
        <w:t xml:space="preserve">’s appeal </w:t>
      </w:r>
      <w:r w:rsidR="00C930C6">
        <w:rPr>
          <w:rFonts w:ascii="Book Antiqua" w:hAnsi="Book Antiqua" w:cs="Arial"/>
        </w:rPr>
        <w:t>against the Secretary of State’s decision to refuse leave to remain.</w:t>
      </w:r>
    </w:p>
    <w:p w:rsidR="00C930C6" w:rsidRDefault="00C930C6" w:rsidP="00C930C6">
      <w:pPr>
        <w:spacing w:before="240"/>
        <w:ind w:left="1689" w:hanging="552"/>
        <w:jc w:val="both"/>
        <w:rPr>
          <w:rFonts w:ascii="Book Antiqua" w:hAnsi="Book Antiqua" w:cs="Arial"/>
        </w:rPr>
      </w:pPr>
      <w:r>
        <w:rPr>
          <w:rFonts w:ascii="Book Antiqua" w:hAnsi="Book Antiqua" w:cs="Arial"/>
        </w:rPr>
        <w:t>2.</w:t>
      </w:r>
      <w:r>
        <w:rPr>
          <w:rFonts w:ascii="Book Antiqua" w:hAnsi="Book Antiqua" w:cs="Arial"/>
        </w:rPr>
        <w:tab/>
        <w:t>The application for permission to appeal is one day late. There is no explanation given. I allow the application to be received though late because of the very short period of overrun to the days of appeal; and because the application raises an arguable error of law.</w:t>
      </w:r>
    </w:p>
    <w:p w:rsidR="00C930C6" w:rsidRDefault="00C930C6" w:rsidP="00C930C6">
      <w:pPr>
        <w:spacing w:before="240"/>
        <w:ind w:left="1689" w:hanging="552"/>
        <w:jc w:val="both"/>
        <w:rPr>
          <w:rFonts w:ascii="Book Antiqua" w:hAnsi="Book Antiqua" w:cs="Arial"/>
        </w:rPr>
      </w:pPr>
      <w:r>
        <w:rPr>
          <w:rFonts w:ascii="Book Antiqua" w:hAnsi="Book Antiqua" w:cs="Arial"/>
        </w:rPr>
        <w:t>3.</w:t>
      </w:r>
      <w:r>
        <w:rPr>
          <w:rFonts w:ascii="Book Antiqua" w:hAnsi="Book Antiqua" w:cs="Arial"/>
        </w:rPr>
        <w:tab/>
        <w:t>The grounds of appeal assert inter alia that the Judge failed to determine whether in this Human Rights appeal the appellant met the provisions of paragraph 276</w:t>
      </w:r>
      <w:proofErr w:type="gramStart"/>
      <w:r>
        <w:rPr>
          <w:rFonts w:ascii="Book Antiqua" w:hAnsi="Book Antiqua" w:cs="Arial"/>
        </w:rPr>
        <w:t>ADE(</w:t>
      </w:r>
      <w:proofErr w:type="gramEnd"/>
      <w:r>
        <w:rPr>
          <w:rFonts w:ascii="Book Antiqua" w:hAnsi="Book Antiqua" w:cs="Arial"/>
        </w:rPr>
        <w:t>1) of the Immigration Rules; and that the Judge failed to determine whether the appellant had a fair opportunity to provide a new CAS letter.</w:t>
      </w:r>
    </w:p>
    <w:p w:rsidR="00C930C6" w:rsidRDefault="00C930C6" w:rsidP="00C930C6">
      <w:pPr>
        <w:spacing w:before="240"/>
        <w:ind w:left="1689" w:hanging="552"/>
        <w:jc w:val="both"/>
        <w:rPr>
          <w:rFonts w:ascii="Book Antiqua" w:hAnsi="Book Antiqua" w:cs="Arial"/>
        </w:rPr>
      </w:pPr>
      <w:r>
        <w:rPr>
          <w:rFonts w:ascii="Book Antiqua" w:hAnsi="Book Antiqua" w:cs="Arial"/>
        </w:rPr>
        <w:t>4.</w:t>
      </w:r>
      <w:r>
        <w:rPr>
          <w:rFonts w:ascii="Book Antiqua" w:hAnsi="Book Antiqua" w:cs="Arial"/>
        </w:rPr>
        <w:tab/>
        <w:t>Immigration Rule 276</w:t>
      </w:r>
      <w:proofErr w:type="gramStart"/>
      <w:r>
        <w:rPr>
          <w:rFonts w:ascii="Book Antiqua" w:hAnsi="Book Antiqua" w:cs="Arial"/>
        </w:rPr>
        <w:t>ADE(</w:t>
      </w:r>
      <w:proofErr w:type="gramEnd"/>
      <w:r>
        <w:rPr>
          <w:rFonts w:ascii="Book Antiqua" w:hAnsi="Book Antiqua" w:cs="Arial"/>
        </w:rPr>
        <w:t xml:space="preserve">1) is raised as an issue in the respondent’s reasons for refusal letter. The respondent contends that there would not be very significant obstacles to the </w:t>
      </w:r>
      <w:r w:rsidR="006B1711">
        <w:rPr>
          <w:rFonts w:ascii="Book Antiqua" w:hAnsi="Book Antiqua" w:cs="Arial"/>
        </w:rPr>
        <w:t xml:space="preserve">Appellant’s integration to Pakistan. The Judge concludes at paragraph 11 that the Appellant “obviously </w:t>
      </w:r>
      <w:proofErr w:type="gramStart"/>
      <w:r w:rsidR="006B1711">
        <w:rPr>
          <w:rFonts w:ascii="Book Antiqua" w:hAnsi="Book Antiqua" w:cs="Arial"/>
        </w:rPr>
        <w:t>does not succeed</w:t>
      </w:r>
      <w:proofErr w:type="gramEnd"/>
      <w:r w:rsidR="006B1711">
        <w:rPr>
          <w:rFonts w:ascii="Book Antiqua" w:hAnsi="Book Antiqua" w:cs="Arial"/>
        </w:rPr>
        <w:t xml:space="preserve"> outside the rules. The question is whether he succeeds outside them”. Plainly that conclusion drawn by the Judge was that obviously the appellant could not succeed in terms of the Rules, but that the question was whether he succeeds outside them.” </w:t>
      </w:r>
    </w:p>
    <w:p w:rsidR="00500D75" w:rsidRDefault="00500D75" w:rsidP="00500D75">
      <w:pPr>
        <w:numPr>
          <w:ilvl w:val="0"/>
          <w:numId w:val="3"/>
        </w:numPr>
        <w:tabs>
          <w:tab w:val="clear" w:pos="567"/>
        </w:tabs>
        <w:spacing w:before="240"/>
        <w:jc w:val="both"/>
        <w:rPr>
          <w:rFonts w:ascii="Book Antiqua" w:hAnsi="Book Antiqua" w:cs="Arial"/>
        </w:rPr>
      </w:pPr>
      <w:r>
        <w:rPr>
          <w:rFonts w:ascii="Book Antiqua" w:hAnsi="Book Antiqua" w:cs="Arial"/>
        </w:rPr>
        <w:t xml:space="preserve">At the outset Mr Melvin acknowledged that there was ambiguity in the Judge’s decision as to </w:t>
      </w:r>
      <w:proofErr w:type="gramStart"/>
      <w:r>
        <w:rPr>
          <w:rFonts w:ascii="Book Antiqua" w:hAnsi="Book Antiqua" w:cs="Arial"/>
        </w:rPr>
        <w:t>whether or not</w:t>
      </w:r>
      <w:proofErr w:type="gramEnd"/>
      <w:r>
        <w:rPr>
          <w:rFonts w:ascii="Book Antiqua" w:hAnsi="Book Antiqua" w:cs="Arial"/>
        </w:rPr>
        <w:t xml:space="preserve"> the Appellant met the requirements of the Immigration Rules themselves. At paragraph 11 of his decision the Judge states: -</w:t>
      </w:r>
    </w:p>
    <w:p w:rsidR="004B5D4A" w:rsidRDefault="004B5D4A" w:rsidP="004B5D4A">
      <w:pPr>
        <w:spacing w:before="240"/>
        <w:ind w:left="1134"/>
        <w:jc w:val="both"/>
        <w:rPr>
          <w:rFonts w:ascii="Book Antiqua" w:hAnsi="Book Antiqua" w:cs="Arial"/>
        </w:rPr>
      </w:pPr>
      <w:r>
        <w:rPr>
          <w:rFonts w:ascii="Book Antiqua" w:hAnsi="Book Antiqua" w:cs="Arial"/>
        </w:rPr>
        <w:t xml:space="preserve">“…He obviously </w:t>
      </w:r>
      <w:proofErr w:type="gramStart"/>
      <w:r>
        <w:rPr>
          <w:rFonts w:ascii="Book Antiqua" w:hAnsi="Book Antiqua" w:cs="Arial"/>
        </w:rPr>
        <w:t>does not succeed</w:t>
      </w:r>
      <w:proofErr w:type="gramEnd"/>
      <w:r>
        <w:rPr>
          <w:rFonts w:ascii="Book Antiqua" w:hAnsi="Book Antiqua" w:cs="Arial"/>
        </w:rPr>
        <w:t xml:space="preserve"> outside the Rules. The question is whether he succeeds outside them…”</w:t>
      </w:r>
    </w:p>
    <w:p w:rsidR="004B5D4A" w:rsidRDefault="004B5D4A" w:rsidP="004B5D4A">
      <w:pPr>
        <w:spacing w:before="240"/>
        <w:ind w:left="567" w:firstLine="3"/>
        <w:jc w:val="both"/>
        <w:rPr>
          <w:rFonts w:ascii="Book Antiqua" w:hAnsi="Book Antiqua" w:cs="Arial"/>
        </w:rPr>
      </w:pPr>
      <w:r>
        <w:rPr>
          <w:rFonts w:ascii="Book Antiqua" w:hAnsi="Book Antiqua" w:cs="Arial"/>
        </w:rPr>
        <w:t xml:space="preserve">He also acknowledged that even in considering the Appellant’s position outside of the Immigration Rules there is no fact finding or balance sheet exercise within the Judge’s decision. </w:t>
      </w:r>
    </w:p>
    <w:p w:rsidR="00500D75" w:rsidRDefault="004B5D4A" w:rsidP="00500D75">
      <w:pPr>
        <w:numPr>
          <w:ilvl w:val="0"/>
          <w:numId w:val="3"/>
        </w:numPr>
        <w:tabs>
          <w:tab w:val="clear" w:pos="567"/>
        </w:tabs>
        <w:spacing w:before="240"/>
        <w:jc w:val="both"/>
        <w:rPr>
          <w:rFonts w:ascii="Book Antiqua" w:hAnsi="Book Antiqua" w:cs="Arial"/>
        </w:rPr>
      </w:pPr>
      <w:r>
        <w:rPr>
          <w:rFonts w:ascii="Book Antiqua" w:hAnsi="Book Antiqua" w:cs="Arial"/>
        </w:rPr>
        <w:t xml:space="preserve">I find that to be precisely the position. The Judge has failed to make material findings in relation to issues that fell to be decided in relation to </w:t>
      </w:r>
      <w:proofErr w:type="gramStart"/>
      <w:r>
        <w:rPr>
          <w:rFonts w:ascii="Book Antiqua" w:hAnsi="Book Antiqua" w:cs="Arial"/>
        </w:rPr>
        <w:t>whether or not</w:t>
      </w:r>
      <w:proofErr w:type="gramEnd"/>
      <w:r>
        <w:rPr>
          <w:rFonts w:ascii="Book Antiqua" w:hAnsi="Book Antiqua" w:cs="Arial"/>
        </w:rPr>
        <w:t xml:space="preserve"> the Appellant was able to meet the requirements of the Immigration Rules and then has failed to fully consider Article 8 outside of the Immigration Rules. Whilst Mr Melvin argued that these errors might not be material I do not find that to be the position. Not only has the Judge failed to resolve issues in dispute between the parties but he has inadequately reasoned such analysis as he has made in relation to Article 8.</w:t>
      </w:r>
    </w:p>
    <w:p w:rsidR="004B5D4A" w:rsidRPr="00500D75" w:rsidRDefault="004B5D4A" w:rsidP="00500D75">
      <w:pPr>
        <w:numPr>
          <w:ilvl w:val="0"/>
          <w:numId w:val="3"/>
        </w:numPr>
        <w:tabs>
          <w:tab w:val="clear" w:pos="567"/>
        </w:tabs>
        <w:spacing w:before="240"/>
        <w:jc w:val="both"/>
        <w:rPr>
          <w:rFonts w:ascii="Book Antiqua" w:hAnsi="Book Antiqua" w:cs="Arial"/>
        </w:rPr>
      </w:pPr>
      <w:r>
        <w:rPr>
          <w:rFonts w:ascii="Book Antiqua" w:hAnsi="Book Antiqua" w:cs="Arial"/>
        </w:rPr>
        <w:t xml:space="preserve">I gave careful consideration as to </w:t>
      </w:r>
      <w:proofErr w:type="gramStart"/>
      <w:r>
        <w:rPr>
          <w:rFonts w:ascii="Book Antiqua" w:hAnsi="Book Antiqua" w:cs="Arial"/>
        </w:rPr>
        <w:t>whether or not</w:t>
      </w:r>
      <w:proofErr w:type="gramEnd"/>
      <w:r>
        <w:rPr>
          <w:rFonts w:ascii="Book Antiqua" w:hAnsi="Book Antiqua" w:cs="Arial"/>
        </w:rPr>
        <w:t xml:space="preserve"> I shoul</w:t>
      </w:r>
      <w:r w:rsidR="001D4C78">
        <w:rPr>
          <w:rFonts w:ascii="Book Antiqua" w:hAnsi="Book Antiqua" w:cs="Arial"/>
        </w:rPr>
        <w:t>d remit this appeal back to Judge of the First-tier Tribunal Juss for consideration of the outstanding matters. However, having listened to Mr Melvin on this point and the Appellant himself I am satisfied that the fair disposal is for this appeal to be remitted back to the First-tier Tribunal.</w:t>
      </w: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lastRenderedPageBreak/>
        <w:t>Decision</w:t>
      </w:r>
      <w:bookmarkStart w:id="0" w:name="_GoBack"/>
      <w:bookmarkEnd w:id="0"/>
    </w:p>
    <w:p w:rsidR="00BA6D13" w:rsidRDefault="00BA6D13" w:rsidP="00BA6D13">
      <w:pPr>
        <w:jc w:val="both"/>
        <w:rPr>
          <w:rFonts w:ascii="Book Antiqua" w:hAnsi="Book Antiqua" w:cs="Arial"/>
        </w:rPr>
      </w:pPr>
    </w:p>
    <w:p w:rsidR="007D52D1" w:rsidRPr="00C13893" w:rsidRDefault="007D52D1" w:rsidP="007D52D1">
      <w:pPr>
        <w:jc w:val="both"/>
        <w:rPr>
          <w:rFonts w:ascii="Book Antiqua" w:hAnsi="Book Antiqua" w:cs="Arial"/>
        </w:rPr>
      </w:pPr>
      <w:r w:rsidRPr="007D52D1">
        <w:rPr>
          <w:rFonts w:ascii="Book Antiqua" w:hAnsi="Book Antiqua" w:cs="Arial"/>
        </w:rPr>
        <w:t>The</w:t>
      </w:r>
      <w:r w:rsidR="00C13893">
        <w:rPr>
          <w:rFonts w:ascii="Calibri" w:hAnsi="Calibri" w:cs="Calibri"/>
          <w:sz w:val="22"/>
          <w:szCs w:val="22"/>
        </w:rPr>
        <w:t xml:space="preserve"> </w:t>
      </w:r>
      <w:r w:rsidR="00C13893" w:rsidRPr="00C13893">
        <w:rPr>
          <w:rFonts w:ascii="Book Antiqua" w:hAnsi="Book Antiqua" w:cs="Calibri"/>
          <w:sz w:val="22"/>
          <w:szCs w:val="22"/>
        </w:rPr>
        <w:t>making of the decision of the First-tier Tribunal involved the making of an error on a point of law. The decision is set aside. The appeal is remitted to the First-tier Tribunal to be dealt with afresh pursuant to Section 12(2)(b)(</w:t>
      </w:r>
      <w:proofErr w:type="spellStart"/>
      <w:r w:rsidR="00C13893" w:rsidRPr="00C13893">
        <w:rPr>
          <w:rFonts w:ascii="Book Antiqua" w:hAnsi="Book Antiqua" w:cs="Calibri"/>
          <w:sz w:val="22"/>
          <w:szCs w:val="22"/>
        </w:rPr>
        <w:t>i</w:t>
      </w:r>
      <w:proofErr w:type="spellEnd"/>
      <w:r w:rsidR="00C13893" w:rsidRPr="00C13893">
        <w:rPr>
          <w:rFonts w:ascii="Book Antiqua" w:hAnsi="Book Antiqua" w:cs="Calibri"/>
          <w:sz w:val="22"/>
          <w:szCs w:val="22"/>
        </w:rPr>
        <w:t>) of the Tribunals, Courts and Enforcement Act 2007 and Practice Direction 7(b) b</w:t>
      </w:r>
      <w:r w:rsidR="00C13893">
        <w:rPr>
          <w:rFonts w:ascii="Book Antiqua" w:hAnsi="Book Antiqua" w:cs="Calibri"/>
          <w:sz w:val="22"/>
          <w:szCs w:val="22"/>
        </w:rPr>
        <w:t>efore any Judge aside from Judge Juss</w:t>
      </w:r>
      <w:r w:rsidR="00D35D71">
        <w:rPr>
          <w:rFonts w:ascii="Book Antiqua" w:hAnsi="Book Antiqua" w:cs="Calibri"/>
          <w:sz w:val="22"/>
          <w:szCs w:val="22"/>
        </w:rPr>
        <w:t>.</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Default="00BA6D13" w:rsidP="00BA6D13">
      <w:pPr>
        <w:jc w:val="both"/>
        <w:rPr>
          <w:rFonts w:ascii="Book Antiqua" w:hAnsi="Book Antiqua" w:cs="Arial"/>
        </w:rPr>
      </w:pPr>
    </w:p>
    <w:p w:rsidR="00BA6D13" w:rsidRPr="00F5664C"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47E90">
        <w:rPr>
          <w:rFonts w:ascii="Book Antiqua" w:hAnsi="Book Antiqua" w:cs="Arial"/>
        </w:rPr>
        <w:t xml:space="preserve"> 4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5B7789" w:rsidRPr="00F5664C" w:rsidRDefault="005B7789" w:rsidP="005B7789">
      <w:pPr>
        <w:rPr>
          <w:rFonts w:ascii="Book Antiqua" w:hAnsi="Book Antiqua"/>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BE06F1">
      <w:headerReference w:type="default" r:id="rId8"/>
      <w:footerReference w:type="default" r:id="rId9"/>
      <w:headerReference w:type="first" r:id="rId10"/>
      <w:footerReference w:type="first" r:id="rId11"/>
      <w:type w:val="continuous"/>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C9D" w:rsidRDefault="00B17C9D">
      <w:r>
        <w:separator/>
      </w:r>
    </w:p>
  </w:endnote>
  <w:endnote w:type="continuationSeparator" w:id="0">
    <w:p w:rsidR="00B17C9D" w:rsidRDefault="00B1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BE06F1" w:rsidRDefault="005350C8" w:rsidP="00593795">
    <w:pPr>
      <w:pStyle w:val="Footer"/>
      <w:jc w:val="center"/>
      <w:rPr>
        <w:rFonts w:ascii="Book Antiqua" w:hAnsi="Book Antiqua" w:cs="Arial"/>
      </w:rPr>
    </w:pPr>
    <w:r w:rsidRPr="00BE06F1">
      <w:rPr>
        <w:rStyle w:val="PageNumber"/>
        <w:rFonts w:ascii="Book Antiqua" w:hAnsi="Book Antiqua" w:cs="Arial"/>
      </w:rPr>
      <w:fldChar w:fldCharType="begin"/>
    </w:r>
    <w:r w:rsidRPr="00BE06F1">
      <w:rPr>
        <w:rStyle w:val="PageNumber"/>
        <w:rFonts w:ascii="Book Antiqua" w:hAnsi="Book Antiqua" w:cs="Arial"/>
      </w:rPr>
      <w:instrText xml:space="preserve"> PAGE </w:instrText>
    </w:r>
    <w:r w:rsidRPr="00BE06F1">
      <w:rPr>
        <w:rStyle w:val="PageNumber"/>
        <w:rFonts w:ascii="Book Antiqua" w:hAnsi="Book Antiqua" w:cs="Arial"/>
      </w:rPr>
      <w:fldChar w:fldCharType="separate"/>
    </w:r>
    <w:r w:rsidR="00E42B32">
      <w:rPr>
        <w:rStyle w:val="PageNumber"/>
        <w:rFonts w:ascii="Book Antiqua" w:hAnsi="Book Antiqua" w:cs="Arial"/>
        <w:noProof/>
      </w:rPr>
      <w:t>3</w:t>
    </w:r>
    <w:r w:rsidRPr="00BE06F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C9D" w:rsidRDefault="00B17C9D">
      <w:r>
        <w:separator/>
      </w:r>
    </w:p>
  </w:footnote>
  <w:footnote w:type="continuationSeparator" w:id="0">
    <w:p w:rsidR="00B17C9D" w:rsidRDefault="00B17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36E3E">
      <w:rPr>
        <w:rFonts w:ascii="Book Antiqua" w:hAnsi="Book Antiqua" w:cs="Arial"/>
        <w:sz w:val="16"/>
        <w:szCs w:val="16"/>
      </w:rPr>
      <w:t>HU/17018/2016</w:t>
    </w:r>
  </w:p>
  <w:p w:rsidR="00BE06F1" w:rsidRPr="00F5664C" w:rsidRDefault="00BE06F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71A7E"/>
    <w:rsid w:val="000746C0"/>
    <w:rsid w:val="00074D1D"/>
    <w:rsid w:val="00092580"/>
    <w:rsid w:val="000D01C9"/>
    <w:rsid w:val="000D4097"/>
    <w:rsid w:val="000D5D94"/>
    <w:rsid w:val="000E0CD7"/>
    <w:rsid w:val="000F674C"/>
    <w:rsid w:val="00114F8B"/>
    <w:rsid w:val="001165A7"/>
    <w:rsid w:val="00134C15"/>
    <w:rsid w:val="00151BB7"/>
    <w:rsid w:val="0015225D"/>
    <w:rsid w:val="00154868"/>
    <w:rsid w:val="00167D3A"/>
    <w:rsid w:val="001A00AA"/>
    <w:rsid w:val="001A1E2C"/>
    <w:rsid w:val="001D0315"/>
    <w:rsid w:val="001D4C78"/>
    <w:rsid w:val="001F2716"/>
    <w:rsid w:val="0020133A"/>
    <w:rsid w:val="00207617"/>
    <w:rsid w:val="00255071"/>
    <w:rsid w:val="00283659"/>
    <w:rsid w:val="002C4E73"/>
    <w:rsid w:val="002D68BF"/>
    <w:rsid w:val="00312420"/>
    <w:rsid w:val="00336CBF"/>
    <w:rsid w:val="003546C8"/>
    <w:rsid w:val="00357647"/>
    <w:rsid w:val="003951DB"/>
    <w:rsid w:val="003A7CF2"/>
    <w:rsid w:val="003C5CE5"/>
    <w:rsid w:val="003E267B"/>
    <w:rsid w:val="003E7CD1"/>
    <w:rsid w:val="00402B9E"/>
    <w:rsid w:val="00423932"/>
    <w:rsid w:val="004249CB"/>
    <w:rsid w:val="0044127D"/>
    <w:rsid w:val="004448DB"/>
    <w:rsid w:val="00446C9A"/>
    <w:rsid w:val="00454CFE"/>
    <w:rsid w:val="00466865"/>
    <w:rsid w:val="00477193"/>
    <w:rsid w:val="004A1848"/>
    <w:rsid w:val="004B5D4A"/>
    <w:rsid w:val="004C7D31"/>
    <w:rsid w:val="004F6238"/>
    <w:rsid w:val="00500D75"/>
    <w:rsid w:val="00507741"/>
    <w:rsid w:val="00507FEC"/>
    <w:rsid w:val="00510F0E"/>
    <w:rsid w:val="00533133"/>
    <w:rsid w:val="005350C8"/>
    <w:rsid w:val="005479E1"/>
    <w:rsid w:val="005570FD"/>
    <w:rsid w:val="005575EA"/>
    <w:rsid w:val="0057790C"/>
    <w:rsid w:val="00581AC7"/>
    <w:rsid w:val="00593795"/>
    <w:rsid w:val="005A4D92"/>
    <w:rsid w:val="005A75FF"/>
    <w:rsid w:val="005B7789"/>
    <w:rsid w:val="0065791C"/>
    <w:rsid w:val="00690B8A"/>
    <w:rsid w:val="006B1711"/>
    <w:rsid w:val="006D1DFA"/>
    <w:rsid w:val="006D506B"/>
    <w:rsid w:val="006E3C90"/>
    <w:rsid w:val="00704B61"/>
    <w:rsid w:val="00707DB1"/>
    <w:rsid w:val="007353BB"/>
    <w:rsid w:val="00742A8D"/>
    <w:rsid w:val="007552A9"/>
    <w:rsid w:val="00761858"/>
    <w:rsid w:val="00763551"/>
    <w:rsid w:val="00767D59"/>
    <w:rsid w:val="00776E97"/>
    <w:rsid w:val="00780FD7"/>
    <w:rsid w:val="007912AD"/>
    <w:rsid w:val="007A1F28"/>
    <w:rsid w:val="007B0824"/>
    <w:rsid w:val="007B283A"/>
    <w:rsid w:val="007C0903"/>
    <w:rsid w:val="007D52D1"/>
    <w:rsid w:val="008303B8"/>
    <w:rsid w:val="00832952"/>
    <w:rsid w:val="008331F7"/>
    <w:rsid w:val="00833DCE"/>
    <w:rsid w:val="00842418"/>
    <w:rsid w:val="008634DB"/>
    <w:rsid w:val="00871D34"/>
    <w:rsid w:val="00894044"/>
    <w:rsid w:val="008B270C"/>
    <w:rsid w:val="008C3D3D"/>
    <w:rsid w:val="008D4131"/>
    <w:rsid w:val="008F1932"/>
    <w:rsid w:val="008F294D"/>
    <w:rsid w:val="00921062"/>
    <w:rsid w:val="0092618D"/>
    <w:rsid w:val="0093083E"/>
    <w:rsid w:val="00966ECF"/>
    <w:rsid w:val="009727A3"/>
    <w:rsid w:val="00987774"/>
    <w:rsid w:val="009943FE"/>
    <w:rsid w:val="009A11E8"/>
    <w:rsid w:val="009E389C"/>
    <w:rsid w:val="009E4E62"/>
    <w:rsid w:val="009F5220"/>
    <w:rsid w:val="009F7C4D"/>
    <w:rsid w:val="00A13592"/>
    <w:rsid w:val="00A1387B"/>
    <w:rsid w:val="00A15234"/>
    <w:rsid w:val="00A201AB"/>
    <w:rsid w:val="00A31C8B"/>
    <w:rsid w:val="00A404B6"/>
    <w:rsid w:val="00A75965"/>
    <w:rsid w:val="00A845DC"/>
    <w:rsid w:val="00A905B7"/>
    <w:rsid w:val="00A97AEE"/>
    <w:rsid w:val="00AA28D5"/>
    <w:rsid w:val="00AC5CF6"/>
    <w:rsid w:val="00AD6904"/>
    <w:rsid w:val="00B144FA"/>
    <w:rsid w:val="00B16F58"/>
    <w:rsid w:val="00B17C9D"/>
    <w:rsid w:val="00B30648"/>
    <w:rsid w:val="00B3524D"/>
    <w:rsid w:val="00B40F69"/>
    <w:rsid w:val="00B46616"/>
    <w:rsid w:val="00B610E3"/>
    <w:rsid w:val="00B61205"/>
    <w:rsid w:val="00B617C4"/>
    <w:rsid w:val="00B626FA"/>
    <w:rsid w:val="00B7040A"/>
    <w:rsid w:val="00B94CCA"/>
    <w:rsid w:val="00B96FA0"/>
    <w:rsid w:val="00BA4E86"/>
    <w:rsid w:val="00BA6D13"/>
    <w:rsid w:val="00BC4B92"/>
    <w:rsid w:val="00BD4196"/>
    <w:rsid w:val="00BE06F1"/>
    <w:rsid w:val="00BE4961"/>
    <w:rsid w:val="00BF22CA"/>
    <w:rsid w:val="00C1268B"/>
    <w:rsid w:val="00C13893"/>
    <w:rsid w:val="00C26032"/>
    <w:rsid w:val="00C265B0"/>
    <w:rsid w:val="00C321B5"/>
    <w:rsid w:val="00C345E1"/>
    <w:rsid w:val="00C47E90"/>
    <w:rsid w:val="00C55033"/>
    <w:rsid w:val="00C66C45"/>
    <w:rsid w:val="00C930C6"/>
    <w:rsid w:val="00C977BA"/>
    <w:rsid w:val="00CB6E35"/>
    <w:rsid w:val="00CE1A46"/>
    <w:rsid w:val="00CE26B2"/>
    <w:rsid w:val="00CF253F"/>
    <w:rsid w:val="00CF56B4"/>
    <w:rsid w:val="00D20F09"/>
    <w:rsid w:val="00D22636"/>
    <w:rsid w:val="00D35D71"/>
    <w:rsid w:val="00D36E3E"/>
    <w:rsid w:val="00D40FD9"/>
    <w:rsid w:val="00D53769"/>
    <w:rsid w:val="00D65912"/>
    <w:rsid w:val="00D85C13"/>
    <w:rsid w:val="00D91BE3"/>
    <w:rsid w:val="00D94AFC"/>
    <w:rsid w:val="00DB70AE"/>
    <w:rsid w:val="00DB7231"/>
    <w:rsid w:val="00DD5071"/>
    <w:rsid w:val="00DD5C39"/>
    <w:rsid w:val="00DE26AF"/>
    <w:rsid w:val="00DE6A8F"/>
    <w:rsid w:val="00DE7DB7"/>
    <w:rsid w:val="00DF1292"/>
    <w:rsid w:val="00E00A0A"/>
    <w:rsid w:val="00E07F57"/>
    <w:rsid w:val="00E1040E"/>
    <w:rsid w:val="00E25A32"/>
    <w:rsid w:val="00E42B32"/>
    <w:rsid w:val="00E50BCE"/>
    <w:rsid w:val="00E60272"/>
    <w:rsid w:val="00E61292"/>
    <w:rsid w:val="00E76309"/>
    <w:rsid w:val="00E77C4D"/>
    <w:rsid w:val="00E81D01"/>
    <w:rsid w:val="00EA0ABE"/>
    <w:rsid w:val="00EB31CF"/>
    <w:rsid w:val="00EC03C0"/>
    <w:rsid w:val="00EE45D8"/>
    <w:rsid w:val="00F004CD"/>
    <w:rsid w:val="00F04AE5"/>
    <w:rsid w:val="00F22A22"/>
    <w:rsid w:val="00F22EDA"/>
    <w:rsid w:val="00F3224D"/>
    <w:rsid w:val="00F33E0E"/>
    <w:rsid w:val="00F5664C"/>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C9FF3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3728</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2018-07-20T09:41:00Z</dcterms:created>
  <dcterms:modified xsi:type="dcterms:W3CDTF">2018-07-20T09:41:00Z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