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DA3075" w:rsidP="008A6059">
      <w:pPr>
        <w:jc w:val="center"/>
        <w:rPr>
          <w:rFonts w:ascii="Book Antiqua" w:hAnsi="Book Antiqua" w:cs="Arial"/>
          <w:caps/>
          <w:color w:val="000000"/>
          <w:sz w:val="16"/>
          <w:szCs w:val="16"/>
        </w:rPr>
      </w:pPr>
      <w:r>
        <w:rPr>
          <w:noProof/>
        </w:rPr>
        <w:drawing>
          <wp:inline distT="0" distB="0" distL="0" distR="0">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356ED2" w:rsidRDefault="008A6059" w:rsidP="00780F86">
      <w:pPr>
        <w:tabs>
          <w:tab w:val="right" w:pos="9720"/>
        </w:tabs>
        <w:ind w:right="-82"/>
        <w:rPr>
          <w:rFonts w:ascii="Book Antiqua" w:hAnsi="Book Antiqua" w:cs="Arial"/>
          <w:b/>
          <w:caps/>
          <w:color w:val="000000"/>
        </w:rPr>
      </w:pPr>
      <w:r w:rsidRPr="009B7433">
        <w:rPr>
          <w:rFonts w:ascii="Book Antiqua" w:hAnsi="Book Antiqua" w:cs="Arial"/>
          <w:b/>
          <w:color w:val="000000"/>
        </w:rPr>
        <w:t xml:space="preserve">(Immigration and Asylum </w:t>
      </w:r>
      <w:proofErr w:type="gramStart"/>
      <w:r w:rsidRPr="009B7433">
        <w:rPr>
          <w:rFonts w:ascii="Book Antiqua" w:hAnsi="Book Antiqua" w:cs="Arial"/>
          <w:b/>
          <w:color w:val="000000"/>
        </w:rPr>
        <w:t>Chamber)</w:t>
      </w:r>
      <w:r w:rsidR="00356ED2">
        <w:rPr>
          <w:rFonts w:ascii="Book Antiqua" w:hAnsi="Book Antiqua" w:cs="Arial"/>
          <w:b/>
          <w:color w:val="000000"/>
        </w:rPr>
        <w:t xml:space="preserve">   </w:t>
      </w:r>
      <w:proofErr w:type="gramEnd"/>
      <w:r w:rsidR="00356ED2">
        <w:rPr>
          <w:rFonts w:ascii="Book Antiqua" w:hAnsi="Book Antiqua" w:cs="Arial"/>
          <w:b/>
          <w:color w:val="000000"/>
        </w:rPr>
        <w:t xml:space="preserve">                 </w:t>
      </w:r>
      <w:r w:rsidR="00B3524D" w:rsidRPr="00356ED2">
        <w:rPr>
          <w:rFonts w:ascii="Book Antiqua" w:hAnsi="Book Antiqua" w:cs="Arial"/>
          <w:b/>
          <w:color w:val="000000"/>
        </w:rPr>
        <w:t>Appeal Number</w:t>
      </w:r>
      <w:r w:rsidR="00D53769" w:rsidRPr="00356ED2">
        <w:rPr>
          <w:rFonts w:ascii="Book Antiqua" w:hAnsi="Book Antiqua" w:cs="Arial"/>
          <w:b/>
          <w:color w:val="000000"/>
        </w:rPr>
        <w:t>:</w:t>
      </w:r>
      <w:r w:rsidR="00B3524D" w:rsidRPr="00356ED2">
        <w:rPr>
          <w:rFonts w:ascii="Book Antiqua" w:hAnsi="Book Antiqua" w:cs="Arial"/>
          <w:b/>
          <w:color w:val="000000"/>
        </w:rPr>
        <w:t xml:space="preserve"> </w:t>
      </w:r>
      <w:r w:rsidR="00961A76" w:rsidRPr="00356ED2">
        <w:rPr>
          <w:rFonts w:ascii="Book Antiqua" w:hAnsi="Book Antiqua" w:cs="Arial"/>
          <w:b/>
          <w:caps/>
          <w:color w:val="000000"/>
        </w:rPr>
        <w:t>HU/17394/2016</w:t>
      </w: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103"/>
        <w:gridCol w:w="4905"/>
      </w:tblGrid>
      <w:tr w:rsidR="00D22636" w:rsidRPr="003E612C" w:rsidTr="00356ED2">
        <w:tc>
          <w:tcPr>
            <w:tcW w:w="5103" w:type="dxa"/>
          </w:tcPr>
          <w:p w:rsidR="00D22636" w:rsidRPr="003E612C" w:rsidRDefault="00D22636" w:rsidP="003E612C">
            <w:pPr>
              <w:jc w:val="both"/>
              <w:rPr>
                <w:rFonts w:ascii="Book Antiqua" w:hAnsi="Book Antiqua" w:cs="Arial"/>
                <w:b/>
              </w:rPr>
            </w:pPr>
            <w:r w:rsidRPr="003E612C">
              <w:rPr>
                <w:rFonts w:ascii="Book Antiqua" w:hAnsi="Book Antiqua" w:cs="Arial"/>
                <w:b/>
              </w:rPr>
              <w:t xml:space="preserve">Heard at </w:t>
            </w:r>
            <w:r w:rsidR="00961A76" w:rsidRPr="003E612C">
              <w:rPr>
                <w:rFonts w:ascii="Book Antiqua" w:hAnsi="Book Antiqua" w:cs="Arial"/>
                <w:b/>
              </w:rPr>
              <w:t xml:space="preserve">Field House </w:t>
            </w:r>
          </w:p>
        </w:tc>
        <w:tc>
          <w:tcPr>
            <w:tcW w:w="4905" w:type="dxa"/>
          </w:tcPr>
          <w:p w:rsidR="00D22636" w:rsidRPr="003E612C" w:rsidRDefault="00D949B7" w:rsidP="003E612C">
            <w:pPr>
              <w:jc w:val="both"/>
              <w:rPr>
                <w:rFonts w:ascii="Book Antiqua" w:hAnsi="Book Antiqua" w:cs="Arial"/>
                <w:b/>
                <w:color w:val="000000"/>
              </w:rPr>
            </w:pPr>
            <w:r w:rsidRPr="003E612C">
              <w:rPr>
                <w:rFonts w:ascii="Book Antiqua" w:hAnsi="Book Antiqua" w:cs="Arial"/>
                <w:b/>
                <w:color w:val="000000"/>
              </w:rPr>
              <w:t>Decision &amp; Reasons</w:t>
            </w:r>
            <w:r w:rsidR="00283659" w:rsidRPr="003E612C">
              <w:rPr>
                <w:rFonts w:ascii="Book Antiqua" w:hAnsi="Book Antiqua" w:cs="Arial"/>
                <w:b/>
                <w:color w:val="000000"/>
              </w:rPr>
              <w:t xml:space="preserve"> Promulgated</w:t>
            </w:r>
          </w:p>
        </w:tc>
      </w:tr>
      <w:tr w:rsidR="00D22636" w:rsidRPr="003E612C" w:rsidTr="00356ED2">
        <w:tc>
          <w:tcPr>
            <w:tcW w:w="5103" w:type="dxa"/>
          </w:tcPr>
          <w:p w:rsidR="00D22636" w:rsidRPr="003E612C" w:rsidRDefault="00D22636" w:rsidP="003E612C">
            <w:pPr>
              <w:jc w:val="both"/>
              <w:rPr>
                <w:rFonts w:ascii="Book Antiqua" w:hAnsi="Book Antiqua" w:cs="Arial"/>
                <w:b/>
              </w:rPr>
            </w:pPr>
            <w:r w:rsidRPr="003E612C">
              <w:rPr>
                <w:rFonts w:ascii="Book Antiqua" w:hAnsi="Book Antiqua" w:cs="Arial"/>
                <w:b/>
              </w:rPr>
              <w:t xml:space="preserve">On </w:t>
            </w:r>
            <w:r w:rsidR="00961A76" w:rsidRPr="003E612C">
              <w:rPr>
                <w:rFonts w:ascii="Book Antiqua" w:hAnsi="Book Antiqua" w:cs="Arial"/>
                <w:b/>
              </w:rPr>
              <w:t xml:space="preserve">29 June 2018 </w:t>
            </w:r>
          </w:p>
        </w:tc>
        <w:tc>
          <w:tcPr>
            <w:tcW w:w="4905" w:type="dxa"/>
          </w:tcPr>
          <w:p w:rsidR="00D22636" w:rsidRPr="003E612C" w:rsidRDefault="00DA3075" w:rsidP="003E612C">
            <w:pPr>
              <w:jc w:val="both"/>
              <w:rPr>
                <w:rFonts w:ascii="Book Antiqua" w:hAnsi="Book Antiqua" w:cs="Arial"/>
                <w:b/>
              </w:rPr>
            </w:pPr>
            <w:r>
              <w:rPr>
                <w:rFonts w:ascii="Book Antiqua" w:hAnsi="Book Antiqua" w:cs="Arial"/>
                <w:b/>
              </w:rPr>
              <w:t>On 23 July 2018</w:t>
            </w:r>
          </w:p>
        </w:tc>
      </w:tr>
      <w:tr w:rsidR="00D22636" w:rsidRPr="003E612C" w:rsidTr="00356ED2">
        <w:tc>
          <w:tcPr>
            <w:tcW w:w="5103" w:type="dxa"/>
          </w:tcPr>
          <w:p w:rsidR="00D22636" w:rsidRPr="003E612C" w:rsidRDefault="00D22636" w:rsidP="003E612C">
            <w:pPr>
              <w:jc w:val="both"/>
              <w:rPr>
                <w:rFonts w:ascii="Book Antiqua" w:hAnsi="Book Antiqua" w:cs="Arial"/>
                <w:b/>
              </w:rPr>
            </w:pPr>
          </w:p>
        </w:tc>
        <w:tc>
          <w:tcPr>
            <w:tcW w:w="4905" w:type="dxa"/>
          </w:tcPr>
          <w:p w:rsidR="00D22636" w:rsidRPr="003E612C" w:rsidRDefault="00D22636" w:rsidP="003E612C">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4A2D15" w:rsidRPr="001C5703" w:rsidRDefault="004A2D15" w:rsidP="004A2D15">
      <w:pPr>
        <w:jc w:val="center"/>
        <w:rPr>
          <w:rFonts w:ascii="Book Antiqua" w:hAnsi="Book Antiqua" w:cs="Arial"/>
          <w:b/>
          <w:color w:val="000000"/>
        </w:rPr>
      </w:pPr>
      <w:r>
        <w:rPr>
          <w:rFonts w:ascii="Book Antiqua" w:hAnsi="Book Antiqua" w:cs="Arial"/>
          <w:b/>
          <w:color w:val="000000"/>
        </w:rPr>
        <w:t>DE</w:t>
      </w:r>
      <w:r w:rsidR="00273201">
        <w:rPr>
          <w:rFonts w:ascii="Book Antiqua" w:hAnsi="Book Antiqua" w:cs="Arial"/>
          <w:b/>
          <w:color w:val="000000"/>
        </w:rPr>
        <w:t>PUTY UPPER TRIBUNAL JUDGE SHERIDAN</w:t>
      </w:r>
    </w:p>
    <w:p w:rsidR="001B186A" w:rsidRPr="009B7433" w:rsidRDefault="001B186A" w:rsidP="00A15234">
      <w:pPr>
        <w:jc w:val="center"/>
        <w:rPr>
          <w:rFonts w:ascii="Book Antiqua" w:hAnsi="Book Antiqua" w:cs="Arial"/>
          <w:b/>
          <w:color w:val="000000"/>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D949B7" w:rsidRDefault="00961A76" w:rsidP="00D949B7">
      <w:pPr>
        <w:jc w:val="center"/>
        <w:rPr>
          <w:rFonts w:ascii="Book Antiqua" w:hAnsi="Book Antiqua" w:cs="Arial"/>
          <w:b/>
          <w:caps/>
        </w:rPr>
      </w:pPr>
      <w:r>
        <w:rPr>
          <w:rFonts w:ascii="Book Antiqua" w:hAnsi="Book Antiqua" w:cs="Arial"/>
          <w:b/>
          <w:caps/>
        </w:rPr>
        <w:t>the Secretary of State for the Home Department</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Pr="009B7433" w:rsidRDefault="00DD5071" w:rsidP="00704B61">
      <w:pPr>
        <w:jc w:val="center"/>
        <w:rPr>
          <w:rFonts w:ascii="Book Antiqua" w:hAnsi="Book Antiqua" w:cs="Arial"/>
          <w:b/>
        </w:rPr>
      </w:pPr>
    </w:p>
    <w:p w:rsidR="00961A76" w:rsidRDefault="00961A76" w:rsidP="00961A76">
      <w:pPr>
        <w:jc w:val="center"/>
        <w:rPr>
          <w:rFonts w:ascii="Book Antiqua" w:hAnsi="Book Antiqua" w:cs="Arial"/>
          <w:b/>
          <w:caps/>
        </w:rPr>
      </w:pPr>
      <w:r>
        <w:rPr>
          <w:rFonts w:ascii="Book Antiqua" w:hAnsi="Book Antiqua" w:cs="Arial"/>
          <w:b/>
          <w:caps/>
        </w:rPr>
        <w:t>n a</w:t>
      </w:r>
    </w:p>
    <w:p w:rsidR="00DD5071" w:rsidRPr="00356ED2" w:rsidRDefault="00961A76" w:rsidP="00704B61">
      <w:pPr>
        <w:jc w:val="center"/>
        <w:rPr>
          <w:rFonts w:ascii="Book Antiqua" w:hAnsi="Book Antiqua" w:cs="Arial"/>
        </w:rPr>
      </w:pPr>
      <w:r w:rsidRPr="00356ED2">
        <w:rPr>
          <w:rFonts w:ascii="Book Antiqua" w:hAnsi="Book Antiqua" w:cs="Arial"/>
          <w:caps/>
        </w:rPr>
        <w:t>(ANONYMITY DIRECTION not made)</w:t>
      </w:r>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Pr="009B7433" w:rsidRDefault="00DD5071"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D5071">
      <w:pPr>
        <w:rPr>
          <w:rFonts w:ascii="Book Antiqua" w:hAnsi="Book Antiqua" w:cs="Arial"/>
        </w:rPr>
      </w:pP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961A76">
        <w:rPr>
          <w:rFonts w:ascii="Book Antiqua" w:hAnsi="Book Antiqua" w:cs="Arial"/>
        </w:rPr>
        <w:t xml:space="preserve">Mr T Melvin, Home Office Presenting Officer </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961A76">
        <w:rPr>
          <w:rFonts w:ascii="Book Antiqua" w:hAnsi="Book Antiqua" w:cs="Arial"/>
        </w:rPr>
        <w:t xml:space="preserve">Mr A Maqsood, Counsel instructed by Lamptons Solicitors </w:t>
      </w:r>
    </w:p>
    <w:p w:rsidR="00DE7DB7" w:rsidRPr="009B7433" w:rsidRDefault="00DE7DB7" w:rsidP="00402B9E">
      <w:pPr>
        <w:tabs>
          <w:tab w:val="left" w:pos="2520"/>
        </w:tabs>
        <w:jc w:val="center"/>
        <w:rPr>
          <w:rFonts w:ascii="Book Antiqua" w:hAnsi="Book Antiqua" w:cs="Arial"/>
        </w:rPr>
      </w:pPr>
      <w:bookmarkStart w:id="0" w:name="_GoBack"/>
      <w:bookmarkEnd w:id="0"/>
    </w:p>
    <w:p w:rsidR="00DE7DB7" w:rsidRPr="009B7433" w:rsidRDefault="00DE7DB7" w:rsidP="000A0743">
      <w:pPr>
        <w:jc w:val="center"/>
        <w:rPr>
          <w:rFonts w:ascii="Book Antiqua" w:hAnsi="Book Antiqua" w:cs="Arial"/>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402B9E" w:rsidRDefault="00402B9E" w:rsidP="000A0743">
      <w:pPr>
        <w:jc w:val="both"/>
        <w:rPr>
          <w:rFonts w:ascii="Book Antiqua" w:hAnsi="Book Antiqua" w:cs="Arial"/>
        </w:rPr>
      </w:pPr>
    </w:p>
    <w:p w:rsidR="009D348A" w:rsidRDefault="0051166D" w:rsidP="00273201">
      <w:pPr>
        <w:numPr>
          <w:ilvl w:val="0"/>
          <w:numId w:val="1"/>
        </w:numPr>
        <w:tabs>
          <w:tab w:val="clear" w:pos="567"/>
        </w:tabs>
        <w:spacing w:before="240"/>
        <w:rPr>
          <w:rFonts w:ascii="Book Antiqua" w:hAnsi="Book Antiqua" w:cs="Arial"/>
        </w:rPr>
      </w:pPr>
      <w:r>
        <w:rPr>
          <w:rFonts w:ascii="Book Antiqua" w:hAnsi="Book Antiqua" w:cs="Arial"/>
        </w:rPr>
        <w:t xml:space="preserve">Although the Secretary of State is the appellant in this appeal I will refer to the parties as they were referred to before the First-tier Tribunal.  </w:t>
      </w:r>
    </w:p>
    <w:p w:rsidR="0051166D" w:rsidRDefault="0051166D" w:rsidP="00273201">
      <w:pPr>
        <w:numPr>
          <w:ilvl w:val="0"/>
          <w:numId w:val="1"/>
        </w:numPr>
        <w:tabs>
          <w:tab w:val="clear" w:pos="567"/>
        </w:tabs>
        <w:spacing w:before="240"/>
        <w:rPr>
          <w:rFonts w:ascii="Book Antiqua" w:hAnsi="Book Antiqua" w:cs="Arial"/>
        </w:rPr>
      </w:pPr>
      <w:r>
        <w:rPr>
          <w:rFonts w:ascii="Book Antiqua" w:hAnsi="Book Antiqua" w:cs="Arial"/>
        </w:rPr>
        <w:t xml:space="preserve">The appellant is a citizen of </w:t>
      </w:r>
      <w:smartTag w:uri="urn:schemas-microsoft-com:office:smarttags" w:element="country-region">
        <w:smartTag w:uri="urn:schemas-microsoft-com:office:smarttags" w:element="place">
          <w:r>
            <w:rPr>
              <w:rFonts w:ascii="Book Antiqua" w:hAnsi="Book Antiqua" w:cs="Arial"/>
            </w:rPr>
            <w:t>Pakistan</w:t>
          </w:r>
        </w:smartTag>
      </w:smartTag>
      <w:r>
        <w:rPr>
          <w:rFonts w:ascii="Book Antiqua" w:hAnsi="Book Antiqua" w:cs="Arial"/>
        </w:rPr>
        <w:t xml:space="preserve"> born on 6 February 1992.  On 18 February 2015 he applied for indefinite leave to remain in the </w:t>
      </w:r>
      <w:smartTag w:uri="urn:schemas-microsoft-com:office:smarttags" w:element="country-region">
        <w:r>
          <w:rPr>
            <w:rFonts w:ascii="Book Antiqua" w:hAnsi="Book Antiqua" w:cs="Arial"/>
          </w:rPr>
          <w:t>UK</w:t>
        </w:r>
      </w:smartTag>
      <w:r>
        <w:rPr>
          <w:rFonts w:ascii="Book Antiqua" w:hAnsi="Book Antiqua" w:cs="Arial"/>
        </w:rPr>
        <w:t xml:space="preserve"> as the spouse of a person settled and present in the </w:t>
      </w:r>
      <w:smartTag w:uri="urn:schemas-microsoft-com:office:smarttags" w:element="country-region">
        <w:smartTag w:uri="urn:schemas-microsoft-com:office:smarttags" w:element="place">
          <w:r>
            <w:rPr>
              <w:rFonts w:ascii="Book Antiqua" w:hAnsi="Book Antiqua" w:cs="Arial"/>
            </w:rPr>
            <w:t>UK</w:t>
          </w:r>
        </w:smartTag>
      </w:smartTag>
      <w:r>
        <w:rPr>
          <w:rFonts w:ascii="Book Antiqua" w:hAnsi="Book Antiqua" w:cs="Arial"/>
        </w:rPr>
        <w:t>.  On 2 July 2016 his application was refused by the respondent on the basis that</w:t>
      </w:r>
      <w:r w:rsidR="009643CC">
        <w:rPr>
          <w:rFonts w:ascii="Book Antiqua" w:hAnsi="Book Antiqua" w:cs="Arial"/>
        </w:rPr>
        <w:t xml:space="preserve"> in 2012</w:t>
      </w:r>
      <w:r>
        <w:rPr>
          <w:rFonts w:ascii="Book Antiqua" w:hAnsi="Book Antiqua" w:cs="Arial"/>
        </w:rPr>
        <w:t xml:space="preserve"> he had used deception to </w:t>
      </w:r>
      <w:r w:rsidR="009643CC">
        <w:rPr>
          <w:rFonts w:ascii="Book Antiqua" w:hAnsi="Book Antiqua" w:cs="Arial"/>
        </w:rPr>
        <w:t xml:space="preserve">obtain </w:t>
      </w:r>
      <w:r>
        <w:rPr>
          <w:rFonts w:ascii="Book Antiqua" w:hAnsi="Book Antiqua" w:cs="Arial"/>
        </w:rPr>
        <w:t>an English language</w:t>
      </w:r>
      <w:r w:rsidR="009643CC">
        <w:rPr>
          <w:rFonts w:ascii="Book Antiqua" w:hAnsi="Book Antiqua" w:cs="Arial"/>
        </w:rPr>
        <w:t xml:space="preserve"> certificate</w:t>
      </w:r>
      <w:r>
        <w:rPr>
          <w:rFonts w:ascii="Book Antiqua" w:hAnsi="Book Antiqua" w:cs="Arial"/>
        </w:rPr>
        <w:t xml:space="preserve"> by engaging a proxy test taker.  The appellant appealed and the matter came before Judge Goodman at Taylor House on 12 December 2017.  </w:t>
      </w:r>
    </w:p>
    <w:p w:rsidR="009643CC" w:rsidRPr="009643CC" w:rsidRDefault="0051166D" w:rsidP="009643CC">
      <w:pPr>
        <w:numPr>
          <w:ilvl w:val="0"/>
          <w:numId w:val="1"/>
        </w:numPr>
        <w:tabs>
          <w:tab w:val="clear" w:pos="567"/>
        </w:tabs>
        <w:spacing w:before="240"/>
        <w:rPr>
          <w:rFonts w:ascii="Book Antiqua" w:hAnsi="Book Antiqua" w:cs="Arial"/>
        </w:rPr>
      </w:pPr>
      <w:r>
        <w:rPr>
          <w:rFonts w:ascii="Book Antiqua" w:hAnsi="Book Antiqua" w:cs="Arial"/>
        </w:rPr>
        <w:lastRenderedPageBreak/>
        <w:t xml:space="preserve">In a decision promulgated on 22 December 2017 the judge </w:t>
      </w:r>
      <w:r w:rsidR="009643CC">
        <w:rPr>
          <w:rFonts w:ascii="Book Antiqua" w:hAnsi="Book Antiqua" w:cs="Arial"/>
        </w:rPr>
        <w:t xml:space="preserve">found that the appellant had engaged in deception and used a fraudulently obtained English language certificate in an immigration application made in 2012. However, despite this finding of deception, he allowed </w:t>
      </w:r>
      <w:r>
        <w:rPr>
          <w:rFonts w:ascii="Book Antiqua" w:hAnsi="Book Antiqua" w:cs="Arial"/>
        </w:rPr>
        <w:t>the appeal on the basis that removal of the appellant from the UK would</w:t>
      </w:r>
      <w:r w:rsidR="009643CC">
        <w:rPr>
          <w:rFonts w:ascii="Book Antiqua" w:hAnsi="Book Antiqua" w:cs="Arial"/>
        </w:rPr>
        <w:t xml:space="preserve"> be contrary to Article 8 ECHR. </w:t>
      </w:r>
      <w:r>
        <w:rPr>
          <w:rFonts w:ascii="Book Antiqua" w:hAnsi="Book Antiqua" w:cs="Arial"/>
        </w:rPr>
        <w:t xml:space="preserve">The judge </w:t>
      </w:r>
      <w:r w:rsidR="009643CC">
        <w:rPr>
          <w:rFonts w:ascii="Book Antiqua" w:hAnsi="Book Antiqua" w:cs="Arial"/>
        </w:rPr>
        <w:t>reached this conclusion because of the appellant’s relationship with his British citizen wife (who he found had a recent history of psychosis and mental health problems) and his daughter (who was born on 20 July 2017 and was primarily cared for by the appellant). At paragraph 36 of the decision the judge stated:</w:t>
      </w:r>
    </w:p>
    <w:p w:rsidR="007D67F5" w:rsidRDefault="009643CC" w:rsidP="007D67F5">
      <w:pPr>
        <w:spacing w:before="240"/>
        <w:ind w:left="1134"/>
        <w:rPr>
          <w:rFonts w:ascii="Book Antiqua" w:hAnsi="Book Antiqua" w:cs="Arial"/>
        </w:rPr>
      </w:pPr>
      <w:r>
        <w:rPr>
          <w:rFonts w:ascii="Book Antiqua" w:hAnsi="Book Antiqua" w:cs="Arial"/>
        </w:rPr>
        <w:t xml:space="preserve"> </w:t>
      </w:r>
      <w:r w:rsidR="0051166D">
        <w:rPr>
          <w:rFonts w:ascii="Book Antiqua" w:hAnsi="Book Antiqua" w:cs="Arial"/>
        </w:rPr>
        <w:t>“</w:t>
      </w:r>
      <w:r w:rsidR="0051166D" w:rsidRPr="007D67F5">
        <w:rPr>
          <w:rFonts w:ascii="Book Antiqua" w:hAnsi="Book Antiqua" w:cs="Arial"/>
          <w:sz w:val="22"/>
          <w:szCs w:val="22"/>
        </w:rPr>
        <w:t xml:space="preserve">The baby herself could obtain a British passport, having been born here of a British mother.  She is not of an age to have otherwise a practical attachment to the </w:t>
      </w:r>
      <w:smartTag w:uri="urn:schemas-microsoft-com:office:smarttags" w:element="country-region">
        <w:smartTag w:uri="urn:schemas-microsoft-com:office:smarttags" w:element="place">
          <w:r w:rsidR="0051166D" w:rsidRPr="007D67F5">
            <w:rPr>
              <w:rFonts w:ascii="Book Antiqua" w:hAnsi="Book Antiqua" w:cs="Arial"/>
              <w:sz w:val="22"/>
              <w:szCs w:val="22"/>
            </w:rPr>
            <w:t>UK</w:t>
          </w:r>
        </w:smartTag>
      </w:smartTag>
      <w:r w:rsidR="0051166D" w:rsidRPr="007D67F5">
        <w:rPr>
          <w:rFonts w:ascii="Book Antiqua" w:hAnsi="Book Antiqua" w:cs="Arial"/>
          <w:sz w:val="22"/>
          <w:szCs w:val="22"/>
        </w:rPr>
        <w:t>.  She has grandparents in both countries</w:t>
      </w:r>
      <w:r w:rsidR="007D67F5" w:rsidRPr="007D67F5">
        <w:rPr>
          <w:rFonts w:ascii="Book Antiqua" w:hAnsi="Book Antiqua" w:cs="Arial"/>
          <w:sz w:val="22"/>
          <w:szCs w:val="22"/>
        </w:rPr>
        <w:t>.  The difficulty here is the mother’s mental health.  Sh</w:t>
      </w:r>
      <w:r w:rsidR="007D67F5">
        <w:rPr>
          <w:rFonts w:ascii="Book Antiqua" w:hAnsi="Book Antiqua" w:cs="Arial"/>
          <w:sz w:val="22"/>
          <w:szCs w:val="22"/>
        </w:rPr>
        <w:t xml:space="preserve">e describes her moods as fluctuating.  The </w:t>
      </w:r>
      <w:r w:rsidR="00FC2903">
        <w:rPr>
          <w:rFonts w:ascii="Book Antiqua" w:hAnsi="Book Antiqua" w:cs="Arial"/>
          <w:sz w:val="22"/>
          <w:szCs w:val="22"/>
        </w:rPr>
        <w:t>psychiatrist’s</w:t>
      </w:r>
      <w:r w:rsidR="007D67F5">
        <w:rPr>
          <w:rFonts w:ascii="Book Antiqua" w:hAnsi="Book Antiqua" w:cs="Arial"/>
          <w:sz w:val="22"/>
          <w:szCs w:val="22"/>
        </w:rPr>
        <w:t xml:space="preserve"> letter gives no prognosis, and Ms Chowdhury did not give other details of her current treatment, but it cannot be said with confidence that she has yet made a </w:t>
      </w:r>
      <w:r w:rsidR="00FC2903">
        <w:rPr>
          <w:rFonts w:ascii="Book Antiqua" w:hAnsi="Book Antiqua" w:cs="Arial"/>
          <w:sz w:val="22"/>
          <w:szCs w:val="22"/>
        </w:rPr>
        <w:t>recovery</w:t>
      </w:r>
      <w:r w:rsidR="007D67F5">
        <w:rPr>
          <w:rFonts w:ascii="Book Antiqua" w:hAnsi="Book Antiqua" w:cs="Arial"/>
          <w:sz w:val="22"/>
          <w:szCs w:val="22"/>
        </w:rPr>
        <w:t xml:space="preserve">.  In </w:t>
      </w:r>
      <w:r w:rsidR="00FC2903">
        <w:rPr>
          <w:rFonts w:ascii="Book Antiqua" w:hAnsi="Book Antiqua" w:cs="Arial"/>
          <w:sz w:val="22"/>
          <w:szCs w:val="22"/>
        </w:rPr>
        <w:t>mental</w:t>
      </w:r>
      <w:r w:rsidR="007D67F5">
        <w:rPr>
          <w:rFonts w:ascii="Book Antiqua" w:hAnsi="Book Antiqua" w:cs="Arial"/>
          <w:sz w:val="22"/>
          <w:szCs w:val="22"/>
        </w:rPr>
        <w:t xml:space="preserve"> health, the support of her </w:t>
      </w:r>
      <w:smartTag w:uri="urn:schemas-microsoft-com:office:smarttags" w:element="City">
        <w:smartTag w:uri="urn:schemas-microsoft-com:office:smarttags" w:element="place">
          <w:r w:rsidR="00FC2903">
            <w:rPr>
              <w:rFonts w:ascii="Book Antiqua" w:hAnsi="Book Antiqua" w:cs="Arial"/>
              <w:sz w:val="22"/>
              <w:szCs w:val="22"/>
            </w:rPr>
            <w:t>London</w:t>
          </w:r>
        </w:smartTag>
      </w:smartTag>
      <w:r w:rsidR="007D67F5">
        <w:rPr>
          <w:rFonts w:ascii="Book Antiqua" w:hAnsi="Book Antiqua" w:cs="Arial"/>
          <w:sz w:val="22"/>
          <w:szCs w:val="22"/>
        </w:rPr>
        <w:t xml:space="preserve"> family and the familiar environment must be important.  Were she to go to live in Pakistan, she could have some support from her husband’s family, but they are strangers, and adapting to life in Pakistan, very different from London, would be a strain even for those with robust mental health, even if raised by parents with a Pakistani background and so with some basic knowledge, and adapting to life in Pakistan, probably without employment,</w:t>
      </w:r>
      <w:r w:rsidR="002C27E6">
        <w:rPr>
          <w:rFonts w:ascii="Book Antiqua" w:hAnsi="Book Antiqua" w:cs="Arial"/>
          <w:sz w:val="22"/>
          <w:szCs w:val="22"/>
        </w:rPr>
        <w:t xml:space="preserve"> </w:t>
      </w:r>
      <w:r w:rsidR="007D67F5">
        <w:rPr>
          <w:rFonts w:ascii="Book Antiqua" w:hAnsi="Book Antiqua" w:cs="Arial"/>
          <w:sz w:val="22"/>
          <w:szCs w:val="22"/>
        </w:rPr>
        <w:t xml:space="preserve">may be very difficult indeed for someone with a recent history of psychosis.  The considerable added strain may well </w:t>
      </w:r>
      <w:r w:rsidR="00FC2903">
        <w:rPr>
          <w:rFonts w:ascii="Book Antiqua" w:hAnsi="Book Antiqua" w:cs="Arial"/>
          <w:sz w:val="22"/>
          <w:szCs w:val="22"/>
        </w:rPr>
        <w:t>destabilise</w:t>
      </w:r>
      <w:r w:rsidR="007D67F5">
        <w:rPr>
          <w:rFonts w:ascii="Book Antiqua" w:hAnsi="Book Antiqua" w:cs="Arial"/>
          <w:sz w:val="22"/>
          <w:szCs w:val="22"/>
        </w:rPr>
        <w:t xml:space="preserve"> her recovery.  This in turn may well impact adversely on the health and social development of her infant daughter: children of mentally ill mothers can suffer themselves.  Looking at these factors, as things are at present, it is in the child’s best interest to remain in the </w:t>
      </w:r>
      <w:smartTag w:uri="urn:schemas-microsoft-com:office:smarttags" w:element="country-region">
        <w:smartTag w:uri="urn:schemas-microsoft-com:office:smarttags" w:element="place">
          <w:r w:rsidR="007D67F5">
            <w:rPr>
              <w:rFonts w:ascii="Book Antiqua" w:hAnsi="Book Antiqua" w:cs="Arial"/>
              <w:sz w:val="22"/>
              <w:szCs w:val="22"/>
            </w:rPr>
            <w:t>United Kingdom</w:t>
          </w:r>
        </w:smartTag>
      </w:smartTag>
      <w:r w:rsidR="007D67F5">
        <w:rPr>
          <w:rFonts w:ascii="Book Antiqua" w:hAnsi="Book Antiqua" w:cs="Arial"/>
          <w:sz w:val="22"/>
          <w:szCs w:val="22"/>
        </w:rPr>
        <w:t>.”</w:t>
      </w:r>
    </w:p>
    <w:p w:rsidR="003F1730" w:rsidRDefault="00EF2D26" w:rsidP="00273201">
      <w:pPr>
        <w:numPr>
          <w:ilvl w:val="0"/>
          <w:numId w:val="1"/>
        </w:numPr>
        <w:tabs>
          <w:tab w:val="clear" w:pos="567"/>
        </w:tabs>
        <w:spacing w:before="240"/>
        <w:rPr>
          <w:rFonts w:ascii="Book Antiqua" w:hAnsi="Book Antiqua" w:cs="Arial"/>
        </w:rPr>
      </w:pPr>
      <w:r>
        <w:rPr>
          <w:rFonts w:ascii="Book Antiqua" w:hAnsi="Book Antiqua" w:cs="Arial"/>
        </w:rPr>
        <w:t>Having made the aforementione</w:t>
      </w:r>
      <w:r w:rsidR="009643CC">
        <w:rPr>
          <w:rFonts w:ascii="Book Antiqua" w:hAnsi="Book Antiqua" w:cs="Arial"/>
        </w:rPr>
        <w:t xml:space="preserve">d </w:t>
      </w:r>
      <w:proofErr w:type="gramStart"/>
      <w:r w:rsidR="009643CC">
        <w:rPr>
          <w:rFonts w:ascii="Book Antiqua" w:hAnsi="Book Antiqua" w:cs="Arial"/>
        </w:rPr>
        <w:t>findings</w:t>
      </w:r>
      <w:proofErr w:type="gramEnd"/>
      <w:r w:rsidR="009643CC">
        <w:rPr>
          <w:rFonts w:ascii="Book Antiqua" w:hAnsi="Book Antiqua" w:cs="Arial"/>
        </w:rPr>
        <w:t xml:space="preserve"> the judge concluded at paragraph 39:</w:t>
      </w:r>
    </w:p>
    <w:p w:rsidR="003F1730" w:rsidRDefault="003F1730" w:rsidP="003F1730">
      <w:pPr>
        <w:spacing w:before="240"/>
        <w:ind w:left="1134"/>
        <w:rPr>
          <w:rFonts w:ascii="Book Antiqua" w:hAnsi="Book Antiqua" w:cs="Arial"/>
        </w:rPr>
      </w:pPr>
      <w:r>
        <w:rPr>
          <w:rFonts w:ascii="Book Antiqua" w:hAnsi="Book Antiqua" w:cs="Arial"/>
        </w:rPr>
        <w:t>“</w:t>
      </w:r>
      <w:r w:rsidRPr="007B7362">
        <w:rPr>
          <w:rFonts w:ascii="Book Antiqua" w:hAnsi="Book Antiqua" w:cs="Arial"/>
          <w:sz w:val="22"/>
          <w:szCs w:val="22"/>
        </w:rPr>
        <w:t xml:space="preserve">Applying proportionality by balancing the various factors, the weight to be </w:t>
      </w:r>
      <w:r w:rsidR="00FC2903" w:rsidRPr="007B7362">
        <w:rPr>
          <w:rFonts w:ascii="Book Antiqua" w:hAnsi="Book Antiqua" w:cs="Arial"/>
          <w:sz w:val="22"/>
          <w:szCs w:val="22"/>
        </w:rPr>
        <w:t>attached</w:t>
      </w:r>
      <w:r w:rsidRPr="007B7362">
        <w:rPr>
          <w:rFonts w:ascii="Book Antiqua" w:hAnsi="Book Antiqua" w:cs="Arial"/>
          <w:sz w:val="22"/>
          <w:szCs w:val="22"/>
        </w:rPr>
        <w:t xml:space="preserve"> to the child’s interest must be substantial, and added to that is the state of the marriage which will come under strain on removal to </w:t>
      </w:r>
      <w:smartTag w:uri="urn:schemas-microsoft-com:office:smarttags" w:element="country-region">
        <w:smartTag w:uri="urn:schemas-microsoft-com:office:smarttags" w:element="place">
          <w:r w:rsidRPr="007B7362">
            <w:rPr>
              <w:rFonts w:ascii="Book Antiqua" w:hAnsi="Book Antiqua" w:cs="Arial"/>
              <w:sz w:val="22"/>
              <w:szCs w:val="22"/>
            </w:rPr>
            <w:t>Pakistan</w:t>
          </w:r>
        </w:smartTag>
      </w:smartTag>
      <w:r w:rsidRPr="007B7362">
        <w:rPr>
          <w:rFonts w:ascii="Book Antiqua" w:hAnsi="Book Antiqua" w:cs="Arial"/>
          <w:sz w:val="22"/>
          <w:szCs w:val="22"/>
        </w:rPr>
        <w:t xml:space="preserve">.  Against that is the state’s interest in discouraging cheating in immigration applications.  Were it not for that, the appellant is </w:t>
      </w:r>
      <w:r w:rsidR="007B7362" w:rsidRPr="007B7362">
        <w:rPr>
          <w:rFonts w:ascii="Book Antiqua" w:hAnsi="Book Antiqua" w:cs="Arial"/>
          <w:sz w:val="22"/>
          <w:szCs w:val="22"/>
        </w:rPr>
        <w:t>otherwise unobjectionable.  Balancing the two sides, the preponderance favours the appellant.</w:t>
      </w:r>
      <w:r w:rsidR="007B7362">
        <w:rPr>
          <w:rFonts w:ascii="Book Antiqua" w:hAnsi="Book Antiqua" w:cs="Arial"/>
        </w:rPr>
        <w:t>”</w:t>
      </w:r>
    </w:p>
    <w:p w:rsidR="0051166D" w:rsidRDefault="007B7362" w:rsidP="00273201">
      <w:pPr>
        <w:numPr>
          <w:ilvl w:val="0"/>
          <w:numId w:val="1"/>
        </w:numPr>
        <w:tabs>
          <w:tab w:val="clear" w:pos="567"/>
        </w:tabs>
        <w:spacing w:before="240"/>
        <w:rPr>
          <w:rFonts w:ascii="Book Antiqua" w:hAnsi="Book Antiqua" w:cs="Arial"/>
        </w:rPr>
      </w:pPr>
      <w:r>
        <w:rPr>
          <w:rFonts w:ascii="Book Antiqua" w:hAnsi="Book Antiqua" w:cs="Arial"/>
        </w:rPr>
        <w:t xml:space="preserve">The grounds of appeal submit that the judge </w:t>
      </w:r>
      <w:r w:rsidR="009643CC">
        <w:rPr>
          <w:rFonts w:ascii="Book Antiqua" w:hAnsi="Book Antiqua" w:cs="Arial"/>
        </w:rPr>
        <w:t>misdirected himself</w:t>
      </w:r>
      <w:r>
        <w:rPr>
          <w:rFonts w:ascii="Book Antiqua" w:hAnsi="Book Antiqua" w:cs="Arial"/>
        </w:rPr>
        <w:t xml:space="preserve"> by allowing the appeal on human rights grounds desp</w:t>
      </w:r>
      <w:r w:rsidR="009643CC">
        <w:rPr>
          <w:rFonts w:ascii="Book Antiqua" w:hAnsi="Book Antiqua" w:cs="Arial"/>
        </w:rPr>
        <w:t xml:space="preserve">ite finding that the appellant had engaged in </w:t>
      </w:r>
      <w:r>
        <w:rPr>
          <w:rFonts w:ascii="Book Antiqua" w:hAnsi="Book Antiqua" w:cs="Arial"/>
        </w:rPr>
        <w:t xml:space="preserve">deception. The grounds also state that there was no evidence that the appellant’s wife’s recovery from psychosis would be </w:t>
      </w:r>
      <w:r w:rsidR="00FC2903">
        <w:rPr>
          <w:rFonts w:ascii="Book Antiqua" w:hAnsi="Book Antiqua" w:cs="Arial"/>
        </w:rPr>
        <w:t>destabilised</w:t>
      </w:r>
      <w:r w:rsidR="009643CC">
        <w:rPr>
          <w:rFonts w:ascii="Book Antiqua" w:hAnsi="Book Antiqua" w:cs="Arial"/>
        </w:rPr>
        <w:t xml:space="preserve"> by life in Pakistan as</w:t>
      </w:r>
      <w:r>
        <w:rPr>
          <w:rFonts w:ascii="Book Antiqua" w:hAnsi="Book Antiqua" w:cs="Arial"/>
        </w:rPr>
        <w:t xml:space="preserve"> the</w:t>
      </w:r>
      <w:r w:rsidR="009643CC">
        <w:rPr>
          <w:rFonts w:ascii="Book Antiqua" w:hAnsi="Book Antiqua" w:cs="Arial"/>
        </w:rPr>
        <w:t xml:space="preserve"> evidence (which took the form of a </w:t>
      </w:r>
      <w:r w:rsidR="00F34CA7">
        <w:rPr>
          <w:rFonts w:ascii="Book Antiqua" w:hAnsi="Book Antiqua" w:cs="Arial"/>
        </w:rPr>
        <w:t>psychiatrist’s letter</w:t>
      </w:r>
      <w:r w:rsidR="009643CC">
        <w:rPr>
          <w:rFonts w:ascii="Book Antiqua" w:hAnsi="Book Antiqua" w:cs="Arial"/>
        </w:rPr>
        <w:t>) did not include a prognosis and</w:t>
      </w:r>
      <w:r w:rsidR="00F34CA7">
        <w:rPr>
          <w:rFonts w:ascii="Book Antiqua" w:hAnsi="Book Antiqua" w:cs="Arial"/>
        </w:rPr>
        <w:t xml:space="preserve"> the judge </w:t>
      </w:r>
      <w:r w:rsidR="00FC2903">
        <w:rPr>
          <w:rFonts w:ascii="Book Antiqua" w:hAnsi="Book Antiqua" w:cs="Arial"/>
        </w:rPr>
        <w:t>failed</w:t>
      </w:r>
      <w:r w:rsidR="00F34CA7">
        <w:rPr>
          <w:rFonts w:ascii="Book Antiqua" w:hAnsi="Book Antiqua" w:cs="Arial"/>
        </w:rPr>
        <w:t xml:space="preserve"> to give adequate reasons for finding relocation to Pakistan </w:t>
      </w:r>
      <w:r w:rsidR="00FC2903">
        <w:rPr>
          <w:rFonts w:ascii="Book Antiqua" w:hAnsi="Book Antiqua" w:cs="Arial"/>
        </w:rPr>
        <w:t>would</w:t>
      </w:r>
      <w:r w:rsidR="00F34CA7">
        <w:rPr>
          <w:rFonts w:ascii="Book Antiqua" w:hAnsi="Book Antiqua" w:cs="Arial"/>
        </w:rPr>
        <w:t xml:space="preserve"> be detrimental to the health of the appellant’s wife.  The grounds also state that the judge failed to consider that the appellant has a poor immigration history given his use of deception and failed to </w:t>
      </w:r>
      <w:r w:rsidR="00FC2903">
        <w:rPr>
          <w:rFonts w:ascii="Book Antiqua" w:hAnsi="Book Antiqua" w:cs="Arial"/>
        </w:rPr>
        <w:t>recognise</w:t>
      </w:r>
      <w:r w:rsidR="00F34CA7">
        <w:rPr>
          <w:rFonts w:ascii="Book Antiqua" w:hAnsi="Book Antiqua" w:cs="Arial"/>
        </w:rPr>
        <w:t xml:space="preserve"> that </w:t>
      </w:r>
      <w:r w:rsidR="009643CC">
        <w:rPr>
          <w:rFonts w:ascii="Book Antiqua" w:hAnsi="Book Antiqua" w:cs="Arial"/>
        </w:rPr>
        <w:t xml:space="preserve">his criminality </w:t>
      </w:r>
      <w:r w:rsidR="00F34CA7">
        <w:rPr>
          <w:rFonts w:ascii="Book Antiqua" w:hAnsi="Book Antiqua" w:cs="Arial"/>
        </w:rPr>
        <w:t xml:space="preserve">is a powerful reason to find against him.  The grounds </w:t>
      </w:r>
      <w:r w:rsidR="009643CC">
        <w:rPr>
          <w:rFonts w:ascii="Book Antiqua" w:hAnsi="Book Antiqua" w:cs="Arial"/>
        </w:rPr>
        <w:t xml:space="preserve">also submit </w:t>
      </w:r>
      <w:r w:rsidR="00F34CA7">
        <w:rPr>
          <w:rFonts w:ascii="Book Antiqua" w:hAnsi="Book Antiqua" w:cs="Arial"/>
        </w:rPr>
        <w:t xml:space="preserve">that there is nothing to prevent the appellant returning to Pakistan to apply for entry clearance.  </w:t>
      </w:r>
    </w:p>
    <w:p w:rsidR="00194E9E" w:rsidRDefault="00CA7CC0" w:rsidP="00194E9E">
      <w:pPr>
        <w:numPr>
          <w:ilvl w:val="0"/>
          <w:numId w:val="1"/>
        </w:numPr>
        <w:tabs>
          <w:tab w:val="clear" w:pos="567"/>
        </w:tabs>
        <w:spacing w:before="240"/>
        <w:rPr>
          <w:rFonts w:ascii="Book Antiqua" w:hAnsi="Book Antiqua" w:cs="Arial"/>
        </w:rPr>
      </w:pPr>
      <w:r>
        <w:rPr>
          <w:rFonts w:ascii="Book Antiqua" w:hAnsi="Book Antiqua" w:cs="Arial"/>
        </w:rPr>
        <w:lastRenderedPageBreak/>
        <w:t xml:space="preserve">At the </w:t>
      </w:r>
      <w:r w:rsidR="00FC2903">
        <w:rPr>
          <w:rFonts w:ascii="Book Antiqua" w:hAnsi="Book Antiqua" w:cs="Arial"/>
        </w:rPr>
        <w:t>error</w:t>
      </w:r>
      <w:r>
        <w:rPr>
          <w:rFonts w:ascii="Book Antiqua" w:hAnsi="Book Antiqua" w:cs="Arial"/>
        </w:rPr>
        <w:t xml:space="preserve"> of law hearing Mr Maqsood</w:t>
      </w:r>
      <w:r w:rsidR="00194E9E">
        <w:rPr>
          <w:rFonts w:ascii="Book Antiqua" w:hAnsi="Book Antiqua" w:cs="Arial"/>
        </w:rPr>
        <w:t>,</w:t>
      </w:r>
      <w:r>
        <w:rPr>
          <w:rFonts w:ascii="Book Antiqua" w:hAnsi="Book Antiqua" w:cs="Arial"/>
        </w:rPr>
        <w:t xml:space="preserve"> on behalf of the appellant</w:t>
      </w:r>
      <w:r w:rsidR="00194E9E">
        <w:rPr>
          <w:rFonts w:ascii="Book Antiqua" w:hAnsi="Book Antiqua" w:cs="Arial"/>
        </w:rPr>
        <w:t>,</w:t>
      </w:r>
      <w:r>
        <w:rPr>
          <w:rFonts w:ascii="Book Antiqua" w:hAnsi="Book Antiqua" w:cs="Arial"/>
        </w:rPr>
        <w:t xml:space="preserve"> sought permission to cross-appeal.</w:t>
      </w:r>
      <w:r w:rsidR="009643CC">
        <w:rPr>
          <w:rFonts w:ascii="Book Antiqua" w:hAnsi="Book Antiqua" w:cs="Arial"/>
        </w:rPr>
        <w:t xml:space="preserve"> I refused the application as there was no good reason for the application to be made so late. In any event,</w:t>
      </w:r>
      <w:r w:rsidR="00194E9E">
        <w:rPr>
          <w:rFonts w:ascii="Book Antiqua" w:hAnsi="Book Antiqua" w:cs="Arial"/>
        </w:rPr>
        <w:t xml:space="preserve"> after reviewing</w:t>
      </w:r>
      <w:r w:rsidR="00756871" w:rsidRPr="00194E9E">
        <w:rPr>
          <w:rFonts w:ascii="Book Antiqua" w:hAnsi="Book Antiqua" w:cs="Arial"/>
        </w:rPr>
        <w:t xml:space="preserve"> the content of the </w:t>
      </w:r>
      <w:r w:rsidR="00194E9E">
        <w:rPr>
          <w:rFonts w:ascii="Book Antiqua" w:hAnsi="Book Antiqua" w:cs="Arial"/>
        </w:rPr>
        <w:t xml:space="preserve">grounds set out in the </w:t>
      </w:r>
      <w:r w:rsidR="00756871" w:rsidRPr="00194E9E">
        <w:rPr>
          <w:rFonts w:ascii="Book Antiqua" w:hAnsi="Book Antiqua" w:cs="Arial"/>
        </w:rPr>
        <w:t xml:space="preserve">cross-appeal </w:t>
      </w:r>
      <w:r w:rsidR="00194E9E">
        <w:rPr>
          <w:rFonts w:ascii="Book Antiqua" w:hAnsi="Book Antiqua" w:cs="Arial"/>
        </w:rPr>
        <w:t xml:space="preserve">application, it appeared to me (and I raised with </w:t>
      </w:r>
      <w:r w:rsidR="00201E52" w:rsidRPr="00194E9E">
        <w:rPr>
          <w:rFonts w:ascii="Book Antiqua" w:hAnsi="Book Antiqua" w:cs="Arial"/>
        </w:rPr>
        <w:t>Mr Maqsood</w:t>
      </w:r>
      <w:r w:rsidR="00194E9E">
        <w:rPr>
          <w:rFonts w:ascii="Book Antiqua" w:hAnsi="Book Antiqua" w:cs="Arial"/>
        </w:rPr>
        <w:t>)</w:t>
      </w:r>
      <w:r w:rsidR="00201E52" w:rsidRPr="00194E9E">
        <w:rPr>
          <w:rFonts w:ascii="Book Antiqua" w:hAnsi="Book Antiqua" w:cs="Arial"/>
        </w:rPr>
        <w:t xml:space="preserve"> </w:t>
      </w:r>
      <w:r w:rsidR="00194E9E">
        <w:rPr>
          <w:rFonts w:ascii="Book Antiqua" w:hAnsi="Book Antiqua" w:cs="Arial"/>
        </w:rPr>
        <w:t xml:space="preserve">that the arguments therein appeared to be submissions relevant to a remaking of the appeal </w:t>
      </w:r>
      <w:proofErr w:type="gramStart"/>
      <w:r w:rsidR="00194E9E">
        <w:rPr>
          <w:rFonts w:ascii="Book Antiqua" w:hAnsi="Book Antiqua" w:cs="Arial"/>
        </w:rPr>
        <w:t>in the event that</w:t>
      </w:r>
      <w:proofErr w:type="gramEnd"/>
      <w:r w:rsidR="00194E9E">
        <w:rPr>
          <w:rFonts w:ascii="Book Antiqua" w:hAnsi="Book Antiqua" w:cs="Arial"/>
        </w:rPr>
        <w:t xml:space="preserve"> I were to find an error of law rather than a challenge to the decision of the First-tier Tribunal. I have not had regard to the cross-appeal in this error of law decision.</w:t>
      </w:r>
    </w:p>
    <w:p w:rsidR="00FA636C" w:rsidRDefault="00194E9E" w:rsidP="00194E9E">
      <w:pPr>
        <w:numPr>
          <w:ilvl w:val="0"/>
          <w:numId w:val="1"/>
        </w:numPr>
        <w:tabs>
          <w:tab w:val="clear" w:pos="567"/>
        </w:tabs>
        <w:spacing w:before="240"/>
        <w:rPr>
          <w:rFonts w:ascii="Book Antiqua" w:hAnsi="Book Antiqua" w:cs="Arial"/>
        </w:rPr>
      </w:pPr>
      <w:r>
        <w:rPr>
          <w:rFonts w:ascii="Book Antiqua" w:hAnsi="Book Antiqua" w:cs="Arial"/>
        </w:rPr>
        <w:t xml:space="preserve">The submissions of </w:t>
      </w:r>
      <w:r w:rsidR="00FA636C">
        <w:rPr>
          <w:rFonts w:ascii="Book Antiqua" w:hAnsi="Book Antiqua" w:cs="Arial"/>
        </w:rPr>
        <w:t>Mr Melvin</w:t>
      </w:r>
      <w:r>
        <w:rPr>
          <w:rFonts w:ascii="Book Antiqua" w:hAnsi="Book Antiqua" w:cs="Arial"/>
        </w:rPr>
        <w:t>, in sum, were that</w:t>
      </w:r>
      <w:r w:rsidR="00FA636C">
        <w:rPr>
          <w:rFonts w:ascii="Book Antiqua" w:hAnsi="Book Antiqua" w:cs="Arial"/>
        </w:rPr>
        <w:t xml:space="preserve"> given the finding of deception there was inadequate reasoning to justify allowing the appellant to remain in the UK.  </w:t>
      </w:r>
      <w:r>
        <w:rPr>
          <w:rFonts w:ascii="Book Antiqua" w:hAnsi="Book Antiqua" w:cs="Arial"/>
        </w:rPr>
        <w:t xml:space="preserve">He also argued that the evidence before the judge did not support the conclusion that the appellant’s wife’s mental health would be harmed by a move to Pakistan. </w:t>
      </w:r>
      <w:r w:rsidR="00FA636C" w:rsidRPr="00194E9E">
        <w:rPr>
          <w:rFonts w:ascii="Book Antiqua" w:hAnsi="Book Antiqua" w:cs="Arial"/>
        </w:rPr>
        <w:t xml:space="preserve">Mr Maqsood argued in response that the judge had engaged in a balancing exercise where all relevant factors had been </w:t>
      </w:r>
      <w:proofErr w:type="gramStart"/>
      <w:r w:rsidR="00FA636C" w:rsidRPr="00194E9E">
        <w:rPr>
          <w:rFonts w:ascii="Book Antiqua" w:hAnsi="Book Antiqua" w:cs="Arial"/>
        </w:rPr>
        <w:t>taken into account</w:t>
      </w:r>
      <w:proofErr w:type="gramEnd"/>
      <w:r w:rsidRPr="00194E9E">
        <w:rPr>
          <w:rFonts w:ascii="Book Antiqua" w:hAnsi="Book Antiqua" w:cs="Arial"/>
        </w:rPr>
        <w:t xml:space="preserve"> and that</w:t>
      </w:r>
      <w:r w:rsidR="00FA636C" w:rsidRPr="00194E9E">
        <w:rPr>
          <w:rFonts w:ascii="Book Antiqua" w:hAnsi="Book Antiqua" w:cs="Arial"/>
        </w:rPr>
        <w:t xml:space="preserve"> adequate consideration </w:t>
      </w:r>
      <w:r w:rsidRPr="00194E9E">
        <w:rPr>
          <w:rFonts w:ascii="Book Antiqua" w:hAnsi="Book Antiqua" w:cs="Arial"/>
        </w:rPr>
        <w:t xml:space="preserve">had been given to </w:t>
      </w:r>
      <w:r w:rsidR="00FA636C" w:rsidRPr="00194E9E">
        <w:rPr>
          <w:rFonts w:ascii="Book Antiqua" w:hAnsi="Book Antiqua" w:cs="Arial"/>
        </w:rPr>
        <w:t xml:space="preserve">the appellant’s poor immigration history.  </w:t>
      </w:r>
    </w:p>
    <w:p w:rsidR="00194E9E" w:rsidRPr="00194E9E" w:rsidRDefault="00194E9E" w:rsidP="00194E9E">
      <w:pPr>
        <w:spacing w:before="240"/>
        <w:rPr>
          <w:rFonts w:ascii="Book Antiqua" w:hAnsi="Book Antiqua" w:cs="Arial"/>
          <w:u w:val="single"/>
        </w:rPr>
      </w:pPr>
      <w:r w:rsidRPr="00194E9E">
        <w:rPr>
          <w:rFonts w:ascii="Book Antiqua" w:hAnsi="Book Antiqua" w:cs="Arial"/>
          <w:u w:val="single"/>
        </w:rPr>
        <w:t>Analysis</w:t>
      </w:r>
    </w:p>
    <w:p w:rsidR="00194E9E" w:rsidRDefault="00194E9E" w:rsidP="00194E9E">
      <w:pPr>
        <w:numPr>
          <w:ilvl w:val="0"/>
          <w:numId w:val="1"/>
        </w:numPr>
        <w:tabs>
          <w:tab w:val="clear" w:pos="567"/>
        </w:tabs>
        <w:spacing w:before="240"/>
        <w:rPr>
          <w:rFonts w:ascii="Book Antiqua" w:hAnsi="Book Antiqua" w:cs="Arial"/>
        </w:rPr>
      </w:pPr>
      <w:r>
        <w:rPr>
          <w:rFonts w:ascii="Book Antiqua" w:hAnsi="Book Antiqua" w:cs="Arial"/>
        </w:rPr>
        <w:t>The issue before the First-tier Tribunal was whether removing the appellant from the UK would be a disproportionate inter</w:t>
      </w:r>
      <w:r w:rsidR="00E06356">
        <w:rPr>
          <w:rFonts w:ascii="Book Antiqua" w:hAnsi="Book Antiqua" w:cs="Arial"/>
        </w:rPr>
        <w:t xml:space="preserve">ference with </w:t>
      </w:r>
      <w:r>
        <w:rPr>
          <w:rFonts w:ascii="Book Antiqua" w:hAnsi="Book Antiqua" w:cs="Arial"/>
        </w:rPr>
        <w:t>the family life he enjoys in the UK with his wife and child</w:t>
      </w:r>
      <w:r w:rsidR="00E06356" w:rsidRPr="00E06356">
        <w:rPr>
          <w:rFonts w:ascii="Book Antiqua" w:hAnsi="Book Antiqua" w:cs="Arial"/>
        </w:rPr>
        <w:t xml:space="preserve"> </w:t>
      </w:r>
      <w:r w:rsidR="00E06356">
        <w:rPr>
          <w:rFonts w:ascii="Book Antiqua" w:hAnsi="Book Antiqua" w:cs="Arial"/>
        </w:rPr>
        <w:t>under article 8 ECHR</w:t>
      </w:r>
      <w:r>
        <w:rPr>
          <w:rFonts w:ascii="Book Antiqua" w:hAnsi="Book Antiqua" w:cs="Arial"/>
        </w:rPr>
        <w:t xml:space="preserve">. This required a balancing exercise, having regard (but not limited) to the </w:t>
      </w:r>
      <w:r w:rsidR="00EC1D17" w:rsidRPr="00194E9E">
        <w:rPr>
          <w:rFonts w:ascii="Book Antiqua" w:hAnsi="Book Antiqua" w:cs="Arial"/>
        </w:rPr>
        <w:t>factors specified in Section 117B of the Nationality, Immigration and Asylum Act 2002</w:t>
      </w:r>
      <w:r>
        <w:rPr>
          <w:rFonts w:ascii="Book Antiqua" w:hAnsi="Book Antiqua" w:cs="Arial"/>
        </w:rPr>
        <w:t>.</w:t>
      </w:r>
    </w:p>
    <w:p w:rsidR="00E06356" w:rsidRDefault="00EC1D17" w:rsidP="00E06356">
      <w:pPr>
        <w:numPr>
          <w:ilvl w:val="0"/>
          <w:numId w:val="1"/>
        </w:numPr>
        <w:tabs>
          <w:tab w:val="clear" w:pos="567"/>
        </w:tabs>
        <w:spacing w:before="240"/>
        <w:rPr>
          <w:rFonts w:ascii="Book Antiqua" w:hAnsi="Book Antiqua" w:cs="Arial"/>
        </w:rPr>
      </w:pPr>
      <w:r w:rsidRPr="00E06356">
        <w:rPr>
          <w:rFonts w:ascii="Book Antiqua" w:hAnsi="Book Antiqua" w:cs="Arial"/>
        </w:rPr>
        <w:t xml:space="preserve">The judge has balanced the factors for and against </w:t>
      </w:r>
      <w:r w:rsidR="00E06356">
        <w:rPr>
          <w:rFonts w:ascii="Book Antiqua" w:hAnsi="Book Antiqua" w:cs="Arial"/>
        </w:rPr>
        <w:t xml:space="preserve">removal of </w:t>
      </w:r>
      <w:r w:rsidRPr="00E06356">
        <w:rPr>
          <w:rFonts w:ascii="Book Antiqua" w:hAnsi="Book Antiqua" w:cs="Arial"/>
        </w:rPr>
        <w:t xml:space="preserve">the appellant as follows: </w:t>
      </w:r>
    </w:p>
    <w:p w:rsidR="00E06356" w:rsidRDefault="00E06356" w:rsidP="00E06356">
      <w:pPr>
        <w:numPr>
          <w:ilvl w:val="1"/>
          <w:numId w:val="1"/>
        </w:numPr>
        <w:spacing w:before="240"/>
        <w:rPr>
          <w:rFonts w:ascii="Book Antiqua" w:hAnsi="Book Antiqua" w:cs="Arial"/>
        </w:rPr>
      </w:pPr>
      <w:r>
        <w:rPr>
          <w:rFonts w:ascii="Book Antiqua" w:hAnsi="Book Antiqua" w:cs="Arial"/>
        </w:rPr>
        <w:t>The judge found that the appellant’s use of deception weighed against him. At paragraph 39 the judge referred to “the state’s interest in discouraging cheating in immigration applications.”</w:t>
      </w:r>
    </w:p>
    <w:p w:rsidR="00E06356" w:rsidRPr="00E06356" w:rsidRDefault="00E06356" w:rsidP="00E06356">
      <w:pPr>
        <w:numPr>
          <w:ilvl w:val="1"/>
          <w:numId w:val="1"/>
        </w:numPr>
        <w:spacing w:before="240"/>
        <w:rPr>
          <w:rFonts w:ascii="Book Antiqua" w:hAnsi="Book Antiqua" w:cs="Arial"/>
        </w:rPr>
      </w:pPr>
      <w:r>
        <w:rPr>
          <w:rFonts w:ascii="Book Antiqua" w:hAnsi="Book Antiqua" w:cs="Arial"/>
        </w:rPr>
        <w:t xml:space="preserve">Weighing on the other side of the scale, the judge found that the best interests of the appellant’s daughter would be for the family to remain (together) in the UK and that the appellant’s wife’s mental health would suffer if she were to relocate to Pakistan. </w:t>
      </w:r>
      <w:r w:rsidRPr="00E06356">
        <w:rPr>
          <w:rFonts w:ascii="Book Antiqua" w:hAnsi="Book Antiqua" w:cs="Arial"/>
        </w:rPr>
        <w:t>The judge also found that some weight should attach to the appellant’s private and family life with his wife given his length of residence in the UK</w:t>
      </w:r>
      <w:r>
        <w:rPr>
          <w:rFonts w:ascii="Book Antiqua" w:hAnsi="Book Antiqua" w:cs="Arial"/>
        </w:rPr>
        <w:t>,</w:t>
      </w:r>
      <w:r w:rsidRPr="00E06356">
        <w:rPr>
          <w:rFonts w:ascii="Book Antiqua" w:hAnsi="Book Antiqua" w:cs="Arial"/>
        </w:rPr>
        <w:t xml:space="preserve"> that he </w:t>
      </w:r>
      <w:r>
        <w:rPr>
          <w:rFonts w:ascii="Book Antiqua" w:hAnsi="Book Antiqua" w:cs="Arial"/>
        </w:rPr>
        <w:t xml:space="preserve">spoke some </w:t>
      </w:r>
      <w:r w:rsidRPr="00E06356">
        <w:rPr>
          <w:rFonts w:ascii="Book Antiqua" w:hAnsi="Book Antiqua" w:cs="Arial"/>
        </w:rPr>
        <w:t xml:space="preserve">English and </w:t>
      </w:r>
      <w:r>
        <w:rPr>
          <w:rFonts w:ascii="Book Antiqua" w:hAnsi="Book Antiqua" w:cs="Arial"/>
        </w:rPr>
        <w:t xml:space="preserve">could </w:t>
      </w:r>
      <w:r w:rsidRPr="00E06356">
        <w:rPr>
          <w:rFonts w:ascii="Book Antiqua" w:hAnsi="Book Antiqua" w:cs="Arial"/>
        </w:rPr>
        <w:t>“presumably be employed again”.</w:t>
      </w:r>
    </w:p>
    <w:p w:rsidR="00FF312C" w:rsidRDefault="00E06356" w:rsidP="00273201">
      <w:pPr>
        <w:numPr>
          <w:ilvl w:val="0"/>
          <w:numId w:val="1"/>
        </w:numPr>
        <w:tabs>
          <w:tab w:val="clear" w:pos="567"/>
        </w:tabs>
        <w:spacing w:before="240"/>
        <w:rPr>
          <w:rFonts w:ascii="Book Antiqua" w:hAnsi="Book Antiqua" w:cs="Arial"/>
        </w:rPr>
      </w:pPr>
      <w:r>
        <w:rPr>
          <w:rFonts w:ascii="Book Antiqua" w:hAnsi="Book Antiqua" w:cs="Arial"/>
        </w:rPr>
        <w:t>I do not accept the argument of Mr Melvin that the judge failed to adequately consider the appellant’s poor immigration history. At paragraph 39, which is the parag</w:t>
      </w:r>
      <w:r w:rsidR="00FF312C">
        <w:rPr>
          <w:rFonts w:ascii="Book Antiqua" w:hAnsi="Book Antiqua" w:cs="Arial"/>
        </w:rPr>
        <w:t xml:space="preserve">raph in which the judge undertook </w:t>
      </w:r>
      <w:r>
        <w:rPr>
          <w:rFonts w:ascii="Book Antiqua" w:hAnsi="Book Antiqua" w:cs="Arial"/>
        </w:rPr>
        <w:t>the</w:t>
      </w:r>
      <w:r w:rsidR="00661085">
        <w:rPr>
          <w:rFonts w:ascii="Book Antiqua" w:hAnsi="Book Antiqua" w:cs="Arial"/>
        </w:rPr>
        <w:t xml:space="preserve"> article 8 balancing exercise, there is a clear and unambiguous reference to the appellant’s use of deception and the public interest in discouraging</w:t>
      </w:r>
      <w:r w:rsidR="00FF312C">
        <w:rPr>
          <w:rFonts w:ascii="Book Antiqua" w:hAnsi="Book Antiqua" w:cs="Arial"/>
        </w:rPr>
        <w:t xml:space="preserve"> it</w:t>
      </w:r>
      <w:r w:rsidR="00661085">
        <w:rPr>
          <w:rFonts w:ascii="Book Antiqua" w:hAnsi="Book Antiqua" w:cs="Arial"/>
        </w:rPr>
        <w:t>. Although the judge has not explicitly mentioned that the use of deception can amount to criminality,</w:t>
      </w:r>
      <w:r w:rsidR="00FF312C">
        <w:rPr>
          <w:rFonts w:ascii="Book Antiqua" w:hAnsi="Book Antiqua" w:cs="Arial"/>
        </w:rPr>
        <w:t xml:space="preserve"> I am satisfied that the judge has not failed to appreciate that use of deception is a serious matter which must weigh heavily against the appellant </w:t>
      </w:r>
      <w:r w:rsidR="00C174E7">
        <w:rPr>
          <w:rFonts w:ascii="Book Antiqua" w:hAnsi="Book Antiqua" w:cs="Arial"/>
        </w:rPr>
        <w:t xml:space="preserve">in </w:t>
      </w:r>
      <w:r w:rsidR="00FF312C">
        <w:rPr>
          <w:rFonts w:ascii="Book Antiqua" w:hAnsi="Book Antiqua" w:cs="Arial"/>
        </w:rPr>
        <w:t>the article 8 proportionality assessment.</w:t>
      </w:r>
    </w:p>
    <w:p w:rsidR="00FF312C" w:rsidRDefault="00FF312C" w:rsidP="00FF312C">
      <w:pPr>
        <w:numPr>
          <w:ilvl w:val="0"/>
          <w:numId w:val="1"/>
        </w:numPr>
        <w:tabs>
          <w:tab w:val="clear" w:pos="567"/>
        </w:tabs>
        <w:spacing w:before="240"/>
        <w:rPr>
          <w:rFonts w:ascii="Book Antiqua" w:hAnsi="Book Antiqua" w:cs="Arial"/>
        </w:rPr>
      </w:pPr>
      <w:r>
        <w:rPr>
          <w:rFonts w:ascii="Book Antiqua" w:hAnsi="Book Antiqua" w:cs="Arial"/>
        </w:rPr>
        <w:lastRenderedPageBreak/>
        <w:t>Mr Melvin argued that the judge</w:t>
      </w:r>
      <w:r w:rsidR="003B4952">
        <w:rPr>
          <w:rFonts w:ascii="Book Antiqua" w:hAnsi="Book Antiqua" w:cs="Arial"/>
        </w:rPr>
        <w:t>’</w:t>
      </w:r>
      <w:r>
        <w:rPr>
          <w:rFonts w:ascii="Book Antiqua" w:hAnsi="Book Antiqua" w:cs="Arial"/>
        </w:rPr>
        <w:t>s</w:t>
      </w:r>
      <w:r w:rsidRPr="00FF312C">
        <w:rPr>
          <w:rFonts w:ascii="Book Antiqua" w:hAnsi="Book Antiqua" w:cs="Arial"/>
        </w:rPr>
        <w:t xml:space="preserve"> </w:t>
      </w:r>
      <w:r>
        <w:rPr>
          <w:rFonts w:ascii="Book Antiqua" w:hAnsi="Book Antiqua" w:cs="Arial"/>
        </w:rPr>
        <w:t>findings in respect of the appellant’s wife’s mental health were not sustainable as the evidence does not establish</w:t>
      </w:r>
      <w:r w:rsidRPr="00FF312C">
        <w:rPr>
          <w:rFonts w:ascii="Book Antiqua" w:hAnsi="Book Antiqua" w:cs="Arial"/>
        </w:rPr>
        <w:t xml:space="preserve"> </w:t>
      </w:r>
      <w:r>
        <w:rPr>
          <w:rFonts w:ascii="Book Antiqua" w:hAnsi="Book Antiqua" w:cs="Arial"/>
        </w:rPr>
        <w:t>that recovery from psychosis would be destabilised by life in Pakistan.</w:t>
      </w:r>
      <w:r w:rsidRPr="00FF312C">
        <w:rPr>
          <w:rFonts w:ascii="Book Antiqua" w:hAnsi="Book Antiqua" w:cs="Arial"/>
        </w:rPr>
        <w:t xml:space="preserve"> </w:t>
      </w:r>
      <w:r>
        <w:rPr>
          <w:rFonts w:ascii="Book Antiqua" w:hAnsi="Book Antiqua" w:cs="Arial"/>
        </w:rPr>
        <w:t xml:space="preserve">However, the appellant adduced and relied upon a letter from a consultant peri-natal psychiatrist which stated as </w:t>
      </w:r>
      <w:proofErr w:type="gramStart"/>
      <w:r>
        <w:rPr>
          <w:rFonts w:ascii="Book Antiqua" w:hAnsi="Book Antiqua" w:cs="Arial"/>
        </w:rPr>
        <w:t>follows:-</w:t>
      </w:r>
      <w:proofErr w:type="gramEnd"/>
    </w:p>
    <w:p w:rsidR="00FF312C" w:rsidRPr="00216B66" w:rsidRDefault="00FF312C" w:rsidP="00FF312C">
      <w:pPr>
        <w:spacing w:before="240"/>
        <w:ind w:left="1134"/>
        <w:rPr>
          <w:rFonts w:ascii="Book Antiqua" w:hAnsi="Book Antiqua" w:cs="Arial"/>
          <w:sz w:val="22"/>
          <w:szCs w:val="22"/>
        </w:rPr>
      </w:pPr>
      <w:r>
        <w:rPr>
          <w:rFonts w:ascii="Book Antiqua" w:hAnsi="Book Antiqua" w:cs="Arial"/>
        </w:rPr>
        <w:t>“</w:t>
      </w:r>
      <w:r w:rsidRPr="00216B66">
        <w:rPr>
          <w:rFonts w:ascii="Book Antiqua" w:hAnsi="Book Antiqua" w:cs="Arial"/>
          <w:sz w:val="22"/>
          <w:szCs w:val="22"/>
        </w:rPr>
        <w:t xml:space="preserve">This is to confirm that </w:t>
      </w:r>
      <w:r w:rsidR="00153D5A">
        <w:rPr>
          <w:rFonts w:ascii="Book Antiqua" w:hAnsi="Book Antiqua" w:cs="Arial"/>
          <w:sz w:val="22"/>
          <w:szCs w:val="22"/>
        </w:rPr>
        <w:t>N A</w:t>
      </w:r>
      <w:r w:rsidRPr="00216B66">
        <w:rPr>
          <w:rFonts w:ascii="Book Antiqua" w:hAnsi="Book Antiqua" w:cs="Arial"/>
          <w:sz w:val="22"/>
          <w:szCs w:val="22"/>
        </w:rPr>
        <w:t xml:space="preserve"> is currently at home caring for his wife, and their young baby, full time.</w:t>
      </w:r>
    </w:p>
    <w:p w:rsidR="00FF312C" w:rsidRDefault="00FF312C" w:rsidP="00FF312C">
      <w:pPr>
        <w:spacing w:before="240"/>
        <w:ind w:left="1134"/>
        <w:rPr>
          <w:rFonts w:ascii="Book Antiqua" w:hAnsi="Book Antiqua" w:cs="Arial"/>
        </w:rPr>
      </w:pPr>
      <w:r w:rsidRPr="00216B66">
        <w:rPr>
          <w:rFonts w:ascii="Book Antiqua" w:hAnsi="Book Antiqua" w:cs="Arial"/>
          <w:sz w:val="22"/>
          <w:szCs w:val="22"/>
        </w:rPr>
        <w:t>His wife suffered a severe postpartum psychosis following the birth of their daughter in July 2017.  She has required intensive input and support from mental health services and is still in the recovery phase, requiring medication, follow-up from our service, and very close monitoring and support at home from her husband.</w:t>
      </w:r>
      <w:r>
        <w:rPr>
          <w:rFonts w:ascii="Book Antiqua" w:hAnsi="Book Antiqua" w:cs="Arial"/>
        </w:rPr>
        <w:t>”</w:t>
      </w:r>
    </w:p>
    <w:p w:rsidR="00E06356" w:rsidRPr="003B4952" w:rsidRDefault="003B4952" w:rsidP="003B4952">
      <w:pPr>
        <w:numPr>
          <w:ilvl w:val="0"/>
          <w:numId w:val="1"/>
        </w:numPr>
        <w:tabs>
          <w:tab w:val="clear" w:pos="567"/>
        </w:tabs>
        <w:spacing w:before="240"/>
        <w:rPr>
          <w:rFonts w:ascii="Book Antiqua" w:hAnsi="Book Antiqua" w:cs="Arial"/>
        </w:rPr>
      </w:pPr>
      <w:r>
        <w:rPr>
          <w:rFonts w:ascii="Book Antiqua" w:hAnsi="Book Antiqua" w:cs="Arial"/>
        </w:rPr>
        <w:t xml:space="preserve">The evidence of the psychiatrist was that the appellant’s wife requires intensive input and is still in the recovery phase. There was no evidence before the judge as to the level of mental health care she would receive in Pakistan, but irrespective of the availability and quality of support in Pakistan the move would cause disruption to the close monitoring that the psychiatrist considered necessary. Based on the evidence that was before the Tribunal, the judge was entitled to conclude that the appellant’s wife’s recovery could be destabilised by </w:t>
      </w:r>
      <w:proofErr w:type="gramStart"/>
      <w:r>
        <w:rPr>
          <w:rFonts w:ascii="Book Antiqua" w:hAnsi="Book Antiqua" w:cs="Arial"/>
        </w:rPr>
        <w:t>moving country</w:t>
      </w:r>
      <w:proofErr w:type="gramEnd"/>
      <w:r>
        <w:rPr>
          <w:rFonts w:ascii="Book Antiqua" w:hAnsi="Book Antiqua" w:cs="Arial"/>
        </w:rPr>
        <w:t>.</w:t>
      </w:r>
    </w:p>
    <w:p w:rsidR="005A0BED" w:rsidRPr="00C174E7" w:rsidRDefault="00FF312C" w:rsidP="00C174E7">
      <w:pPr>
        <w:numPr>
          <w:ilvl w:val="0"/>
          <w:numId w:val="1"/>
        </w:numPr>
        <w:tabs>
          <w:tab w:val="clear" w:pos="567"/>
        </w:tabs>
        <w:spacing w:before="240"/>
        <w:rPr>
          <w:rFonts w:ascii="Book Antiqua" w:hAnsi="Book Antiqua" w:cs="Arial"/>
        </w:rPr>
      </w:pPr>
      <w:r>
        <w:rPr>
          <w:rFonts w:ascii="Book Antiqua" w:hAnsi="Book Antiqua" w:cs="Arial"/>
        </w:rPr>
        <w:t xml:space="preserve">I also am of the view that the judge’s findings in respect of the child’s best interests were sustainable. Given the appellant’s role in caring for his daughter, it would clearly not be in her best interests to be separated from him and the judge was entitled to find that it would be in her best interests to be with both parents. The judge, at paragraph 36, considered the implications for the child of moving to Pakistan with both parents and concluded that because of her mother’s mental health problems and the strain this could cause her recovery from psychosis it would be in </w:t>
      </w:r>
      <w:r w:rsidR="003B4952">
        <w:rPr>
          <w:rFonts w:ascii="Book Antiqua" w:hAnsi="Book Antiqua" w:cs="Arial"/>
        </w:rPr>
        <w:t xml:space="preserve">the child’s </w:t>
      </w:r>
      <w:r>
        <w:rPr>
          <w:rFonts w:ascii="Book Antiqua" w:hAnsi="Book Antiqua" w:cs="Arial"/>
        </w:rPr>
        <w:t xml:space="preserve">best interests to remain in the UK. </w:t>
      </w:r>
      <w:r w:rsidR="003B4952">
        <w:rPr>
          <w:rFonts w:ascii="Book Antiqua" w:hAnsi="Book Antiqua" w:cs="Arial"/>
        </w:rPr>
        <w:t xml:space="preserve">It was open to the judge to find, as he did at paragraph 36, that </w:t>
      </w:r>
      <w:r w:rsidR="00C174E7">
        <w:rPr>
          <w:rFonts w:ascii="Book Antiqua" w:hAnsi="Book Antiqua" w:cs="Arial"/>
        </w:rPr>
        <w:t xml:space="preserve">a </w:t>
      </w:r>
      <w:r w:rsidR="003B4952">
        <w:rPr>
          <w:rFonts w:ascii="Book Antiqua" w:hAnsi="Book Antiqua" w:cs="Arial"/>
        </w:rPr>
        <w:t>child can be negatively impacted by a parent</w:t>
      </w:r>
      <w:r w:rsidR="00C174E7">
        <w:rPr>
          <w:rFonts w:ascii="Book Antiqua" w:hAnsi="Book Antiqua" w:cs="Arial"/>
        </w:rPr>
        <w:t>’</w:t>
      </w:r>
      <w:r w:rsidR="003B4952">
        <w:rPr>
          <w:rFonts w:ascii="Book Antiqua" w:hAnsi="Book Antiqua" w:cs="Arial"/>
        </w:rPr>
        <w:t>s mental illness. If, as I have found above, the judge did not err in finding that on the balance of probabilities the appellant’s wife’s mental health would be harmed by a move to Pakistan, it follows that the judge did not err in finding that such a move would not be in the best interests of the child.</w:t>
      </w:r>
      <w:r w:rsidR="003B4952" w:rsidRPr="00C174E7">
        <w:rPr>
          <w:rFonts w:ascii="Book Antiqua" w:hAnsi="Book Antiqua" w:cs="Arial"/>
        </w:rPr>
        <w:t xml:space="preserve"> </w:t>
      </w:r>
    </w:p>
    <w:p w:rsidR="00C22852" w:rsidRDefault="000E6F85" w:rsidP="000E6F85">
      <w:pPr>
        <w:numPr>
          <w:ilvl w:val="0"/>
          <w:numId w:val="1"/>
        </w:numPr>
        <w:tabs>
          <w:tab w:val="clear" w:pos="567"/>
        </w:tabs>
        <w:spacing w:before="240"/>
        <w:rPr>
          <w:rFonts w:ascii="Book Antiqua" w:hAnsi="Book Antiqua" w:cs="Arial"/>
        </w:rPr>
      </w:pPr>
      <w:r>
        <w:rPr>
          <w:rFonts w:ascii="Book Antiqua" w:hAnsi="Book Antiqua" w:cs="Arial"/>
        </w:rPr>
        <w:t>The judge has made sustainable findings about the appellant’s wife’s mental health and his daughter’s best interests and he has directed himself appropriately as to the significance of the appellant’s use of deception. The balancing of these considerations was a matter for the judge and although another judge might have reached a different conclusion</w:t>
      </w:r>
      <w:r w:rsidR="00C174E7">
        <w:rPr>
          <w:rFonts w:ascii="Book Antiqua" w:hAnsi="Book Antiqua" w:cs="Arial"/>
        </w:rPr>
        <w:t xml:space="preserve">, it was open to the judge to find that on this occasion even though the public interest in removal was high </w:t>
      </w:r>
      <w:r w:rsidR="00C1026C">
        <w:rPr>
          <w:rFonts w:ascii="Book Antiqua" w:hAnsi="Book Antiqua" w:cs="Arial"/>
        </w:rPr>
        <w:t>(given the fraudulent conduct)</w:t>
      </w:r>
      <w:r w:rsidR="00C174E7">
        <w:rPr>
          <w:rFonts w:ascii="Book Antiqua" w:hAnsi="Book Antiqua" w:cs="Arial"/>
        </w:rPr>
        <w:t xml:space="preserve"> it was outweighed by the best interests of the appellant’s daughter taken together with the mental health difficulties of the appellant’s wife</w:t>
      </w:r>
      <w:r>
        <w:rPr>
          <w:rFonts w:ascii="Book Antiqua" w:hAnsi="Book Antiqua" w:cs="Arial"/>
        </w:rPr>
        <w:t>.</w:t>
      </w:r>
    </w:p>
    <w:p w:rsidR="000E6F85" w:rsidRPr="000E6F85" w:rsidRDefault="000E6F85" w:rsidP="000E6F85">
      <w:pPr>
        <w:spacing w:before="240"/>
        <w:rPr>
          <w:rFonts w:ascii="Book Antiqua" w:hAnsi="Book Antiqua" w:cs="Arial"/>
          <w:b/>
        </w:rPr>
      </w:pPr>
      <w:r w:rsidRPr="000E6F85">
        <w:rPr>
          <w:rFonts w:ascii="Book Antiqua" w:hAnsi="Book Antiqua" w:cs="Arial"/>
          <w:b/>
        </w:rPr>
        <w:t>Decision</w:t>
      </w:r>
    </w:p>
    <w:p w:rsidR="000E6F85" w:rsidRDefault="000E6F85" w:rsidP="00273201">
      <w:pPr>
        <w:numPr>
          <w:ilvl w:val="0"/>
          <w:numId w:val="1"/>
        </w:numPr>
        <w:tabs>
          <w:tab w:val="clear" w:pos="567"/>
        </w:tabs>
        <w:spacing w:before="240"/>
        <w:rPr>
          <w:rFonts w:ascii="Book Antiqua" w:hAnsi="Book Antiqua" w:cs="Arial"/>
        </w:rPr>
      </w:pPr>
      <w:r>
        <w:rPr>
          <w:rFonts w:ascii="Book Antiqua" w:hAnsi="Book Antiqua" w:cs="Arial"/>
        </w:rPr>
        <w:t>The appeal is dismissed</w:t>
      </w:r>
    </w:p>
    <w:p w:rsidR="005201C0" w:rsidRDefault="000E6F85" w:rsidP="00273201">
      <w:pPr>
        <w:numPr>
          <w:ilvl w:val="0"/>
          <w:numId w:val="1"/>
        </w:numPr>
        <w:tabs>
          <w:tab w:val="clear" w:pos="567"/>
        </w:tabs>
        <w:spacing w:before="240"/>
        <w:rPr>
          <w:rFonts w:ascii="Book Antiqua" w:hAnsi="Book Antiqua" w:cs="Arial"/>
        </w:rPr>
      </w:pPr>
      <w:r>
        <w:rPr>
          <w:rFonts w:ascii="Book Antiqua" w:hAnsi="Book Antiqua" w:cs="Arial"/>
        </w:rPr>
        <w:lastRenderedPageBreak/>
        <w:t>The decision of the First-tier Tribunal does not contain a material error of law and stands.</w:t>
      </w:r>
    </w:p>
    <w:p w:rsidR="00D949B7" w:rsidRPr="00D949B7" w:rsidRDefault="005201C0" w:rsidP="005201C0">
      <w:pPr>
        <w:numPr>
          <w:ilvl w:val="0"/>
          <w:numId w:val="1"/>
        </w:numPr>
        <w:tabs>
          <w:tab w:val="clear" w:pos="567"/>
        </w:tabs>
        <w:spacing w:before="240"/>
        <w:rPr>
          <w:rFonts w:ascii="Book Antiqua" w:hAnsi="Book Antiqua" w:cs="Arial"/>
        </w:rPr>
      </w:pPr>
      <w:r>
        <w:rPr>
          <w:rFonts w:ascii="Book Antiqua" w:hAnsi="Book Antiqua" w:cs="Arial"/>
        </w:rPr>
        <w:t xml:space="preserve">No </w:t>
      </w:r>
      <w:r w:rsidR="00D949B7" w:rsidRPr="00D949B7">
        <w:rPr>
          <w:rFonts w:ascii="Book Antiqua" w:hAnsi="Book Antiqua" w:cs="Arial"/>
        </w:rPr>
        <w:t>anonymity direction is made.</w:t>
      </w:r>
    </w:p>
    <w:p w:rsidR="00D949B7" w:rsidRPr="00D949B7" w:rsidRDefault="00D949B7" w:rsidP="00273201">
      <w:pPr>
        <w:rPr>
          <w:rFonts w:ascii="Book Antiqua" w:hAnsi="Book Antiqua" w:cs="Arial"/>
        </w:rPr>
      </w:pPr>
    </w:p>
    <w:p w:rsidR="001F2716" w:rsidRDefault="001F2716" w:rsidP="00273201">
      <w:pPr>
        <w:rPr>
          <w:rFonts w:ascii="Book Antiqua" w:hAnsi="Book Antiqua" w:cs="Arial"/>
        </w:rPr>
      </w:pPr>
    </w:p>
    <w:p w:rsidR="005201C0" w:rsidRDefault="005201C0" w:rsidP="00273201">
      <w:pPr>
        <w:rPr>
          <w:rFonts w:ascii="Book Antiqua" w:hAnsi="Book Antiqua" w:cs="Arial"/>
        </w:rPr>
      </w:pPr>
    </w:p>
    <w:p w:rsidR="005201C0" w:rsidRPr="009B7433" w:rsidRDefault="005201C0" w:rsidP="00273201">
      <w:pPr>
        <w:rPr>
          <w:rFonts w:ascii="Book Antiqua" w:hAnsi="Book Antiqua" w:cs="Arial"/>
        </w:rPr>
      </w:pPr>
    </w:p>
    <w:p w:rsidR="00D949B7" w:rsidRPr="009B7433" w:rsidRDefault="00D949B7" w:rsidP="00273201">
      <w:pPr>
        <w:rPr>
          <w:rFonts w:ascii="Book Antiqua" w:hAnsi="Book Antiqua" w:cs="Arial"/>
        </w:rPr>
      </w:pPr>
    </w:p>
    <w:tbl>
      <w:tblPr>
        <w:tblW w:w="0" w:type="auto"/>
        <w:tblLook w:val="01E0" w:firstRow="1" w:lastRow="1" w:firstColumn="1" w:lastColumn="1" w:noHBand="0" w:noVBand="0"/>
      </w:tblPr>
      <w:tblGrid>
        <w:gridCol w:w="5092"/>
        <w:gridCol w:w="322"/>
        <w:gridCol w:w="517"/>
        <w:gridCol w:w="3707"/>
      </w:tblGrid>
      <w:tr w:rsidR="000E6F85" w:rsidRPr="00647F2A" w:rsidTr="00C174E7">
        <w:trPr>
          <w:trHeight w:val="277"/>
        </w:trPr>
        <w:tc>
          <w:tcPr>
            <w:tcW w:w="5211" w:type="dxa"/>
          </w:tcPr>
          <w:p w:rsidR="000E6F85" w:rsidRDefault="000E6F85" w:rsidP="00C174E7">
            <w:pPr>
              <w:tabs>
                <w:tab w:val="left" w:pos="2520"/>
              </w:tabs>
              <w:rPr>
                <w:rFonts w:ascii="Book Antiqua" w:hAnsi="Book Antiqua"/>
                <w:color w:val="000000"/>
              </w:rPr>
            </w:pPr>
          </w:p>
          <w:p w:rsidR="000E6F85" w:rsidRDefault="000E6F85" w:rsidP="00C174E7">
            <w:pPr>
              <w:tabs>
                <w:tab w:val="left" w:pos="2520"/>
              </w:tabs>
              <w:rPr>
                <w:rFonts w:ascii="Book Antiqua" w:hAnsi="Book Antiqua"/>
                <w:color w:val="000000"/>
              </w:rPr>
            </w:pPr>
          </w:p>
          <w:p w:rsidR="000E6F85" w:rsidRDefault="000E6F85" w:rsidP="00C174E7">
            <w:pPr>
              <w:tabs>
                <w:tab w:val="left" w:pos="2520"/>
              </w:tabs>
              <w:rPr>
                <w:rFonts w:ascii="Book Antiqua" w:hAnsi="Book Antiqua"/>
                <w:color w:val="000000"/>
              </w:rPr>
            </w:pPr>
            <w:r>
              <w:rPr>
                <w:rFonts w:ascii="Book Antiqua" w:hAnsi="Book Antiqua"/>
                <w:color w:val="000000"/>
              </w:rPr>
              <w:t>Signed</w:t>
            </w:r>
          </w:p>
          <w:p w:rsidR="000E6F85" w:rsidRPr="00647F2A" w:rsidRDefault="00DA3075" w:rsidP="00C174E7">
            <w:pPr>
              <w:tabs>
                <w:tab w:val="left" w:pos="2520"/>
              </w:tabs>
              <w:rPr>
                <w:rFonts w:ascii="Book Antiqua" w:hAnsi="Book Antiqua"/>
                <w:color w:val="000000"/>
              </w:rPr>
            </w:pPr>
            <w:r>
              <w:rPr>
                <w:noProof/>
              </w:rPr>
              <w:drawing>
                <wp:anchor distT="0" distB="0" distL="114300" distR="114300" simplePos="0" relativeHeight="251657728" behindDoc="0" locked="0" layoutInCell="1" allowOverlap="1">
                  <wp:simplePos x="0" y="0"/>
                  <wp:positionH relativeFrom="column">
                    <wp:posOffset>384175</wp:posOffset>
                  </wp:positionH>
                  <wp:positionV relativeFrom="paragraph">
                    <wp:posOffset>166370</wp:posOffset>
                  </wp:positionV>
                  <wp:extent cx="1482090" cy="323215"/>
                  <wp:effectExtent l="0" t="0" r="0" b="0"/>
                  <wp:wrapNone/>
                  <wp:docPr id="2" name="In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2090" cy="3232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6F85" w:rsidRPr="00647F2A" w:rsidRDefault="000E6F85" w:rsidP="00C174E7">
            <w:pPr>
              <w:tabs>
                <w:tab w:val="left" w:pos="2520"/>
              </w:tabs>
              <w:rPr>
                <w:rFonts w:ascii="Book Antiqua" w:hAnsi="Book Antiqua"/>
                <w:color w:val="000000"/>
              </w:rPr>
            </w:pPr>
          </w:p>
        </w:tc>
        <w:tc>
          <w:tcPr>
            <w:tcW w:w="325" w:type="dxa"/>
          </w:tcPr>
          <w:p w:rsidR="000E6F85" w:rsidRPr="00647F2A" w:rsidRDefault="000E6F85" w:rsidP="00C174E7">
            <w:pPr>
              <w:jc w:val="center"/>
              <w:rPr>
                <w:rFonts w:ascii="Book Antiqua" w:hAnsi="Book Antiqua"/>
                <w:color w:val="000000"/>
              </w:rPr>
            </w:pPr>
          </w:p>
          <w:p w:rsidR="000E6F85" w:rsidRPr="00647F2A" w:rsidRDefault="000E6F85" w:rsidP="00C174E7">
            <w:pPr>
              <w:jc w:val="center"/>
              <w:rPr>
                <w:rFonts w:ascii="Book Antiqua" w:hAnsi="Book Antiqua"/>
                <w:color w:val="000000"/>
              </w:rPr>
            </w:pPr>
          </w:p>
        </w:tc>
        <w:tc>
          <w:tcPr>
            <w:tcW w:w="526" w:type="dxa"/>
          </w:tcPr>
          <w:p w:rsidR="000E6F85" w:rsidRPr="00647F2A" w:rsidRDefault="000E6F85" w:rsidP="00C174E7">
            <w:pPr>
              <w:jc w:val="center"/>
              <w:rPr>
                <w:rFonts w:ascii="Book Antiqua" w:hAnsi="Book Antiqua"/>
                <w:color w:val="000000"/>
              </w:rPr>
            </w:pPr>
          </w:p>
        </w:tc>
        <w:tc>
          <w:tcPr>
            <w:tcW w:w="3792" w:type="dxa"/>
          </w:tcPr>
          <w:p w:rsidR="000E6F85" w:rsidRPr="00647F2A" w:rsidRDefault="000E6F85" w:rsidP="00C174E7">
            <w:pPr>
              <w:jc w:val="center"/>
              <w:rPr>
                <w:rFonts w:ascii="Book Antiqua" w:hAnsi="Book Antiqua"/>
                <w:color w:val="000000"/>
              </w:rPr>
            </w:pPr>
          </w:p>
        </w:tc>
      </w:tr>
      <w:tr w:rsidR="000E6F85" w:rsidRPr="00CD6FF1" w:rsidTr="00C174E7">
        <w:trPr>
          <w:trHeight w:val="1000"/>
        </w:trPr>
        <w:tc>
          <w:tcPr>
            <w:tcW w:w="5211" w:type="dxa"/>
          </w:tcPr>
          <w:p w:rsidR="000E6F85" w:rsidRDefault="000E6F85" w:rsidP="00C174E7">
            <w:pPr>
              <w:tabs>
                <w:tab w:val="left" w:pos="2520"/>
              </w:tabs>
              <w:rPr>
                <w:rFonts w:ascii="Book Antiqua" w:hAnsi="Book Antiqua" w:cs="Arial"/>
              </w:rPr>
            </w:pPr>
          </w:p>
          <w:p w:rsidR="000E6F85" w:rsidRDefault="000E6F85" w:rsidP="00C174E7">
            <w:pPr>
              <w:tabs>
                <w:tab w:val="left" w:pos="2520"/>
              </w:tabs>
              <w:rPr>
                <w:rFonts w:ascii="Book Antiqua" w:hAnsi="Book Antiqua" w:cs="Arial"/>
              </w:rPr>
            </w:pPr>
          </w:p>
          <w:p w:rsidR="000E6F85" w:rsidRPr="00CD6FF1" w:rsidRDefault="000E6F85" w:rsidP="00C174E7">
            <w:pPr>
              <w:tabs>
                <w:tab w:val="left" w:pos="2520"/>
              </w:tabs>
              <w:rPr>
                <w:rFonts w:ascii="Book Antiqua" w:hAnsi="Book Antiqua" w:cs="Arial"/>
              </w:rPr>
            </w:pPr>
            <w:r w:rsidRPr="00CD6FF1">
              <w:rPr>
                <w:rFonts w:ascii="Book Antiqua" w:hAnsi="Book Antiqua" w:cs="Arial"/>
              </w:rPr>
              <w:t>Deputy Upper Tribunal Judge Sheridan</w:t>
            </w:r>
          </w:p>
        </w:tc>
        <w:tc>
          <w:tcPr>
            <w:tcW w:w="325" w:type="dxa"/>
          </w:tcPr>
          <w:p w:rsidR="000E6F85" w:rsidRPr="00CD6FF1" w:rsidRDefault="000E6F85" w:rsidP="00C174E7">
            <w:pPr>
              <w:tabs>
                <w:tab w:val="left" w:pos="2520"/>
              </w:tabs>
              <w:rPr>
                <w:rFonts w:ascii="Book Antiqua" w:hAnsi="Book Antiqua" w:cs="Arial"/>
              </w:rPr>
            </w:pPr>
          </w:p>
          <w:p w:rsidR="000E6F85" w:rsidRPr="00CD6FF1" w:rsidRDefault="000E6F85" w:rsidP="00C174E7">
            <w:pPr>
              <w:tabs>
                <w:tab w:val="left" w:pos="2520"/>
              </w:tabs>
              <w:rPr>
                <w:rFonts w:ascii="Book Antiqua" w:hAnsi="Book Antiqua" w:cs="Arial"/>
              </w:rPr>
            </w:pPr>
          </w:p>
        </w:tc>
        <w:tc>
          <w:tcPr>
            <w:tcW w:w="526" w:type="dxa"/>
          </w:tcPr>
          <w:p w:rsidR="000E6F85" w:rsidRPr="00CD6FF1" w:rsidRDefault="000E6F85" w:rsidP="00C174E7">
            <w:pPr>
              <w:tabs>
                <w:tab w:val="left" w:pos="2520"/>
              </w:tabs>
              <w:rPr>
                <w:rFonts w:ascii="Book Antiqua" w:hAnsi="Book Antiqua" w:cs="Arial"/>
              </w:rPr>
            </w:pPr>
          </w:p>
        </w:tc>
        <w:tc>
          <w:tcPr>
            <w:tcW w:w="3792" w:type="dxa"/>
          </w:tcPr>
          <w:p w:rsidR="000E6F85" w:rsidRDefault="000E6F85" w:rsidP="00C174E7">
            <w:pPr>
              <w:tabs>
                <w:tab w:val="left" w:pos="2520"/>
              </w:tabs>
              <w:rPr>
                <w:rFonts w:ascii="Book Antiqua" w:hAnsi="Book Antiqua" w:cs="Arial"/>
              </w:rPr>
            </w:pPr>
          </w:p>
          <w:p w:rsidR="000E6F85" w:rsidRDefault="000E6F85" w:rsidP="00C174E7">
            <w:pPr>
              <w:tabs>
                <w:tab w:val="left" w:pos="2520"/>
              </w:tabs>
              <w:rPr>
                <w:rFonts w:ascii="Book Antiqua" w:hAnsi="Book Antiqua" w:cs="Arial"/>
              </w:rPr>
            </w:pPr>
          </w:p>
          <w:p w:rsidR="000E6F85" w:rsidRPr="00CD6FF1" w:rsidRDefault="000E6F85" w:rsidP="00C174E7">
            <w:pPr>
              <w:tabs>
                <w:tab w:val="left" w:pos="2520"/>
              </w:tabs>
              <w:rPr>
                <w:rFonts w:ascii="Book Antiqua" w:hAnsi="Book Antiqua" w:cs="Arial"/>
              </w:rPr>
            </w:pPr>
            <w:r w:rsidRPr="00CD6FF1">
              <w:rPr>
                <w:rFonts w:ascii="Book Antiqua" w:hAnsi="Book Antiqua" w:cs="Arial"/>
              </w:rPr>
              <w:t>Dated</w:t>
            </w:r>
            <w:r w:rsidR="00C174E7">
              <w:rPr>
                <w:rFonts w:ascii="Book Antiqua" w:hAnsi="Book Antiqua" w:cs="Arial"/>
              </w:rPr>
              <w:t>: 18</w:t>
            </w:r>
            <w:r>
              <w:rPr>
                <w:rFonts w:ascii="Book Antiqua" w:hAnsi="Book Antiqua" w:cs="Arial"/>
              </w:rPr>
              <w:t xml:space="preserve"> July 2018</w:t>
            </w:r>
          </w:p>
        </w:tc>
      </w:tr>
    </w:tbl>
    <w:p w:rsidR="00B95326" w:rsidRDefault="00B95326" w:rsidP="00273201">
      <w:pPr>
        <w:rPr>
          <w:rFonts w:ascii="Book Antiqua" w:hAnsi="Book Antiqua" w:cs="Arial"/>
          <w:color w:val="000000"/>
        </w:rPr>
      </w:pPr>
    </w:p>
    <w:p w:rsidR="000E6F85" w:rsidRDefault="000E6F85" w:rsidP="00B95326">
      <w:pPr>
        <w:jc w:val="center"/>
        <w:rPr>
          <w:rFonts w:ascii="Book Antiqua" w:hAnsi="Book Antiqua" w:cs="Arial"/>
          <w:b/>
          <w:u w:val="single"/>
        </w:rPr>
      </w:pPr>
    </w:p>
    <w:p w:rsidR="000E6F85" w:rsidRDefault="000E6F85" w:rsidP="00B95326">
      <w:pPr>
        <w:jc w:val="center"/>
        <w:rPr>
          <w:rFonts w:ascii="Book Antiqua" w:hAnsi="Book Antiqua" w:cs="Arial"/>
          <w:b/>
          <w:u w:val="single"/>
        </w:rPr>
      </w:pPr>
    </w:p>
    <w:p w:rsidR="000E6F85" w:rsidRDefault="000E6F85" w:rsidP="00B95326">
      <w:pPr>
        <w:jc w:val="center"/>
        <w:rPr>
          <w:rFonts w:ascii="Book Antiqua" w:hAnsi="Book Antiqua" w:cs="Arial"/>
          <w:b/>
          <w:u w:val="single"/>
        </w:rPr>
      </w:pPr>
    </w:p>
    <w:p w:rsidR="000E6F85" w:rsidRDefault="000E6F85" w:rsidP="00B95326">
      <w:pPr>
        <w:jc w:val="center"/>
        <w:rPr>
          <w:rFonts w:ascii="Book Antiqua" w:hAnsi="Book Antiqua" w:cs="Arial"/>
          <w:b/>
          <w:u w:val="single"/>
        </w:rPr>
      </w:pPr>
    </w:p>
    <w:p w:rsidR="000E6F85" w:rsidRDefault="000E6F85" w:rsidP="00B95326">
      <w:pPr>
        <w:jc w:val="center"/>
        <w:rPr>
          <w:rFonts w:ascii="Book Antiqua" w:hAnsi="Book Antiqua" w:cs="Arial"/>
          <w:b/>
          <w:u w:val="single"/>
        </w:rPr>
      </w:pPr>
    </w:p>
    <w:p w:rsidR="000E6F85" w:rsidRDefault="000E6F85" w:rsidP="00B95326">
      <w:pPr>
        <w:jc w:val="center"/>
        <w:rPr>
          <w:rFonts w:ascii="Book Antiqua" w:hAnsi="Book Antiqua" w:cs="Arial"/>
          <w:b/>
          <w:u w:val="single"/>
        </w:rPr>
      </w:pPr>
    </w:p>
    <w:p w:rsidR="000E6F85" w:rsidRDefault="000E6F85" w:rsidP="00B95326">
      <w:pPr>
        <w:jc w:val="center"/>
        <w:rPr>
          <w:rFonts w:ascii="Book Antiqua" w:hAnsi="Book Antiqua" w:cs="Arial"/>
          <w:b/>
          <w:u w:val="single"/>
        </w:rPr>
      </w:pPr>
    </w:p>
    <w:sectPr w:rsidR="000E6F85" w:rsidSect="00356ED2">
      <w:headerReference w:type="default" r:id="rId9"/>
      <w:footerReference w:type="default" r:id="rId10"/>
      <w:headerReference w:type="first" r:id="rId11"/>
      <w:footerReference w:type="first" r:id="rId12"/>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4F86" w:rsidRDefault="00A64F86">
      <w:r>
        <w:separator/>
      </w:r>
    </w:p>
  </w:endnote>
  <w:endnote w:type="continuationSeparator" w:id="0">
    <w:p w:rsidR="00A64F86" w:rsidRDefault="00A64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74E7" w:rsidRPr="00356ED2" w:rsidRDefault="00C174E7" w:rsidP="00593795">
    <w:pPr>
      <w:pStyle w:val="Footer"/>
      <w:jc w:val="center"/>
      <w:rPr>
        <w:rFonts w:ascii="Book Antiqua" w:hAnsi="Book Antiqua" w:cs="Arial"/>
      </w:rPr>
    </w:pPr>
    <w:r w:rsidRPr="00356ED2">
      <w:rPr>
        <w:rStyle w:val="PageNumber"/>
        <w:rFonts w:ascii="Book Antiqua" w:hAnsi="Book Antiqua" w:cs="Arial"/>
      </w:rPr>
      <w:fldChar w:fldCharType="begin"/>
    </w:r>
    <w:r w:rsidRPr="00356ED2">
      <w:rPr>
        <w:rStyle w:val="PageNumber"/>
        <w:rFonts w:ascii="Book Antiqua" w:hAnsi="Book Antiqua" w:cs="Arial"/>
      </w:rPr>
      <w:instrText xml:space="preserve"> PAGE </w:instrText>
    </w:r>
    <w:r w:rsidRPr="00356ED2">
      <w:rPr>
        <w:rStyle w:val="PageNumber"/>
        <w:rFonts w:ascii="Book Antiqua" w:hAnsi="Book Antiqua" w:cs="Arial"/>
      </w:rPr>
      <w:fldChar w:fldCharType="separate"/>
    </w:r>
    <w:r w:rsidR="00E1626F">
      <w:rPr>
        <w:rStyle w:val="PageNumber"/>
        <w:rFonts w:ascii="Book Antiqua" w:hAnsi="Book Antiqua" w:cs="Arial"/>
        <w:noProof/>
      </w:rPr>
      <w:t>5</w:t>
    </w:r>
    <w:r w:rsidRPr="00356ED2">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74E7" w:rsidRPr="009B7433" w:rsidRDefault="00C174E7"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4F86" w:rsidRDefault="00A64F86">
      <w:r>
        <w:separator/>
      </w:r>
    </w:p>
  </w:footnote>
  <w:footnote w:type="continuationSeparator" w:id="0">
    <w:p w:rsidR="00A64F86" w:rsidRDefault="00A64F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74E7" w:rsidRDefault="00C174E7"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Pr="00961A76">
      <w:rPr>
        <w:rFonts w:ascii="Book Antiqua" w:hAnsi="Book Antiqua" w:cs="Arial"/>
        <w:sz w:val="16"/>
        <w:szCs w:val="16"/>
      </w:rPr>
      <w:t>HU/17394/2016</w:t>
    </w:r>
  </w:p>
  <w:p w:rsidR="00356ED2" w:rsidRPr="00961A76" w:rsidRDefault="00356ED2"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74E7" w:rsidRPr="009B7433" w:rsidRDefault="00C174E7">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DD977788-C2AD-40A4-AC3D-03F56F144985}"/>
    <w:docVar w:name="dgnword-eventsink" w:val="66444464"/>
  </w:docVars>
  <w:rsids>
    <w:rsidRoot w:val="007D7762"/>
    <w:rsid w:val="00000621"/>
    <w:rsid w:val="000036C2"/>
    <w:rsid w:val="00016C1A"/>
    <w:rsid w:val="00033588"/>
    <w:rsid w:val="00033D3D"/>
    <w:rsid w:val="0004776F"/>
    <w:rsid w:val="00052895"/>
    <w:rsid w:val="00062F02"/>
    <w:rsid w:val="00071A7E"/>
    <w:rsid w:val="000746C0"/>
    <w:rsid w:val="00074D1D"/>
    <w:rsid w:val="00092580"/>
    <w:rsid w:val="00093D4D"/>
    <w:rsid w:val="000A0743"/>
    <w:rsid w:val="000C0A1A"/>
    <w:rsid w:val="000D5D94"/>
    <w:rsid w:val="000E6F85"/>
    <w:rsid w:val="000F1A0E"/>
    <w:rsid w:val="001165A7"/>
    <w:rsid w:val="00153D5A"/>
    <w:rsid w:val="0016508E"/>
    <w:rsid w:val="00167D3A"/>
    <w:rsid w:val="00173F50"/>
    <w:rsid w:val="00180026"/>
    <w:rsid w:val="00185986"/>
    <w:rsid w:val="00194E9E"/>
    <w:rsid w:val="001A3082"/>
    <w:rsid w:val="001B186A"/>
    <w:rsid w:val="001B2F75"/>
    <w:rsid w:val="001C6F5F"/>
    <w:rsid w:val="001D6167"/>
    <w:rsid w:val="001F2716"/>
    <w:rsid w:val="001F3AC0"/>
    <w:rsid w:val="00201E52"/>
    <w:rsid w:val="00207617"/>
    <w:rsid w:val="00216B66"/>
    <w:rsid w:val="0023134B"/>
    <w:rsid w:val="00273201"/>
    <w:rsid w:val="00283659"/>
    <w:rsid w:val="002B504C"/>
    <w:rsid w:val="002C1C45"/>
    <w:rsid w:val="002C27E6"/>
    <w:rsid w:val="002C6BD4"/>
    <w:rsid w:val="002D68BF"/>
    <w:rsid w:val="002E4541"/>
    <w:rsid w:val="002F6B98"/>
    <w:rsid w:val="00336CBF"/>
    <w:rsid w:val="00343FE3"/>
    <w:rsid w:val="00353EB3"/>
    <w:rsid w:val="003546C8"/>
    <w:rsid w:val="00356ED2"/>
    <w:rsid w:val="0037777D"/>
    <w:rsid w:val="003825D4"/>
    <w:rsid w:val="003A7CF2"/>
    <w:rsid w:val="003B4952"/>
    <w:rsid w:val="003C5CE5"/>
    <w:rsid w:val="003D25F1"/>
    <w:rsid w:val="003D60DD"/>
    <w:rsid w:val="003D6FAD"/>
    <w:rsid w:val="003E267B"/>
    <w:rsid w:val="003E612C"/>
    <w:rsid w:val="003E7CD1"/>
    <w:rsid w:val="003F1730"/>
    <w:rsid w:val="00402B9E"/>
    <w:rsid w:val="004249CB"/>
    <w:rsid w:val="0044127D"/>
    <w:rsid w:val="004448DB"/>
    <w:rsid w:val="00446C9A"/>
    <w:rsid w:val="00446F1E"/>
    <w:rsid w:val="00452F2B"/>
    <w:rsid w:val="00477193"/>
    <w:rsid w:val="004A1848"/>
    <w:rsid w:val="004A2D15"/>
    <w:rsid w:val="004A534C"/>
    <w:rsid w:val="004A6F4A"/>
    <w:rsid w:val="004B70D7"/>
    <w:rsid w:val="004D6B45"/>
    <w:rsid w:val="004E4717"/>
    <w:rsid w:val="004F2676"/>
    <w:rsid w:val="00507FEC"/>
    <w:rsid w:val="00510F0E"/>
    <w:rsid w:val="0051166D"/>
    <w:rsid w:val="005201C0"/>
    <w:rsid w:val="005479E1"/>
    <w:rsid w:val="00553028"/>
    <w:rsid w:val="00553E0A"/>
    <w:rsid w:val="005570FD"/>
    <w:rsid w:val="005575EA"/>
    <w:rsid w:val="0057790C"/>
    <w:rsid w:val="00593795"/>
    <w:rsid w:val="005A0BED"/>
    <w:rsid w:val="005A75FF"/>
    <w:rsid w:val="005C0895"/>
    <w:rsid w:val="005D10AB"/>
    <w:rsid w:val="005F497E"/>
    <w:rsid w:val="00601D8F"/>
    <w:rsid w:val="00605582"/>
    <w:rsid w:val="00611F34"/>
    <w:rsid w:val="00621FE8"/>
    <w:rsid w:val="006434B6"/>
    <w:rsid w:val="00653E97"/>
    <w:rsid w:val="00661085"/>
    <w:rsid w:val="006667DB"/>
    <w:rsid w:val="00684A74"/>
    <w:rsid w:val="0068620A"/>
    <w:rsid w:val="00690B8A"/>
    <w:rsid w:val="006C2FB8"/>
    <w:rsid w:val="006F2CF1"/>
    <w:rsid w:val="007038ED"/>
    <w:rsid w:val="00703BC3"/>
    <w:rsid w:val="00704B61"/>
    <w:rsid w:val="00715A64"/>
    <w:rsid w:val="00717467"/>
    <w:rsid w:val="007217D8"/>
    <w:rsid w:val="00723ED9"/>
    <w:rsid w:val="00735617"/>
    <w:rsid w:val="00740C1F"/>
    <w:rsid w:val="007552A9"/>
    <w:rsid w:val="0075658A"/>
    <w:rsid w:val="00756871"/>
    <w:rsid w:val="00761858"/>
    <w:rsid w:val="00767D59"/>
    <w:rsid w:val="00776E97"/>
    <w:rsid w:val="00780F86"/>
    <w:rsid w:val="007845C5"/>
    <w:rsid w:val="007912AD"/>
    <w:rsid w:val="007B0824"/>
    <w:rsid w:val="007B5D3C"/>
    <w:rsid w:val="007B7362"/>
    <w:rsid w:val="007D67F5"/>
    <w:rsid w:val="007D7762"/>
    <w:rsid w:val="00815011"/>
    <w:rsid w:val="00821B72"/>
    <w:rsid w:val="0082229E"/>
    <w:rsid w:val="00823EF2"/>
    <w:rsid w:val="008303B8"/>
    <w:rsid w:val="00833DCE"/>
    <w:rsid w:val="00833E86"/>
    <w:rsid w:val="00871D34"/>
    <w:rsid w:val="008A25EC"/>
    <w:rsid w:val="008A6059"/>
    <w:rsid w:val="008B17FF"/>
    <w:rsid w:val="008B270C"/>
    <w:rsid w:val="008B5078"/>
    <w:rsid w:val="008C3D3D"/>
    <w:rsid w:val="008D4131"/>
    <w:rsid w:val="008F1932"/>
    <w:rsid w:val="0090151B"/>
    <w:rsid w:val="009042A9"/>
    <w:rsid w:val="00921062"/>
    <w:rsid w:val="009224D8"/>
    <w:rsid w:val="0092696F"/>
    <w:rsid w:val="00936004"/>
    <w:rsid w:val="00961A76"/>
    <w:rsid w:val="009643CC"/>
    <w:rsid w:val="009722BC"/>
    <w:rsid w:val="009727A3"/>
    <w:rsid w:val="00987774"/>
    <w:rsid w:val="009A11E8"/>
    <w:rsid w:val="009B5422"/>
    <w:rsid w:val="009B65AE"/>
    <w:rsid w:val="009B7433"/>
    <w:rsid w:val="009C57C8"/>
    <w:rsid w:val="009D348A"/>
    <w:rsid w:val="009F5220"/>
    <w:rsid w:val="00A07919"/>
    <w:rsid w:val="00A15234"/>
    <w:rsid w:val="00A172F5"/>
    <w:rsid w:val="00A201AB"/>
    <w:rsid w:val="00A31C8B"/>
    <w:rsid w:val="00A509FA"/>
    <w:rsid w:val="00A64F86"/>
    <w:rsid w:val="00A845DC"/>
    <w:rsid w:val="00B26AA2"/>
    <w:rsid w:val="00B3524D"/>
    <w:rsid w:val="00B40F69"/>
    <w:rsid w:val="00B46616"/>
    <w:rsid w:val="00B47505"/>
    <w:rsid w:val="00B528BB"/>
    <w:rsid w:val="00B7040A"/>
    <w:rsid w:val="00B83391"/>
    <w:rsid w:val="00B95326"/>
    <w:rsid w:val="00BD4196"/>
    <w:rsid w:val="00BF22CA"/>
    <w:rsid w:val="00BF23BB"/>
    <w:rsid w:val="00C1026C"/>
    <w:rsid w:val="00C174E7"/>
    <w:rsid w:val="00C22852"/>
    <w:rsid w:val="00C26032"/>
    <w:rsid w:val="00C345E1"/>
    <w:rsid w:val="00C34E06"/>
    <w:rsid w:val="00C42248"/>
    <w:rsid w:val="00C43BFD"/>
    <w:rsid w:val="00C6048A"/>
    <w:rsid w:val="00C80EAD"/>
    <w:rsid w:val="00CA7CC0"/>
    <w:rsid w:val="00CB6E35"/>
    <w:rsid w:val="00CE09B1"/>
    <w:rsid w:val="00CE1A46"/>
    <w:rsid w:val="00CE319D"/>
    <w:rsid w:val="00D05EA6"/>
    <w:rsid w:val="00D20757"/>
    <w:rsid w:val="00D22636"/>
    <w:rsid w:val="00D40FD9"/>
    <w:rsid w:val="00D53769"/>
    <w:rsid w:val="00D6602D"/>
    <w:rsid w:val="00D85C13"/>
    <w:rsid w:val="00D9111A"/>
    <w:rsid w:val="00D91BE3"/>
    <w:rsid w:val="00D949B7"/>
    <w:rsid w:val="00D94AFC"/>
    <w:rsid w:val="00DA3075"/>
    <w:rsid w:val="00DB70AE"/>
    <w:rsid w:val="00DD5071"/>
    <w:rsid w:val="00DD5C39"/>
    <w:rsid w:val="00DE7DB7"/>
    <w:rsid w:val="00E00A0A"/>
    <w:rsid w:val="00E05AD9"/>
    <w:rsid w:val="00E06356"/>
    <w:rsid w:val="00E066DE"/>
    <w:rsid w:val="00E07F57"/>
    <w:rsid w:val="00E1626F"/>
    <w:rsid w:val="00E30683"/>
    <w:rsid w:val="00E42107"/>
    <w:rsid w:val="00E453D8"/>
    <w:rsid w:val="00E50BCE"/>
    <w:rsid w:val="00E574BF"/>
    <w:rsid w:val="00E61292"/>
    <w:rsid w:val="00E77C4D"/>
    <w:rsid w:val="00E81D01"/>
    <w:rsid w:val="00EB485A"/>
    <w:rsid w:val="00EC1D17"/>
    <w:rsid w:val="00EE45D8"/>
    <w:rsid w:val="00EF2D26"/>
    <w:rsid w:val="00F01899"/>
    <w:rsid w:val="00F11FC5"/>
    <w:rsid w:val="00F22EDA"/>
    <w:rsid w:val="00F34CA7"/>
    <w:rsid w:val="00F40176"/>
    <w:rsid w:val="00F470D6"/>
    <w:rsid w:val="00F5589A"/>
    <w:rsid w:val="00FA636C"/>
    <w:rsid w:val="00FC2903"/>
    <w:rsid w:val="00FC40FA"/>
    <w:rsid w:val="00FF31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5121"/>
    <o:shapelayout v:ext="edit">
      <o:idmap v:ext="edit" data="1"/>
    </o:shapelayout>
  </w:shapeDefaults>
  <w:decimalSymbol w:val="."/>
  <w:listSeparator w:val=","/>
  <w14:docId w14:val="2B18C8B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1836</Words>
  <Characters>9148</Characters>
  <Application>Microsoft Office Word</Application>
  <DocSecurity>0</DocSecurity>
  <Lines>76</Lines>
  <Paragraphs>21</Paragraphs>
  <ScaleCrop>false</ScaleCrop>
  <Company/>
  <LinksUpToDate>false</LinksUpToDate>
  <CharactersWithSpaces>10963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2018-08-06T12:07:00Z</dcterms:created>
  <dcterms:modified xsi:type="dcterms:W3CDTF">2018-08-06T12:07:00Z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