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310101"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28171D" w:rsidRDefault="00643BFC" w:rsidP="00780F86">
      <w:pPr>
        <w:tabs>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28171D">
        <w:rPr>
          <w:rFonts w:ascii="Book Antiqua" w:hAnsi="Book Antiqua" w:cs="Arial"/>
          <w:b/>
          <w:color w:val="000000"/>
        </w:rPr>
        <w:t xml:space="preserve">   </w:t>
      </w:r>
      <w:proofErr w:type="gramEnd"/>
      <w:r w:rsidR="0028171D">
        <w:rPr>
          <w:rFonts w:ascii="Book Antiqua" w:hAnsi="Book Antiqua" w:cs="Arial"/>
          <w:b/>
          <w:color w:val="000000"/>
        </w:rPr>
        <w:t xml:space="preserve">                     </w:t>
      </w:r>
      <w:r w:rsidR="00B3524D" w:rsidRPr="0028171D">
        <w:rPr>
          <w:rFonts w:ascii="Book Antiqua" w:hAnsi="Book Antiqua" w:cs="Arial"/>
          <w:b/>
          <w:color w:val="000000"/>
        </w:rPr>
        <w:t>Appeal Number</w:t>
      </w:r>
      <w:r w:rsidR="0058562F" w:rsidRPr="0028171D">
        <w:rPr>
          <w:rFonts w:ascii="Book Antiqua" w:hAnsi="Book Antiqua" w:cs="Arial"/>
          <w:b/>
          <w:color w:val="000000"/>
        </w:rPr>
        <w:t>s</w:t>
      </w:r>
      <w:r w:rsidR="00D53769" w:rsidRPr="0028171D">
        <w:rPr>
          <w:rFonts w:ascii="Book Antiqua" w:hAnsi="Book Antiqua" w:cs="Arial"/>
          <w:b/>
          <w:color w:val="000000"/>
        </w:rPr>
        <w:t>:</w:t>
      </w:r>
      <w:r w:rsidR="00B3524D" w:rsidRPr="0028171D">
        <w:rPr>
          <w:rFonts w:ascii="Book Antiqua" w:hAnsi="Book Antiqua" w:cs="Arial"/>
          <w:b/>
          <w:color w:val="000000"/>
        </w:rPr>
        <w:t xml:space="preserve"> </w:t>
      </w:r>
      <w:r w:rsidR="0058562F" w:rsidRPr="0028171D">
        <w:rPr>
          <w:rFonts w:ascii="Book Antiqua" w:hAnsi="Book Antiqua" w:cs="Arial"/>
          <w:b/>
          <w:color w:val="000000"/>
        </w:rPr>
        <w:t>HU/17536/2016</w:t>
      </w:r>
    </w:p>
    <w:p w:rsidR="0058562F" w:rsidRPr="0028171D" w:rsidRDefault="0028171D" w:rsidP="00780F86">
      <w:pPr>
        <w:tabs>
          <w:tab w:val="right" w:pos="9720"/>
        </w:tabs>
        <w:ind w:right="-82"/>
        <w:rPr>
          <w:rFonts w:ascii="Book Antiqua" w:hAnsi="Book Antiqua" w:cs="Arial"/>
          <w:b/>
          <w:color w:val="000000"/>
        </w:rPr>
      </w:pPr>
      <w:r>
        <w:rPr>
          <w:rFonts w:ascii="Book Antiqua" w:hAnsi="Book Antiqua" w:cs="Arial"/>
          <w:b/>
          <w:color w:val="000000"/>
        </w:rPr>
        <w:t xml:space="preserve">                                                                                                                             </w:t>
      </w:r>
      <w:r w:rsidR="0058562F" w:rsidRPr="0028171D">
        <w:rPr>
          <w:rFonts w:ascii="Book Antiqua" w:hAnsi="Book Antiqua" w:cs="Arial"/>
          <w:b/>
          <w:color w:val="000000"/>
        </w:rPr>
        <w:t>HU/17543/2016</w:t>
      </w:r>
    </w:p>
    <w:p w:rsidR="0058562F" w:rsidRPr="0028171D" w:rsidRDefault="0028171D" w:rsidP="00780F86">
      <w:pPr>
        <w:tabs>
          <w:tab w:val="right" w:pos="9720"/>
        </w:tabs>
        <w:ind w:right="-82"/>
        <w:rPr>
          <w:rFonts w:ascii="Book Antiqua" w:hAnsi="Book Antiqua" w:cs="Arial"/>
          <w:b/>
          <w:caps/>
          <w:color w:val="000000"/>
        </w:rPr>
      </w:pPr>
      <w:r>
        <w:rPr>
          <w:rFonts w:ascii="Book Antiqua" w:hAnsi="Book Antiqua" w:cs="Arial"/>
          <w:b/>
          <w:color w:val="000000"/>
        </w:rPr>
        <w:t xml:space="preserve">                                                                                                                             </w:t>
      </w:r>
      <w:r w:rsidR="0058562F" w:rsidRPr="0028171D">
        <w:rPr>
          <w:rFonts w:ascii="Book Antiqua" w:hAnsi="Book Antiqua" w:cs="Arial"/>
          <w:b/>
          <w:color w:val="000000"/>
        </w:rPr>
        <w:t>HU/17544/2016</w:t>
      </w:r>
    </w:p>
    <w:p w:rsidR="00C345E1" w:rsidRPr="000704BB" w:rsidRDefault="00C345E1" w:rsidP="00CB32F9">
      <w:pPr>
        <w:rPr>
          <w:rFonts w:ascii="Book Antiqua" w:hAnsi="Book Antiqua" w:cs="Arial"/>
          <w:color w:val="000000"/>
        </w:rPr>
      </w:pPr>
    </w:p>
    <w:p w:rsidR="00C345E1" w:rsidRPr="00CB32F9" w:rsidRDefault="00C345E1" w:rsidP="00CB32F9">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94"/>
        <w:gridCol w:w="3899"/>
      </w:tblGrid>
      <w:tr w:rsidR="00D22636" w:rsidRPr="00CD6010" w:rsidTr="0028171D">
        <w:tc>
          <w:tcPr>
            <w:tcW w:w="5245" w:type="dxa"/>
            <w:shd w:val="clear" w:color="auto" w:fill="auto"/>
          </w:tcPr>
          <w:p w:rsidR="00D22636" w:rsidRPr="00CD6010" w:rsidRDefault="00D22636" w:rsidP="00CD6010">
            <w:pPr>
              <w:jc w:val="both"/>
              <w:rPr>
                <w:rFonts w:ascii="Book Antiqua" w:hAnsi="Book Antiqua" w:cs="Arial"/>
                <w:b/>
              </w:rPr>
            </w:pPr>
            <w:r w:rsidRPr="00CD6010">
              <w:rPr>
                <w:rFonts w:ascii="Book Antiqua" w:hAnsi="Book Antiqua" w:cs="Arial"/>
                <w:b/>
              </w:rPr>
              <w:t xml:space="preserve">Heard at </w:t>
            </w:r>
            <w:r w:rsidR="0058562F" w:rsidRPr="00CD6010">
              <w:rPr>
                <w:rFonts w:ascii="Book Antiqua" w:hAnsi="Book Antiqua" w:cs="Arial"/>
                <w:b/>
              </w:rPr>
              <w:t>Field House</w:t>
            </w:r>
          </w:p>
        </w:tc>
        <w:tc>
          <w:tcPr>
            <w:tcW w:w="4393" w:type="dxa"/>
            <w:gridSpan w:val="2"/>
            <w:shd w:val="clear" w:color="auto" w:fill="auto"/>
          </w:tcPr>
          <w:p w:rsidR="00D22636" w:rsidRPr="00CD6010" w:rsidRDefault="0028171D" w:rsidP="00CD6010">
            <w:pPr>
              <w:jc w:val="both"/>
              <w:rPr>
                <w:rFonts w:ascii="Book Antiqua" w:hAnsi="Book Antiqua" w:cs="Arial"/>
                <w:b/>
                <w:color w:val="000000"/>
              </w:rPr>
            </w:pPr>
            <w:r>
              <w:rPr>
                <w:rFonts w:ascii="Book Antiqua" w:hAnsi="Book Antiqua" w:cs="Arial"/>
                <w:b/>
                <w:color w:val="000000"/>
              </w:rPr>
              <w:t xml:space="preserve"> </w:t>
            </w:r>
            <w:r w:rsidR="00265B39" w:rsidRPr="00CD6010">
              <w:rPr>
                <w:rFonts w:ascii="Book Antiqua" w:hAnsi="Book Antiqua" w:cs="Arial"/>
                <w:b/>
                <w:color w:val="000000"/>
              </w:rPr>
              <w:t>Decision &amp; Reasons</w:t>
            </w:r>
            <w:r w:rsidR="00283659" w:rsidRPr="00CD6010">
              <w:rPr>
                <w:rFonts w:ascii="Book Antiqua" w:hAnsi="Book Antiqua" w:cs="Arial"/>
                <w:b/>
                <w:color w:val="000000"/>
              </w:rPr>
              <w:t xml:space="preserve"> Promulgated</w:t>
            </w:r>
          </w:p>
        </w:tc>
      </w:tr>
      <w:tr w:rsidR="00D22636" w:rsidRPr="00CD6010" w:rsidTr="0028171D">
        <w:tc>
          <w:tcPr>
            <w:tcW w:w="5245" w:type="dxa"/>
            <w:shd w:val="clear" w:color="auto" w:fill="auto"/>
          </w:tcPr>
          <w:p w:rsidR="00D22636" w:rsidRPr="00CD6010" w:rsidRDefault="00D22636" w:rsidP="00CD6010">
            <w:pPr>
              <w:jc w:val="both"/>
              <w:rPr>
                <w:rFonts w:ascii="Book Antiqua" w:hAnsi="Book Antiqua" w:cs="Arial"/>
                <w:b/>
              </w:rPr>
            </w:pPr>
            <w:r w:rsidRPr="00CD6010">
              <w:rPr>
                <w:rFonts w:ascii="Book Antiqua" w:hAnsi="Book Antiqua" w:cs="Arial"/>
                <w:b/>
              </w:rPr>
              <w:t xml:space="preserve">On </w:t>
            </w:r>
            <w:r w:rsidR="0058562F" w:rsidRPr="00CD6010">
              <w:rPr>
                <w:rFonts w:ascii="Book Antiqua" w:hAnsi="Book Antiqua" w:cs="Arial"/>
                <w:b/>
              </w:rPr>
              <w:t>21</w:t>
            </w:r>
            <w:r w:rsidR="0058562F" w:rsidRPr="00CD6010">
              <w:rPr>
                <w:rFonts w:ascii="Book Antiqua" w:hAnsi="Book Antiqua" w:cs="Arial"/>
                <w:b/>
                <w:vertAlign w:val="superscript"/>
              </w:rPr>
              <w:t>st</w:t>
            </w:r>
            <w:r w:rsidR="0058562F" w:rsidRPr="00CD6010">
              <w:rPr>
                <w:rFonts w:ascii="Book Antiqua" w:hAnsi="Book Antiqua" w:cs="Arial"/>
                <w:b/>
              </w:rPr>
              <w:t xml:space="preserve"> May 2018</w:t>
            </w:r>
          </w:p>
        </w:tc>
        <w:tc>
          <w:tcPr>
            <w:tcW w:w="4393" w:type="dxa"/>
            <w:gridSpan w:val="2"/>
            <w:shd w:val="clear" w:color="auto" w:fill="auto"/>
          </w:tcPr>
          <w:p w:rsidR="00D22636" w:rsidRPr="00CD6010" w:rsidRDefault="0028171D" w:rsidP="00CD6010">
            <w:pPr>
              <w:jc w:val="both"/>
              <w:rPr>
                <w:rFonts w:ascii="Book Antiqua" w:hAnsi="Book Antiqua" w:cs="Arial"/>
                <w:b/>
              </w:rPr>
            </w:pPr>
            <w:r>
              <w:rPr>
                <w:rFonts w:ascii="Book Antiqua" w:hAnsi="Book Antiqua" w:cs="Arial"/>
                <w:b/>
              </w:rPr>
              <w:t xml:space="preserve"> </w:t>
            </w:r>
            <w:r w:rsidR="00310101">
              <w:rPr>
                <w:rFonts w:ascii="Book Antiqua" w:hAnsi="Book Antiqua" w:cs="Arial"/>
                <w:b/>
              </w:rPr>
              <w:t>On 5</w:t>
            </w:r>
            <w:r w:rsidR="00310101" w:rsidRPr="00310101">
              <w:rPr>
                <w:rFonts w:ascii="Book Antiqua" w:hAnsi="Book Antiqua" w:cs="Arial"/>
                <w:b/>
                <w:vertAlign w:val="superscript"/>
              </w:rPr>
              <w:t>th</w:t>
            </w:r>
            <w:r w:rsidR="00310101">
              <w:rPr>
                <w:rFonts w:ascii="Book Antiqua" w:hAnsi="Book Antiqua" w:cs="Arial"/>
                <w:b/>
              </w:rPr>
              <w:t xml:space="preserve"> June 2018</w:t>
            </w:r>
          </w:p>
        </w:tc>
      </w:tr>
      <w:tr w:rsidR="00D22636" w:rsidRPr="00CD6010" w:rsidTr="0028171D">
        <w:tc>
          <w:tcPr>
            <w:tcW w:w="5739" w:type="dxa"/>
            <w:gridSpan w:val="2"/>
            <w:shd w:val="clear" w:color="auto" w:fill="auto"/>
          </w:tcPr>
          <w:p w:rsidR="00D22636" w:rsidRPr="00CD6010" w:rsidRDefault="00D22636" w:rsidP="00CD6010">
            <w:pPr>
              <w:jc w:val="both"/>
              <w:rPr>
                <w:rFonts w:ascii="Book Antiqua" w:hAnsi="Book Antiqua" w:cs="Arial"/>
                <w:b/>
              </w:rPr>
            </w:pPr>
          </w:p>
        </w:tc>
        <w:tc>
          <w:tcPr>
            <w:tcW w:w="3899" w:type="dxa"/>
            <w:shd w:val="clear" w:color="auto" w:fill="auto"/>
          </w:tcPr>
          <w:p w:rsidR="00D22636" w:rsidRPr="00CD6010" w:rsidRDefault="00D22636" w:rsidP="00CD6010">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Pr="00024D27" w:rsidRDefault="0058562F" w:rsidP="00A15234">
      <w:pPr>
        <w:jc w:val="center"/>
        <w:rPr>
          <w:rFonts w:ascii="Book Antiqua" w:hAnsi="Book Antiqua" w:cs="Arial"/>
          <w:b/>
          <w:caps/>
        </w:rPr>
      </w:pPr>
      <w:r>
        <w:rPr>
          <w:rFonts w:ascii="Book Antiqua" w:hAnsi="Book Antiqua" w:cs="Arial"/>
          <w:b/>
          <w:caps/>
        </w:rPr>
        <w:t xml:space="preserve">Secretary of State for the Home Department </w:t>
      </w:r>
    </w:p>
    <w:p w:rsidR="00704B61" w:rsidRPr="000704BB" w:rsidRDefault="0063673C"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Default="0058562F" w:rsidP="00704B61">
      <w:pPr>
        <w:jc w:val="center"/>
        <w:rPr>
          <w:rFonts w:ascii="Book Antiqua" w:hAnsi="Book Antiqua" w:cs="Arial"/>
          <w:b/>
        </w:rPr>
      </w:pPr>
      <w:r>
        <w:rPr>
          <w:rFonts w:ascii="Book Antiqua" w:hAnsi="Book Antiqua" w:cs="Arial"/>
          <w:b/>
        </w:rPr>
        <w:t>MR THANUSHAN SRIKARAN</w:t>
      </w:r>
    </w:p>
    <w:p w:rsidR="0058562F" w:rsidRDefault="0058562F" w:rsidP="00704B61">
      <w:pPr>
        <w:jc w:val="center"/>
        <w:rPr>
          <w:rFonts w:ascii="Book Antiqua" w:hAnsi="Book Antiqua" w:cs="Arial"/>
          <w:b/>
        </w:rPr>
      </w:pPr>
      <w:r>
        <w:rPr>
          <w:rFonts w:ascii="Book Antiqua" w:hAnsi="Book Antiqua" w:cs="Arial"/>
          <w:b/>
        </w:rPr>
        <w:t>MISS THANUSHKA SRIKARAN</w:t>
      </w:r>
    </w:p>
    <w:p w:rsidR="0058562F" w:rsidRPr="000704BB" w:rsidRDefault="0058562F" w:rsidP="00704B61">
      <w:pPr>
        <w:jc w:val="center"/>
        <w:rPr>
          <w:rFonts w:ascii="Book Antiqua" w:hAnsi="Book Antiqua" w:cs="Arial"/>
          <w:b/>
        </w:rPr>
      </w:pPr>
      <w:r>
        <w:rPr>
          <w:rFonts w:ascii="Book Antiqua" w:hAnsi="Book Antiqua" w:cs="Arial"/>
          <w:b/>
        </w:rPr>
        <w:t>MR THUSHANTHAN SRIKARAN</w:t>
      </w:r>
    </w:p>
    <w:p w:rsidR="0058562F" w:rsidRPr="0028171D" w:rsidRDefault="0058562F" w:rsidP="0058562F">
      <w:pPr>
        <w:jc w:val="center"/>
        <w:rPr>
          <w:rFonts w:ascii="Book Antiqua" w:hAnsi="Book Antiqua" w:cs="Arial"/>
        </w:rPr>
      </w:pPr>
      <w:r w:rsidRPr="0028171D">
        <w:rPr>
          <w:rFonts w:ascii="Book Antiqua" w:hAnsi="Book Antiqua" w:cs="Arial"/>
          <w:caps/>
        </w:rPr>
        <w:t>(anonymity direction not made)</w:t>
      </w:r>
    </w:p>
    <w:p w:rsidR="00DD5071" w:rsidRPr="000704BB" w:rsidRDefault="0063673C" w:rsidP="00DD5071">
      <w:pPr>
        <w:jc w:val="right"/>
        <w:rPr>
          <w:rFonts w:ascii="Book Antiqua" w:hAnsi="Book Antiqua" w:cs="Arial"/>
          <w:u w:val="single"/>
        </w:rPr>
      </w:pPr>
      <w:r>
        <w:rPr>
          <w:rFonts w:ascii="Book Antiqua" w:hAnsi="Book Antiqua" w:cs="Arial"/>
          <w:u w:val="single"/>
        </w:rPr>
        <w:t>Respondent</w:t>
      </w:r>
      <w:r w:rsidR="0058562F">
        <w:rPr>
          <w:rFonts w:ascii="Book Antiqua" w:hAnsi="Book Antiqua" w:cs="Arial"/>
          <w:u w:val="single"/>
        </w:rPr>
        <w:t>s</w:t>
      </w:r>
    </w:p>
    <w:p w:rsidR="00DD5071" w:rsidRPr="000704BB" w:rsidRDefault="00DD5071" w:rsidP="0028171D">
      <w:pPr>
        <w:spacing w:line="360" w:lineRule="auto"/>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63673C">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58562F">
        <w:rPr>
          <w:rFonts w:ascii="Book Antiqua" w:hAnsi="Book Antiqua" w:cs="Arial"/>
        </w:rPr>
        <w:t xml:space="preserve">Ms Z Ahmed, Home Office Presenting Officer </w:t>
      </w:r>
    </w:p>
    <w:p w:rsidR="0063673C" w:rsidRPr="00CB32F9" w:rsidRDefault="00DE7DB7" w:rsidP="00CB32F9">
      <w:pPr>
        <w:tabs>
          <w:tab w:val="left" w:pos="2520"/>
        </w:tabs>
        <w:rPr>
          <w:rFonts w:ascii="Book Antiqua" w:hAnsi="Book Antiqua" w:cs="Arial"/>
        </w:rPr>
      </w:pPr>
      <w:r w:rsidRPr="000704BB">
        <w:rPr>
          <w:rFonts w:ascii="Book Antiqua" w:hAnsi="Book Antiqua" w:cs="Arial"/>
        </w:rPr>
        <w:t xml:space="preserve">For the </w:t>
      </w:r>
      <w:r w:rsidR="0063673C">
        <w:rPr>
          <w:rFonts w:ascii="Book Antiqua" w:hAnsi="Book Antiqua" w:cs="Arial"/>
        </w:rPr>
        <w:t>Respondent</w:t>
      </w:r>
      <w:r w:rsidR="0058562F">
        <w:rPr>
          <w:rFonts w:ascii="Book Antiqua" w:hAnsi="Book Antiqua" w:cs="Arial"/>
        </w:rPr>
        <w:t>s</w:t>
      </w:r>
      <w:r w:rsidRPr="000704BB">
        <w:rPr>
          <w:rFonts w:ascii="Book Antiqua" w:hAnsi="Book Antiqua" w:cs="Arial"/>
        </w:rPr>
        <w:t>:</w:t>
      </w:r>
      <w:r w:rsidRPr="000704BB">
        <w:rPr>
          <w:rFonts w:ascii="Book Antiqua" w:hAnsi="Book Antiqua" w:cs="Arial"/>
        </w:rPr>
        <w:tab/>
      </w:r>
      <w:r w:rsidR="0082060F">
        <w:rPr>
          <w:rFonts w:ascii="Book Antiqua" w:hAnsi="Book Antiqua" w:cs="Arial"/>
        </w:rPr>
        <w:t>Ms S Iengar,</w:t>
      </w:r>
      <w:r w:rsidR="0058562F">
        <w:rPr>
          <w:rFonts w:ascii="Book Antiqua" w:hAnsi="Book Antiqua" w:cs="Arial"/>
        </w:rPr>
        <w:t xml:space="preserve"> instructed by S. Satha &amp; Co Solicitors</w:t>
      </w:r>
    </w:p>
    <w:p w:rsidR="0063673C" w:rsidRDefault="0063673C" w:rsidP="00265B39">
      <w:pPr>
        <w:jc w:val="center"/>
        <w:rPr>
          <w:rFonts w:ascii="Book Antiqua" w:hAnsi="Book Antiqua" w:cs="Arial"/>
          <w:b/>
          <w:u w:val="single"/>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CB32F9" w:rsidRDefault="00BD02B4" w:rsidP="00265B39">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4B6FC1">
        <w:rPr>
          <w:rFonts w:ascii="Book Antiqua" w:hAnsi="Book Antiqua" w:cs="Arial"/>
        </w:rPr>
        <w:tab/>
      </w:r>
      <w:r w:rsidR="0058562F" w:rsidRPr="004B6FC1">
        <w:rPr>
          <w:rFonts w:ascii="Book Antiqua" w:hAnsi="Book Antiqua" w:cs="Arial"/>
        </w:rPr>
        <w:t xml:space="preserve">Although this is an appeal by the Secretary of State I shall refer to the parties as in the First-tier Tribunal. </w:t>
      </w:r>
      <w:r w:rsidR="00CB32F9">
        <w:rPr>
          <w:rFonts w:ascii="Book Antiqua" w:hAnsi="Book Antiqua" w:cs="Arial"/>
        </w:rPr>
        <w:t>The Appellants’ appeal</w:t>
      </w:r>
      <w:r w:rsidR="008050D9">
        <w:rPr>
          <w:rFonts w:ascii="Book Antiqua" w:hAnsi="Book Antiqua" w:cs="Arial"/>
        </w:rPr>
        <w:t>s</w:t>
      </w:r>
      <w:r w:rsidR="00CB32F9">
        <w:rPr>
          <w:rFonts w:ascii="Book Antiqua" w:hAnsi="Book Antiqua" w:cs="Arial"/>
        </w:rPr>
        <w:t xml:space="preserve"> against the refus</w:t>
      </w:r>
      <w:r w:rsidR="008050D9">
        <w:rPr>
          <w:rFonts w:ascii="Book Antiqua" w:hAnsi="Book Antiqua" w:cs="Arial"/>
        </w:rPr>
        <w:t>al of leave to remain were</w:t>
      </w:r>
      <w:r w:rsidR="00CB32F9">
        <w:rPr>
          <w:rFonts w:ascii="Book Antiqua" w:hAnsi="Book Antiqua" w:cs="Arial"/>
        </w:rPr>
        <w:t xml:space="preserve"> allowed by First-tier Tribunal Judge Fowell on </w:t>
      </w:r>
      <w:r w:rsidR="008050D9">
        <w:rPr>
          <w:rFonts w:ascii="Book Antiqua" w:hAnsi="Book Antiqua" w:cs="Arial"/>
        </w:rPr>
        <w:t>human rights grounds.</w:t>
      </w:r>
    </w:p>
    <w:p w:rsidR="00CB32F9" w:rsidRDefault="00CB32F9" w:rsidP="00265B39">
      <w:pPr>
        <w:ind w:left="567" w:hanging="567"/>
        <w:jc w:val="both"/>
        <w:rPr>
          <w:rFonts w:ascii="Book Antiqua" w:hAnsi="Book Antiqua" w:cs="Arial"/>
        </w:rPr>
      </w:pPr>
    </w:p>
    <w:p w:rsidR="00CB32F9" w:rsidRDefault="00CB32F9" w:rsidP="004727C8">
      <w:pPr>
        <w:jc w:val="both"/>
        <w:rPr>
          <w:rFonts w:ascii="Book Antiqua" w:hAnsi="Book Antiqua" w:cs="Arial"/>
        </w:rPr>
      </w:pPr>
    </w:p>
    <w:p w:rsidR="0090339A" w:rsidRPr="004B6FC1" w:rsidRDefault="008050D9" w:rsidP="008050D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58562F" w:rsidRPr="004B6FC1">
        <w:rPr>
          <w:rFonts w:ascii="Book Antiqua" w:hAnsi="Book Antiqua" w:cs="Arial"/>
        </w:rPr>
        <w:t xml:space="preserve">The </w:t>
      </w:r>
      <w:r w:rsidR="0063673C" w:rsidRPr="004B6FC1">
        <w:rPr>
          <w:rFonts w:ascii="Book Antiqua" w:hAnsi="Book Antiqua" w:cs="Arial"/>
        </w:rPr>
        <w:t>Appellant</w:t>
      </w:r>
      <w:r w:rsidR="0058562F" w:rsidRPr="004B6FC1">
        <w:rPr>
          <w:rFonts w:ascii="Book Antiqua" w:hAnsi="Book Antiqua" w:cs="Arial"/>
        </w:rPr>
        <w:t>s are citizens of Sri Lanka. At the date of hearing</w:t>
      </w:r>
      <w:r>
        <w:rPr>
          <w:rFonts w:ascii="Book Antiqua" w:hAnsi="Book Antiqua" w:cs="Arial"/>
        </w:rPr>
        <w:t xml:space="preserve"> before the First-tier Tribunal</w:t>
      </w:r>
      <w:r w:rsidR="0058562F" w:rsidRPr="004B6FC1">
        <w:rPr>
          <w:rFonts w:ascii="Book Antiqua" w:hAnsi="Book Antiqua" w:cs="Arial"/>
        </w:rPr>
        <w:t xml:space="preserve"> they we</w:t>
      </w:r>
      <w:r>
        <w:rPr>
          <w:rFonts w:ascii="Book Antiqua" w:hAnsi="Book Antiqua" w:cs="Arial"/>
        </w:rPr>
        <w:t xml:space="preserve">re 26, 23 and 22 years of age. </w:t>
      </w:r>
      <w:r w:rsidR="0058562F" w:rsidRPr="004B6FC1">
        <w:rPr>
          <w:rFonts w:ascii="Book Antiqua" w:hAnsi="Book Antiqua" w:cs="Arial"/>
        </w:rPr>
        <w:t>Their father came to the UK</w:t>
      </w:r>
      <w:r>
        <w:rPr>
          <w:rFonts w:ascii="Book Antiqua" w:hAnsi="Book Antiqua" w:cs="Arial"/>
        </w:rPr>
        <w:t xml:space="preserve"> first</w:t>
      </w:r>
      <w:r w:rsidR="0058562F" w:rsidRPr="004B6FC1">
        <w:rPr>
          <w:rFonts w:ascii="Book Antiqua" w:hAnsi="Book Antiqua" w:cs="Arial"/>
        </w:rPr>
        <w:t xml:space="preserve"> and was granted indefinite lea</w:t>
      </w:r>
      <w:r>
        <w:rPr>
          <w:rFonts w:ascii="Book Antiqua" w:hAnsi="Book Antiqua" w:cs="Arial"/>
        </w:rPr>
        <w:t xml:space="preserve">ve to remain in November 2009. </w:t>
      </w:r>
      <w:r w:rsidR="0058562F" w:rsidRPr="004B6FC1">
        <w:rPr>
          <w:rFonts w:ascii="Book Antiqua" w:hAnsi="Book Antiqua" w:cs="Arial"/>
        </w:rPr>
        <w:t xml:space="preserve">He was joined by his wife </w:t>
      </w:r>
      <w:r w:rsidR="0058562F" w:rsidRPr="004B6FC1">
        <w:rPr>
          <w:rFonts w:ascii="Book Antiqua" w:hAnsi="Book Antiqua" w:cs="Arial"/>
        </w:rPr>
        <w:lastRenderedPageBreak/>
        <w:t>a</w:t>
      </w:r>
      <w:r>
        <w:rPr>
          <w:rFonts w:ascii="Book Antiqua" w:hAnsi="Book Antiqua" w:cs="Arial"/>
        </w:rPr>
        <w:t xml:space="preserve">nd children in September 2011. </w:t>
      </w:r>
      <w:r w:rsidR="0058562F" w:rsidRPr="004B6FC1">
        <w:rPr>
          <w:rFonts w:ascii="Book Antiqua" w:hAnsi="Book Antiqua" w:cs="Arial"/>
        </w:rPr>
        <w:t>At t</w:t>
      </w:r>
      <w:r>
        <w:rPr>
          <w:rFonts w:ascii="Book Antiqua" w:hAnsi="Book Antiqua" w:cs="Arial"/>
        </w:rPr>
        <w:t>hat stage the First Appellant</w:t>
      </w:r>
      <w:r w:rsidR="0058562F" w:rsidRPr="004B6FC1">
        <w:rPr>
          <w:rFonts w:ascii="Book Antiqua" w:hAnsi="Book Antiqua" w:cs="Arial"/>
        </w:rPr>
        <w:t xml:space="preserve"> was aged 20 and the other two </w:t>
      </w:r>
      <w:r>
        <w:rPr>
          <w:rFonts w:ascii="Book Antiqua" w:hAnsi="Book Antiqua" w:cs="Arial"/>
        </w:rPr>
        <w:t xml:space="preserve">Appellants </w:t>
      </w:r>
      <w:r w:rsidR="0058562F" w:rsidRPr="004B6FC1">
        <w:rPr>
          <w:rFonts w:ascii="Book Antiqua" w:hAnsi="Book Antiqua" w:cs="Arial"/>
        </w:rPr>
        <w:t xml:space="preserve">were still under the age of 18.  </w:t>
      </w:r>
    </w:p>
    <w:p w:rsidR="0090339A" w:rsidRPr="004B6FC1" w:rsidRDefault="0090339A" w:rsidP="00265B39">
      <w:pPr>
        <w:ind w:left="567" w:hanging="567"/>
        <w:jc w:val="both"/>
        <w:rPr>
          <w:rFonts w:ascii="Book Antiqua" w:hAnsi="Book Antiqua" w:cs="Arial"/>
        </w:rPr>
      </w:pPr>
    </w:p>
    <w:p w:rsidR="00BF23BB" w:rsidRPr="004B6FC1" w:rsidRDefault="008050D9" w:rsidP="00265B39">
      <w:pPr>
        <w:ind w:left="567" w:hanging="567"/>
        <w:jc w:val="both"/>
        <w:rPr>
          <w:rFonts w:ascii="Book Antiqua" w:hAnsi="Book Antiqua" w:cs="Arial"/>
        </w:rPr>
      </w:pPr>
      <w:r>
        <w:rPr>
          <w:rFonts w:ascii="Book Antiqua" w:hAnsi="Book Antiqua" w:cs="Arial"/>
        </w:rPr>
        <w:t>3</w:t>
      </w:r>
      <w:r w:rsidR="0090339A" w:rsidRPr="004B6FC1">
        <w:rPr>
          <w:rFonts w:ascii="Book Antiqua" w:hAnsi="Book Antiqua" w:cs="Arial"/>
        </w:rPr>
        <w:t>.</w:t>
      </w:r>
      <w:r w:rsidR="0090339A" w:rsidRPr="004B6FC1">
        <w:rPr>
          <w:rFonts w:ascii="Book Antiqua" w:hAnsi="Book Antiqua" w:cs="Arial"/>
        </w:rPr>
        <w:tab/>
      </w:r>
      <w:r w:rsidR="0058562F" w:rsidRPr="004B6FC1">
        <w:rPr>
          <w:rFonts w:ascii="Book Antiqua" w:hAnsi="Book Antiqua" w:cs="Arial"/>
        </w:rPr>
        <w:t>On 2 December 2013</w:t>
      </w:r>
      <w:r w:rsidR="00084A1F">
        <w:rPr>
          <w:rFonts w:ascii="Book Antiqua" w:hAnsi="Book Antiqua" w:cs="Arial"/>
        </w:rPr>
        <w:t>,</w:t>
      </w:r>
      <w:r w:rsidR="0058562F" w:rsidRPr="004B6FC1">
        <w:rPr>
          <w:rFonts w:ascii="Book Antiqua" w:hAnsi="Book Antiqua" w:cs="Arial"/>
        </w:rPr>
        <w:t xml:space="preserve"> the </w:t>
      </w:r>
      <w:r w:rsidR="0063673C" w:rsidRPr="004B6FC1">
        <w:rPr>
          <w:rFonts w:ascii="Book Antiqua" w:hAnsi="Book Antiqua" w:cs="Arial"/>
        </w:rPr>
        <w:t>Appellant</w:t>
      </w:r>
      <w:r w:rsidR="0058562F" w:rsidRPr="004B6FC1">
        <w:rPr>
          <w:rFonts w:ascii="Book Antiqua" w:hAnsi="Book Antiqua" w:cs="Arial"/>
        </w:rPr>
        <w:t>s</w:t>
      </w:r>
      <w:r>
        <w:rPr>
          <w:rFonts w:ascii="Book Antiqua" w:hAnsi="Book Antiqua" w:cs="Arial"/>
        </w:rPr>
        <w:t xml:space="preserve"> and their</w:t>
      </w:r>
      <w:r w:rsidR="0058562F" w:rsidRPr="004B6FC1">
        <w:rPr>
          <w:rFonts w:ascii="Book Antiqua" w:hAnsi="Book Antiqua" w:cs="Arial"/>
        </w:rPr>
        <w:t xml:space="preserve"> mother appli</w:t>
      </w:r>
      <w:r>
        <w:rPr>
          <w:rFonts w:ascii="Book Antiqua" w:hAnsi="Book Antiqua" w:cs="Arial"/>
        </w:rPr>
        <w:t>ed for further leave to remain.</w:t>
      </w:r>
      <w:r w:rsidR="0058562F" w:rsidRPr="004B6FC1">
        <w:rPr>
          <w:rFonts w:ascii="Book Antiqua" w:hAnsi="Book Antiqua" w:cs="Arial"/>
        </w:rPr>
        <w:t xml:space="preserve"> The </w:t>
      </w:r>
      <w:r w:rsidR="0090339A" w:rsidRPr="004B6FC1">
        <w:rPr>
          <w:rFonts w:ascii="Book Antiqua" w:hAnsi="Book Antiqua" w:cs="Arial"/>
        </w:rPr>
        <w:t>application was refused and the</w:t>
      </w:r>
      <w:r>
        <w:rPr>
          <w:rFonts w:ascii="Book Antiqua" w:hAnsi="Book Antiqua" w:cs="Arial"/>
        </w:rPr>
        <w:t>ir</w:t>
      </w:r>
      <w:r w:rsidR="0090339A" w:rsidRPr="004B6FC1">
        <w:rPr>
          <w:rFonts w:ascii="Book Antiqua" w:hAnsi="Book Antiqua" w:cs="Arial"/>
        </w:rPr>
        <w:t xml:space="preserve"> mother</w:t>
      </w:r>
      <w:r>
        <w:rPr>
          <w:rFonts w:ascii="Book Antiqua" w:hAnsi="Book Antiqua" w:cs="Arial"/>
        </w:rPr>
        <w:t xml:space="preserve">’s </w:t>
      </w:r>
      <w:r w:rsidR="0090339A" w:rsidRPr="004B6FC1">
        <w:rPr>
          <w:rFonts w:ascii="Book Antiqua" w:hAnsi="Book Antiqua" w:cs="Arial"/>
        </w:rPr>
        <w:t>appeal</w:t>
      </w:r>
      <w:r>
        <w:rPr>
          <w:rFonts w:ascii="Book Antiqua" w:hAnsi="Book Antiqua" w:cs="Arial"/>
        </w:rPr>
        <w:t>, heard</w:t>
      </w:r>
      <w:r w:rsidR="0090339A" w:rsidRPr="004B6FC1">
        <w:rPr>
          <w:rFonts w:ascii="Book Antiqua" w:hAnsi="Book Antiqua" w:cs="Arial"/>
        </w:rPr>
        <w:t xml:space="preserve"> on 11 September 2014</w:t>
      </w:r>
      <w:r>
        <w:rPr>
          <w:rFonts w:ascii="Book Antiqua" w:hAnsi="Book Antiqua" w:cs="Arial"/>
        </w:rPr>
        <w:t xml:space="preserve">, was allowed. </w:t>
      </w:r>
      <w:r w:rsidR="00B07E6A" w:rsidRPr="004B6FC1">
        <w:rPr>
          <w:rFonts w:ascii="Book Antiqua" w:hAnsi="Book Antiqua" w:cs="Arial"/>
        </w:rPr>
        <w:t>She was granted indef</w:t>
      </w:r>
      <w:r w:rsidR="00B07E6A">
        <w:rPr>
          <w:rFonts w:ascii="Book Antiqua" w:hAnsi="Book Antiqua" w:cs="Arial"/>
        </w:rPr>
        <w:t xml:space="preserve">inite leave to remain in 2016. </w:t>
      </w:r>
      <w:r>
        <w:rPr>
          <w:rFonts w:ascii="Book Antiqua" w:hAnsi="Book Antiqua" w:cs="Arial"/>
        </w:rPr>
        <w:t>An unsuccessful appeal by the Respondent</w:t>
      </w:r>
      <w:r w:rsidR="00B07E6A">
        <w:rPr>
          <w:rFonts w:ascii="Book Antiqua" w:hAnsi="Book Antiqua" w:cs="Arial"/>
        </w:rPr>
        <w:t xml:space="preserve"> c</w:t>
      </w:r>
      <w:r>
        <w:rPr>
          <w:rFonts w:ascii="Book Antiqua" w:hAnsi="Book Antiqua" w:cs="Arial"/>
        </w:rPr>
        <w:t>a</w:t>
      </w:r>
      <w:r w:rsidR="00B07E6A">
        <w:rPr>
          <w:rFonts w:ascii="Book Antiqua" w:hAnsi="Book Antiqua" w:cs="Arial"/>
        </w:rPr>
        <w:t>u</w:t>
      </w:r>
      <w:r>
        <w:rPr>
          <w:rFonts w:ascii="Book Antiqua" w:hAnsi="Book Antiqua" w:cs="Arial"/>
        </w:rPr>
        <w:t>sed further delay, during which time t</w:t>
      </w:r>
      <w:r w:rsidR="0090339A" w:rsidRPr="004B6FC1">
        <w:rPr>
          <w:rFonts w:ascii="Book Antiqua" w:hAnsi="Book Antiqua" w:cs="Arial"/>
        </w:rPr>
        <w:t xml:space="preserve">he </w:t>
      </w:r>
      <w:r w:rsidR="0063673C" w:rsidRPr="004B6FC1">
        <w:rPr>
          <w:rFonts w:ascii="Book Antiqua" w:hAnsi="Book Antiqua" w:cs="Arial"/>
        </w:rPr>
        <w:t>Appellant</w:t>
      </w:r>
      <w:r w:rsidR="0090339A" w:rsidRPr="004B6FC1">
        <w:rPr>
          <w:rFonts w:ascii="Book Antiqua" w:hAnsi="Book Antiqua" w:cs="Arial"/>
        </w:rPr>
        <w:t>s appealed and their applications were reconsidered by the Home Office in light of the</w:t>
      </w:r>
      <w:r w:rsidR="00725751">
        <w:rPr>
          <w:rFonts w:ascii="Book Antiqua" w:hAnsi="Book Antiqua" w:cs="Arial"/>
        </w:rPr>
        <w:t>ir mother’s successful appeal. T</w:t>
      </w:r>
      <w:r w:rsidR="0090339A" w:rsidRPr="004B6FC1">
        <w:rPr>
          <w:rFonts w:ascii="Book Antiqua" w:hAnsi="Book Antiqua" w:cs="Arial"/>
        </w:rPr>
        <w:t>hey were</w:t>
      </w:r>
      <w:r w:rsidR="00725751">
        <w:rPr>
          <w:rFonts w:ascii="Book Antiqua" w:hAnsi="Book Antiqua" w:cs="Arial"/>
        </w:rPr>
        <w:t xml:space="preserve">, however, </w:t>
      </w:r>
      <w:r w:rsidR="0090339A" w:rsidRPr="004B6FC1">
        <w:rPr>
          <w:rFonts w:ascii="Book Antiqua" w:hAnsi="Book Antiqua" w:cs="Arial"/>
        </w:rPr>
        <w:t>refused on</w:t>
      </w:r>
      <w:r w:rsidR="00725751">
        <w:rPr>
          <w:rFonts w:ascii="Book Antiqua" w:hAnsi="Book Antiqua" w:cs="Arial"/>
        </w:rPr>
        <w:t xml:space="preserve"> 4</w:t>
      </w:r>
      <w:r w:rsidR="0090339A" w:rsidRPr="004B6FC1">
        <w:rPr>
          <w:rFonts w:ascii="Book Antiqua" w:hAnsi="Book Antiqua" w:cs="Arial"/>
        </w:rPr>
        <w:t xml:space="preserve"> May 2016 and it is ag</w:t>
      </w:r>
      <w:r w:rsidR="00725751">
        <w:rPr>
          <w:rFonts w:ascii="Book Antiqua" w:hAnsi="Book Antiqua" w:cs="Arial"/>
        </w:rPr>
        <w:t>ainst this</w:t>
      </w:r>
      <w:r w:rsidR="0090339A" w:rsidRPr="004B6FC1">
        <w:rPr>
          <w:rFonts w:ascii="Book Antiqua" w:hAnsi="Book Antiqua" w:cs="Arial"/>
        </w:rPr>
        <w:t xml:space="preserve"> decision that the </w:t>
      </w:r>
      <w:r w:rsidR="0063673C" w:rsidRPr="004B6FC1">
        <w:rPr>
          <w:rFonts w:ascii="Book Antiqua" w:hAnsi="Book Antiqua" w:cs="Arial"/>
        </w:rPr>
        <w:t>Appellant</w:t>
      </w:r>
      <w:r w:rsidR="00E30EA5" w:rsidRPr="004B6FC1">
        <w:rPr>
          <w:rFonts w:ascii="Book Antiqua" w:hAnsi="Book Antiqua" w:cs="Arial"/>
        </w:rPr>
        <w:t>s</w:t>
      </w:r>
      <w:r w:rsidR="0090339A" w:rsidRPr="004B6FC1">
        <w:rPr>
          <w:rFonts w:ascii="Book Antiqua" w:hAnsi="Book Antiqua" w:cs="Arial"/>
        </w:rPr>
        <w:t xml:space="preserve"> appealed to the First-tier Tribunal. </w:t>
      </w:r>
      <w:r w:rsidR="00725751">
        <w:rPr>
          <w:rFonts w:ascii="Book Antiqua" w:hAnsi="Book Antiqua" w:cs="Arial"/>
        </w:rPr>
        <w:t xml:space="preserve">The matter came before First-tier Tribunal Judge </w:t>
      </w:r>
      <w:proofErr w:type="spellStart"/>
      <w:r w:rsidR="00725751">
        <w:rPr>
          <w:rFonts w:ascii="Book Antiqua" w:hAnsi="Book Antiqua" w:cs="Arial"/>
        </w:rPr>
        <w:t>Fowell</w:t>
      </w:r>
      <w:proofErr w:type="spellEnd"/>
      <w:r w:rsidR="00725751">
        <w:rPr>
          <w:rFonts w:ascii="Book Antiqua" w:hAnsi="Book Antiqua" w:cs="Arial"/>
        </w:rPr>
        <w:t xml:space="preserve"> on 6 November 2017 and he allowed their appeals.</w:t>
      </w:r>
      <w:r w:rsidR="0090339A" w:rsidRPr="004B6FC1">
        <w:rPr>
          <w:rFonts w:ascii="Book Antiqua" w:hAnsi="Book Antiqua" w:cs="Arial"/>
        </w:rPr>
        <w:t xml:space="preserve"> </w:t>
      </w:r>
    </w:p>
    <w:p w:rsidR="0090339A" w:rsidRPr="004B6FC1" w:rsidRDefault="0090339A" w:rsidP="00265B39">
      <w:pPr>
        <w:ind w:left="567" w:hanging="567"/>
        <w:jc w:val="both"/>
        <w:rPr>
          <w:rFonts w:ascii="Book Antiqua" w:hAnsi="Book Antiqua" w:cs="Arial"/>
        </w:rPr>
      </w:pPr>
    </w:p>
    <w:p w:rsidR="0090339A" w:rsidRPr="004B6FC1" w:rsidRDefault="00B07E6A" w:rsidP="00265B39">
      <w:pPr>
        <w:ind w:left="567" w:hanging="567"/>
        <w:jc w:val="both"/>
        <w:rPr>
          <w:rFonts w:ascii="Book Antiqua" w:hAnsi="Book Antiqua" w:cs="Arial"/>
        </w:rPr>
      </w:pPr>
      <w:r>
        <w:rPr>
          <w:rFonts w:ascii="Book Antiqua" w:hAnsi="Book Antiqua" w:cs="Arial"/>
        </w:rPr>
        <w:t>4</w:t>
      </w:r>
      <w:r w:rsidR="0090339A" w:rsidRPr="004B6FC1">
        <w:rPr>
          <w:rFonts w:ascii="Book Antiqua" w:hAnsi="Book Antiqua" w:cs="Arial"/>
        </w:rPr>
        <w:t>.</w:t>
      </w:r>
      <w:r w:rsidR="0090339A" w:rsidRPr="004B6FC1">
        <w:rPr>
          <w:rFonts w:ascii="Book Antiqua" w:hAnsi="Book Antiqua" w:cs="Arial"/>
        </w:rPr>
        <w:tab/>
        <w:t xml:space="preserve">Permission to appeal was granted by First-tier Tribunal Judge </w:t>
      </w:r>
      <w:proofErr w:type="spellStart"/>
      <w:r w:rsidR="0090339A" w:rsidRPr="004B6FC1">
        <w:rPr>
          <w:rFonts w:ascii="Book Antiqua" w:hAnsi="Book Antiqua" w:cs="Arial"/>
        </w:rPr>
        <w:t>Brunnen</w:t>
      </w:r>
      <w:proofErr w:type="spellEnd"/>
      <w:r w:rsidR="0090339A" w:rsidRPr="004B6FC1">
        <w:rPr>
          <w:rFonts w:ascii="Book Antiqua" w:hAnsi="Book Antiqua" w:cs="Arial"/>
        </w:rPr>
        <w:t xml:space="preserve"> on</w:t>
      </w:r>
      <w:r w:rsidR="00725751">
        <w:rPr>
          <w:rFonts w:ascii="Book Antiqua" w:hAnsi="Book Antiqua" w:cs="Arial"/>
        </w:rPr>
        <w:t xml:space="preserve"> 18 April 2018 on</w:t>
      </w:r>
      <w:r w:rsidR="0090339A" w:rsidRPr="004B6FC1">
        <w:rPr>
          <w:rFonts w:ascii="Book Antiqua" w:hAnsi="Book Antiqua" w:cs="Arial"/>
        </w:rPr>
        <w:t xml:space="preserve"> the grounds that</w:t>
      </w:r>
      <w:r>
        <w:rPr>
          <w:rFonts w:ascii="Book Antiqua" w:hAnsi="Book Antiqua" w:cs="Arial"/>
        </w:rPr>
        <w:t xml:space="preserve"> it was arguable</w:t>
      </w:r>
      <w:r w:rsidR="0090339A" w:rsidRPr="004B6FC1">
        <w:rPr>
          <w:rFonts w:ascii="Book Antiqua" w:hAnsi="Book Antiqua" w:cs="Arial"/>
        </w:rPr>
        <w:t xml:space="preserve"> </w:t>
      </w:r>
      <w:r>
        <w:rPr>
          <w:rFonts w:ascii="Book Antiqua" w:hAnsi="Book Antiqua" w:cs="Arial"/>
        </w:rPr>
        <w:t>“the J</w:t>
      </w:r>
      <w:r w:rsidR="0090339A" w:rsidRPr="004B6FC1">
        <w:rPr>
          <w:rFonts w:ascii="Book Antiqua" w:hAnsi="Book Antiqua" w:cs="Arial"/>
        </w:rPr>
        <w:t xml:space="preserve">udge failed to give reasons for finding that requiring the </w:t>
      </w:r>
      <w:r w:rsidR="0063673C" w:rsidRPr="004B6FC1">
        <w:rPr>
          <w:rFonts w:ascii="Book Antiqua" w:hAnsi="Book Antiqua" w:cs="Arial"/>
        </w:rPr>
        <w:t>Appellant</w:t>
      </w:r>
      <w:r w:rsidR="0090339A" w:rsidRPr="004B6FC1">
        <w:rPr>
          <w:rFonts w:ascii="Book Antiqua" w:hAnsi="Book Antiqua" w:cs="Arial"/>
        </w:rPr>
        <w:t>s to leave the UK would involve disproportionate interference.</w:t>
      </w:r>
      <w:r>
        <w:rPr>
          <w:rFonts w:ascii="Book Antiqua" w:hAnsi="Book Antiqua" w:cs="Arial"/>
        </w:rPr>
        <w:t xml:space="preserve"> </w:t>
      </w:r>
      <w:r w:rsidR="0090339A" w:rsidRPr="004B6FC1">
        <w:rPr>
          <w:rFonts w:ascii="Book Antiqua" w:hAnsi="Book Antiqua" w:cs="Arial"/>
        </w:rPr>
        <w:t xml:space="preserve">It was arguable that the judge failed to consider the test propounded in </w:t>
      </w:r>
      <w:r w:rsidR="0090339A" w:rsidRPr="004B6FC1">
        <w:rPr>
          <w:rFonts w:ascii="Book Antiqua" w:hAnsi="Book Antiqua" w:cs="Arial"/>
          <w:u w:val="single"/>
        </w:rPr>
        <w:t>Agyarko</w:t>
      </w:r>
      <w:r w:rsidR="0090339A" w:rsidRPr="004B6FC1">
        <w:rPr>
          <w:rFonts w:ascii="Book Antiqua" w:hAnsi="Book Antiqua" w:cs="Arial"/>
        </w:rPr>
        <w:t>, namely whether there were exceptional circumstances such that the refusal of leave to remain would have justifiably harsh consequences.</w:t>
      </w:r>
      <w:r>
        <w:rPr>
          <w:rFonts w:ascii="Book Antiqua" w:hAnsi="Book Antiqua" w:cs="Arial"/>
        </w:rPr>
        <w:t xml:space="preserve">” </w:t>
      </w:r>
      <w:r w:rsidR="0090339A" w:rsidRPr="004B6FC1">
        <w:rPr>
          <w:rFonts w:ascii="Book Antiqua" w:hAnsi="Book Antiqua" w:cs="Arial"/>
        </w:rPr>
        <w:t xml:space="preserve">Permission was refused on the ground that the judge erred in law in failing to view the human rights appeal through the prism of the Immigration Rules and the failure to make a finding that the </w:t>
      </w:r>
      <w:r w:rsidR="0063673C" w:rsidRPr="004B6FC1">
        <w:rPr>
          <w:rFonts w:ascii="Book Antiqua" w:hAnsi="Book Antiqua" w:cs="Arial"/>
        </w:rPr>
        <w:t>Appellant</w:t>
      </w:r>
      <w:r w:rsidR="0090339A" w:rsidRPr="004B6FC1">
        <w:rPr>
          <w:rFonts w:ascii="Book Antiqua" w:hAnsi="Book Antiqua" w:cs="Arial"/>
        </w:rPr>
        <w:t>s could not satisfy the Immigration Rules.</w:t>
      </w:r>
    </w:p>
    <w:p w:rsidR="0090339A" w:rsidRPr="004B6FC1" w:rsidRDefault="0090339A" w:rsidP="00265B39">
      <w:pPr>
        <w:ind w:left="567" w:hanging="567"/>
        <w:jc w:val="both"/>
        <w:rPr>
          <w:rFonts w:ascii="Book Antiqua" w:hAnsi="Book Antiqua" w:cs="Arial"/>
        </w:rPr>
      </w:pPr>
    </w:p>
    <w:p w:rsidR="000E4C81" w:rsidRDefault="000E4C81" w:rsidP="00265B39">
      <w:pPr>
        <w:ind w:left="567" w:hanging="567"/>
        <w:jc w:val="both"/>
        <w:rPr>
          <w:rFonts w:ascii="Book Antiqua" w:hAnsi="Book Antiqua" w:cs="Arial"/>
        </w:rPr>
      </w:pPr>
    </w:p>
    <w:p w:rsidR="000E4C81" w:rsidRPr="000E4C81" w:rsidRDefault="000E4C81" w:rsidP="00265B39">
      <w:pPr>
        <w:ind w:left="567" w:hanging="567"/>
        <w:jc w:val="both"/>
        <w:rPr>
          <w:rFonts w:ascii="Book Antiqua" w:hAnsi="Book Antiqua" w:cs="Arial"/>
          <w:b/>
          <w:u w:val="single"/>
        </w:rPr>
      </w:pPr>
      <w:r>
        <w:rPr>
          <w:rFonts w:ascii="Book Antiqua" w:hAnsi="Book Antiqua" w:cs="Arial"/>
          <w:b/>
          <w:u w:val="single"/>
        </w:rPr>
        <w:t>Relevant law</w:t>
      </w:r>
    </w:p>
    <w:p w:rsidR="000E4C81" w:rsidRDefault="000E4C81" w:rsidP="00265B39">
      <w:pPr>
        <w:ind w:left="567" w:hanging="567"/>
        <w:jc w:val="both"/>
        <w:rPr>
          <w:rFonts w:ascii="Book Antiqua" w:hAnsi="Book Antiqua" w:cs="Arial"/>
        </w:rPr>
      </w:pPr>
    </w:p>
    <w:p w:rsidR="0090339A" w:rsidRPr="004B6FC1" w:rsidRDefault="00B07E6A" w:rsidP="00265B39">
      <w:pPr>
        <w:ind w:left="567" w:hanging="567"/>
        <w:jc w:val="both"/>
        <w:rPr>
          <w:rFonts w:ascii="Book Antiqua" w:hAnsi="Book Antiqua" w:cs="Arial"/>
        </w:rPr>
      </w:pPr>
      <w:r>
        <w:rPr>
          <w:rFonts w:ascii="Book Antiqua" w:hAnsi="Book Antiqua" w:cs="Arial"/>
        </w:rPr>
        <w:t>5</w:t>
      </w:r>
      <w:r w:rsidR="0090339A" w:rsidRPr="004B6FC1">
        <w:rPr>
          <w:rFonts w:ascii="Book Antiqua" w:hAnsi="Book Antiqua" w:cs="Arial"/>
        </w:rPr>
        <w:t>.</w:t>
      </w:r>
      <w:r w:rsidR="0090339A" w:rsidRPr="004B6FC1">
        <w:rPr>
          <w:rFonts w:ascii="Book Antiqua" w:hAnsi="Book Antiqua" w:cs="Arial"/>
        </w:rPr>
        <w:tab/>
      </w:r>
      <w:r w:rsidR="00725751">
        <w:rPr>
          <w:rFonts w:ascii="Book Antiqua" w:hAnsi="Book Antiqua" w:cs="Arial"/>
        </w:rPr>
        <w:t xml:space="preserve">The relevant paragraphs of </w:t>
      </w:r>
      <w:r w:rsidR="0090339A" w:rsidRPr="004B6FC1">
        <w:rPr>
          <w:rFonts w:ascii="Book Antiqua" w:hAnsi="Book Antiqua" w:cs="Arial"/>
          <w:u w:val="single"/>
        </w:rPr>
        <w:t>Agyarko</w:t>
      </w:r>
      <w:r>
        <w:rPr>
          <w:rFonts w:ascii="Book Antiqua" w:hAnsi="Book Antiqua" w:cs="Arial"/>
        </w:rPr>
        <w:t xml:space="preserve"> [2017] UKSC 11</w:t>
      </w:r>
      <w:r w:rsidR="00725751">
        <w:rPr>
          <w:rFonts w:ascii="Book Antiqua" w:hAnsi="Book Antiqua" w:cs="Arial"/>
        </w:rPr>
        <w:t xml:space="preserve"> are set out below</w:t>
      </w:r>
      <w:r w:rsidR="0090339A" w:rsidRPr="004B6FC1">
        <w:rPr>
          <w:rFonts w:ascii="Book Antiqua" w:hAnsi="Book Antiqua" w:cs="Arial"/>
        </w:rPr>
        <w:t>:</w:t>
      </w:r>
    </w:p>
    <w:p w:rsidR="0090339A" w:rsidRPr="004B6FC1" w:rsidRDefault="0090339A" w:rsidP="00265B39">
      <w:pPr>
        <w:ind w:left="567" w:hanging="567"/>
        <w:jc w:val="both"/>
        <w:rPr>
          <w:rFonts w:ascii="Book Antiqua" w:hAnsi="Book Antiqua" w:cs="Arial"/>
        </w:rPr>
      </w:pPr>
    </w:p>
    <w:p w:rsidR="0090339A" w:rsidRPr="004B6FC1" w:rsidRDefault="0090339A" w:rsidP="0077715E">
      <w:pPr>
        <w:ind w:left="1701" w:hanging="567"/>
        <w:jc w:val="both"/>
        <w:rPr>
          <w:rFonts w:ascii="Book Antiqua" w:hAnsi="Book Antiqua"/>
        </w:rPr>
      </w:pPr>
      <w:r w:rsidRPr="004B6FC1">
        <w:rPr>
          <w:rFonts w:ascii="Book Antiqua" w:hAnsi="Book Antiqua" w:cs="Arial"/>
        </w:rPr>
        <w:t>“</w:t>
      </w:r>
      <w:r w:rsidR="0077715E" w:rsidRPr="004B6FC1">
        <w:rPr>
          <w:rFonts w:ascii="Book Antiqua" w:hAnsi="Book Antiqua" w:cs="Arial"/>
        </w:rPr>
        <w:t>54.</w:t>
      </w:r>
      <w:r w:rsidR="0077715E" w:rsidRPr="004B6FC1">
        <w:rPr>
          <w:rFonts w:ascii="Book Antiqua" w:hAnsi="Book Antiqua" w:cs="Arial"/>
        </w:rPr>
        <w:tab/>
      </w:r>
      <w:r w:rsidRPr="004B6FC1">
        <w:rPr>
          <w:rFonts w:ascii="Book Antiqua" w:hAnsi="Book Antiqua" w:cs="Arial"/>
        </w:rPr>
        <w:t>As</w:t>
      </w:r>
      <w:bookmarkStart w:id="0" w:name="para54"/>
      <w:r w:rsidRPr="004B6FC1">
        <w:rPr>
          <w:rFonts w:ascii="Book Antiqua" w:hAnsi="Book Antiqua" w:cs="Arial"/>
        </w:rPr>
        <w:t xml:space="preserve"> </w:t>
      </w:r>
      <w:r w:rsidRPr="004B6FC1">
        <w:rPr>
          <w:rFonts w:ascii="Book Antiqua" w:hAnsi="Book Antiqua"/>
        </w:rPr>
        <w:t>explained in para 49 above, the European court has said that, in cases concerned with precarious family life, it is ‘likely’ only to be in exceptional circumstances that the removal of the non-national family member will constitute a violation of article 8. That reflects the weight attached to the contracting states' right to control their borders, as an attribute of their sovereignty, and the limited weight which is generally attached to family life established in the full knowledge that its continuation in the contracting state is unlawful or precarious. The court ha</w:t>
      </w:r>
      <w:r w:rsidR="001D78DF" w:rsidRPr="004B6FC1">
        <w:rPr>
          <w:rFonts w:ascii="Book Antiqua" w:hAnsi="Book Antiqua"/>
        </w:rPr>
        <w:t>s repeatedly acknowledged that ‘</w:t>
      </w:r>
      <w:r w:rsidRPr="004B6FC1">
        <w:rPr>
          <w:rFonts w:ascii="Book Antiqua" w:hAnsi="Book Antiqua"/>
        </w:rPr>
        <w:t>a state is entitled, as a matter of well-established international law, and subject to its treaty obligations, to control the entry of non-nationals into its terr</w:t>
      </w:r>
      <w:r w:rsidR="001D78DF" w:rsidRPr="004B6FC1">
        <w:rPr>
          <w:rFonts w:ascii="Book Antiqua" w:hAnsi="Book Antiqua"/>
        </w:rPr>
        <w:t>itory and their residence there’</w:t>
      </w:r>
      <w:r w:rsidRPr="004B6FC1">
        <w:rPr>
          <w:rFonts w:ascii="Book Antiqua" w:hAnsi="Book Antiqua"/>
        </w:rPr>
        <w:t xml:space="preserve"> (</w:t>
      </w:r>
      <w:r w:rsidRPr="004B6FC1">
        <w:rPr>
          <w:rFonts w:ascii="Book Antiqua" w:hAnsi="Book Antiqua"/>
          <w:i/>
          <w:iCs/>
        </w:rPr>
        <w:t>Jeunesse</w:t>
      </w:r>
      <w:r w:rsidRPr="004B6FC1">
        <w:rPr>
          <w:rFonts w:ascii="Book Antiqua" w:hAnsi="Book Antiqua"/>
        </w:rPr>
        <w:t>, para 100). As the court has made clear, the Convention is not intended to undermine that right by enabling non-nationals to evade immigration control by establishing a family life while present in the host state unlawfully or temporarily, and then presenting it with a f</w:t>
      </w:r>
      <w:r w:rsidR="001D78DF" w:rsidRPr="004B6FC1">
        <w:rPr>
          <w:rFonts w:ascii="Book Antiqua" w:hAnsi="Book Antiqua"/>
        </w:rPr>
        <w:t>ait accompli. On the contrary, ‘</w:t>
      </w:r>
      <w:r w:rsidRPr="004B6FC1">
        <w:rPr>
          <w:rFonts w:ascii="Book Antiqua" w:hAnsi="Book Antiqua"/>
        </w:rPr>
        <w:t>where confronted with a fait accompli the removal of the non-national family member by the authorities would be incompatible with article 8 on</w:t>
      </w:r>
      <w:r w:rsidR="001D78DF" w:rsidRPr="004B6FC1">
        <w:rPr>
          <w:rFonts w:ascii="Book Antiqua" w:hAnsi="Book Antiqua"/>
        </w:rPr>
        <w:t>ly in exceptional circumstances’.</w:t>
      </w:r>
      <w:r w:rsidR="00B07E6A">
        <w:rPr>
          <w:rFonts w:ascii="Book Antiqua" w:hAnsi="Book Antiqua"/>
        </w:rPr>
        <w:t>”</w:t>
      </w:r>
    </w:p>
    <w:p w:rsidR="0077715E" w:rsidRPr="004B6FC1" w:rsidRDefault="0077715E" w:rsidP="0077715E">
      <w:pPr>
        <w:ind w:left="1701" w:hanging="567"/>
        <w:jc w:val="both"/>
        <w:rPr>
          <w:rFonts w:ascii="Book Antiqua" w:hAnsi="Book Antiqua"/>
        </w:rPr>
      </w:pPr>
    </w:p>
    <w:p w:rsidR="0077715E" w:rsidRPr="004B6FC1" w:rsidRDefault="00B07E6A" w:rsidP="0077715E">
      <w:pPr>
        <w:ind w:left="1701" w:hanging="567"/>
        <w:jc w:val="both"/>
        <w:rPr>
          <w:rFonts w:ascii="Book Antiqua" w:hAnsi="Book Antiqua"/>
        </w:rPr>
      </w:pPr>
      <w:r>
        <w:rPr>
          <w:rFonts w:ascii="Book Antiqua" w:hAnsi="Book Antiqua"/>
        </w:rPr>
        <w:t>“</w:t>
      </w:r>
      <w:r w:rsidR="0077715E" w:rsidRPr="004B6FC1">
        <w:rPr>
          <w:rFonts w:ascii="Book Antiqua" w:hAnsi="Book Antiqua"/>
        </w:rPr>
        <w:t>56.</w:t>
      </w:r>
      <w:r w:rsidR="0077715E" w:rsidRPr="004B6FC1">
        <w:rPr>
          <w:rFonts w:ascii="Book Antiqua" w:hAnsi="Book Antiqua"/>
        </w:rPr>
        <w:tab/>
        <w:t xml:space="preserve">The </w:t>
      </w:r>
      <w:bookmarkStart w:id="1" w:name="para56"/>
      <w:r w:rsidR="0077715E" w:rsidRPr="004B6FC1">
        <w:rPr>
          <w:rFonts w:ascii="Book Antiqua" w:hAnsi="Book Antiqua"/>
        </w:rPr>
        <w:t xml:space="preserve">European court's use of the phrase ‘exceptional circumstances’ in this context was considered by the Court of Appeal in </w:t>
      </w:r>
      <w:r w:rsidR="0077715E" w:rsidRPr="004B6FC1">
        <w:rPr>
          <w:rFonts w:ascii="Book Antiqua" w:hAnsi="Book Antiqua"/>
          <w:i/>
          <w:iCs/>
        </w:rPr>
        <w:t xml:space="preserve">MF (Nigeria) v Secretary of State for the Home Department </w:t>
      </w:r>
      <w:bookmarkEnd w:id="1"/>
      <w:r w:rsidR="0077715E" w:rsidRPr="004B6FC1">
        <w:rPr>
          <w:rFonts w:ascii="Book Antiqua" w:hAnsi="Book Antiqua"/>
        </w:rPr>
        <w:fldChar w:fldCharType="begin"/>
      </w:r>
      <w:r w:rsidR="0077715E" w:rsidRPr="004B6FC1">
        <w:rPr>
          <w:rFonts w:ascii="Book Antiqua" w:hAnsi="Book Antiqua"/>
        </w:rPr>
        <w:instrText xml:space="preserve"> HYPERLINK "http://www.bailii.org/ew/cases/EWCA/Civ/2013/1192.html" \o "Link to BAILII version" </w:instrText>
      </w:r>
      <w:r w:rsidR="0077715E" w:rsidRPr="004B6FC1">
        <w:rPr>
          <w:rFonts w:ascii="Book Antiqua" w:hAnsi="Book Antiqua"/>
        </w:rPr>
        <w:fldChar w:fldCharType="separate"/>
      </w:r>
      <w:r w:rsidR="0077715E" w:rsidRPr="004B6FC1">
        <w:rPr>
          <w:rFonts w:ascii="Book Antiqua" w:hAnsi="Book Antiqua"/>
        </w:rPr>
        <w:t xml:space="preserve">[2013] EWCA </w:t>
      </w:r>
      <w:proofErr w:type="spellStart"/>
      <w:r w:rsidR="0077715E" w:rsidRPr="004B6FC1">
        <w:rPr>
          <w:rFonts w:ascii="Book Antiqua" w:hAnsi="Book Antiqua"/>
        </w:rPr>
        <w:t>Civ</w:t>
      </w:r>
      <w:proofErr w:type="spellEnd"/>
      <w:r w:rsidR="0077715E" w:rsidRPr="004B6FC1">
        <w:rPr>
          <w:rFonts w:ascii="Book Antiqua" w:hAnsi="Book Antiqua"/>
        </w:rPr>
        <w:t xml:space="preserve"> 1192</w:t>
      </w:r>
      <w:r w:rsidR="0077715E" w:rsidRPr="004B6FC1">
        <w:rPr>
          <w:rFonts w:ascii="Book Antiqua" w:hAnsi="Book Antiqua"/>
        </w:rPr>
        <w:fldChar w:fldCharType="end"/>
      </w:r>
      <w:r w:rsidR="0077715E" w:rsidRPr="004B6FC1">
        <w:rPr>
          <w:rFonts w:ascii="Book Antiqua" w:hAnsi="Book Antiqua"/>
        </w:rPr>
        <w:t>; Lord Dyson MR, giving the judgment of the court, said:</w:t>
      </w:r>
    </w:p>
    <w:p w:rsidR="0077715E" w:rsidRPr="004B6FC1" w:rsidRDefault="0077715E" w:rsidP="00E30EA5">
      <w:pPr>
        <w:spacing w:before="100" w:beforeAutospacing="1" w:after="100" w:afterAutospacing="1"/>
        <w:ind w:left="2268"/>
        <w:jc w:val="both"/>
        <w:rPr>
          <w:rFonts w:ascii="Book Antiqua" w:hAnsi="Book Antiqua"/>
        </w:rPr>
      </w:pPr>
      <w:r w:rsidRPr="004B6FC1">
        <w:rPr>
          <w:rFonts w:ascii="Book Antiqua" w:hAnsi="Book Antiqua"/>
        </w:rPr>
        <w:t xml:space="preserve">‘In our view, that is not to say that a test of exceptionality is being applied. Rather it is that, in approaching the question of whether removal is a proportionate interference with an individual's article 8 rights, the scales are heavily weighted in favour of deportation and something very compelling (which will be 'exceptional') is required to outweigh the public interest in removal.’ </w:t>
      </w:r>
    </w:p>
    <w:p w:rsidR="0077715E" w:rsidRPr="004B6FC1" w:rsidRDefault="0077715E" w:rsidP="0077715E">
      <w:pPr>
        <w:spacing w:before="100" w:beforeAutospacing="1" w:after="100" w:afterAutospacing="1"/>
        <w:ind w:left="1701"/>
        <w:jc w:val="both"/>
        <w:rPr>
          <w:rFonts w:ascii="Book Antiqua" w:hAnsi="Book Antiqua"/>
        </w:rPr>
      </w:pPr>
      <w:r w:rsidRPr="004B6FC1">
        <w:rPr>
          <w:rFonts w:ascii="Book Antiqua" w:hAnsi="Book Antiqua"/>
        </w:rPr>
        <w:t xml:space="preserve">Cases are not, therefore, to be approached by searching for a unique or unusual feature, and in its absence rejecting the application without further examination. Rather, as the Master of the Rolls made clear, the test is one of proportionality. The reference to exceptional circumstances in the European case law means that, in cases involving precarious family life, ‘something very compelling is required to outweigh the public interest’, applying a proportionality test. The Court of Appeal went on to apply that approach to the interpretation of the Rules concerning the deportation of foreign criminals, where the same phrase appears; and their approach was approved by this court, in that context, in </w:t>
      </w:r>
      <w:r w:rsidRPr="004B6FC1">
        <w:rPr>
          <w:rFonts w:ascii="Book Antiqua" w:hAnsi="Book Antiqua"/>
          <w:i/>
          <w:iCs/>
        </w:rPr>
        <w:t>Hesham Ali</w:t>
      </w:r>
      <w:r w:rsidRPr="004B6FC1">
        <w:rPr>
          <w:rFonts w:ascii="Book Antiqua" w:hAnsi="Book Antiqua"/>
        </w:rPr>
        <w:t>.</w:t>
      </w:r>
      <w:r w:rsidR="00B07E6A">
        <w:rPr>
          <w:rFonts w:ascii="Book Antiqua" w:hAnsi="Book Antiqua"/>
        </w:rPr>
        <w:t>”</w:t>
      </w:r>
    </w:p>
    <w:p w:rsidR="0077715E" w:rsidRPr="004B6FC1" w:rsidRDefault="00B07E6A" w:rsidP="0077715E">
      <w:pPr>
        <w:spacing w:before="100" w:beforeAutospacing="1" w:after="100" w:afterAutospacing="1"/>
        <w:ind w:left="1701" w:hanging="567"/>
        <w:jc w:val="both"/>
        <w:rPr>
          <w:rFonts w:ascii="Book Antiqua" w:hAnsi="Book Antiqua"/>
        </w:rPr>
      </w:pPr>
      <w:r>
        <w:rPr>
          <w:rFonts w:ascii="Book Antiqua" w:hAnsi="Book Antiqua"/>
        </w:rPr>
        <w:t>“</w:t>
      </w:r>
      <w:r w:rsidR="0077715E" w:rsidRPr="004B6FC1">
        <w:rPr>
          <w:rFonts w:ascii="Book Antiqua" w:hAnsi="Book Antiqua"/>
        </w:rPr>
        <w:t>57.</w:t>
      </w:r>
      <w:r w:rsidR="0077715E" w:rsidRPr="004B6FC1">
        <w:rPr>
          <w:rFonts w:ascii="Book Antiqua" w:hAnsi="Book Antiqua"/>
        </w:rPr>
        <w:tab/>
      </w:r>
      <w:bookmarkStart w:id="2" w:name="para57"/>
      <w:r w:rsidR="0077715E" w:rsidRPr="004B6FC1">
        <w:rPr>
          <w:rFonts w:ascii="Book Antiqua" w:hAnsi="Book Antiqua"/>
        </w:rPr>
        <w:t>That approach is also appropriate when a court or tribunal is considering whether a refusal of leave to remain is compatible with article 8 in the context of precarious family life. Ultimately, it has to decide whether the refusal is proportionate in the particular case before it, balancing the strength of the public interest in the removal of the person in question against the impact on private and family life. In doing so, it should give appropriate weight to the Secretary of State's policy, expressed in the Rules and the Instructions, that the public interest in immigration control can be outweighed, when considering an application for leave to remain brought by a person in the UK in breach of immigration laws, only where there are ‘insurmountable obstacles’ or ‘exceptional circumstances’ as defined. It must also consider all factors relevant to the specific case in question, including, where relevant, the matters discussed in paras 51-52 above.</w:t>
      </w:r>
      <w:bookmarkEnd w:id="2"/>
      <w:r w:rsidR="000E4C81">
        <w:rPr>
          <w:rFonts w:ascii="Book Antiqua" w:hAnsi="Book Antiqua"/>
        </w:rPr>
        <w:t xml:space="preserve"> </w:t>
      </w:r>
      <w:r w:rsidR="000E4C81" w:rsidRPr="004B6FC1">
        <w:rPr>
          <w:rFonts w:ascii="Book Antiqua" w:hAnsi="Book Antiqua"/>
        </w:rPr>
        <w:t>The critical issue will generally be whether giving due weight to the strength of the public interest in removal of the person in the case before it the Article 8 claim was sufficiently strong to outweigh it.  In general, in cases concerned with precarious family life, a very strong compelling claim is required to outweigh the public interest in immigration control.</w:t>
      </w:r>
      <w:r w:rsidR="0077715E" w:rsidRPr="004B6FC1">
        <w:rPr>
          <w:rFonts w:ascii="Book Antiqua" w:hAnsi="Book Antiqua"/>
        </w:rPr>
        <w:t>”</w:t>
      </w:r>
    </w:p>
    <w:p w:rsidR="0077715E" w:rsidRPr="004B6FC1" w:rsidRDefault="0077715E" w:rsidP="000E4C81">
      <w:pPr>
        <w:spacing w:before="100" w:beforeAutospacing="1" w:after="100" w:afterAutospacing="1"/>
        <w:ind w:left="567" w:hanging="567"/>
        <w:jc w:val="both"/>
        <w:rPr>
          <w:rFonts w:ascii="Book Antiqua" w:hAnsi="Book Antiqua"/>
        </w:rPr>
      </w:pPr>
      <w:r w:rsidRPr="004B6FC1">
        <w:rPr>
          <w:rFonts w:ascii="Book Antiqua" w:hAnsi="Book Antiqua"/>
        </w:rPr>
        <w:tab/>
      </w:r>
      <w:r w:rsidR="000E4C81">
        <w:rPr>
          <w:rFonts w:ascii="Book Antiqua" w:hAnsi="Book Antiqua"/>
        </w:rPr>
        <w:t>(</w:t>
      </w:r>
      <w:r w:rsidRPr="004B6FC1">
        <w:rPr>
          <w:rFonts w:ascii="Book Antiqua" w:hAnsi="Book Antiqua"/>
        </w:rPr>
        <w:t xml:space="preserve">Paragraph 51 refers to when the applicant is in the UK unlawfully or temporarily and paragraph 52 states that </w:t>
      </w:r>
      <w:bookmarkStart w:id="3" w:name="para52"/>
      <w:r w:rsidRPr="004B6FC1">
        <w:rPr>
          <w:rFonts w:ascii="Book Antiqua" w:hAnsi="Book Antiqua"/>
        </w:rPr>
        <w:t>“the weight to be given to precarious family life is liable to increase if there is a protracted delay in the enforcement of immigration control”.</w:t>
      </w:r>
      <w:r w:rsidR="000E4C81">
        <w:rPr>
          <w:rFonts w:ascii="Book Antiqua" w:hAnsi="Book Antiqua"/>
        </w:rPr>
        <w:t>)</w:t>
      </w:r>
      <w:r w:rsidRPr="004B6FC1">
        <w:rPr>
          <w:rFonts w:ascii="Book Antiqua" w:hAnsi="Book Antiqua"/>
        </w:rPr>
        <w:t xml:space="preserve">  </w:t>
      </w:r>
      <w:bookmarkEnd w:id="3"/>
    </w:p>
    <w:p w:rsidR="000E4C81" w:rsidRDefault="00112EC1" w:rsidP="004727C8">
      <w:pPr>
        <w:pStyle w:val="paralevel1"/>
        <w:ind w:left="1701" w:hanging="507"/>
        <w:jc w:val="both"/>
        <w:rPr>
          <w:rFonts w:ascii="Book Antiqua" w:hAnsi="Book Antiqua"/>
        </w:rPr>
      </w:pPr>
      <w:bookmarkStart w:id="4" w:name="para60"/>
      <w:r w:rsidRPr="004B6FC1">
        <w:rPr>
          <w:rFonts w:ascii="Book Antiqua" w:hAnsi="Book Antiqua"/>
        </w:rPr>
        <w:lastRenderedPageBreak/>
        <w:t>“</w:t>
      </w:r>
      <w:r w:rsidR="000E4C81">
        <w:rPr>
          <w:rFonts w:ascii="Book Antiqua" w:hAnsi="Book Antiqua"/>
        </w:rPr>
        <w:t>60.</w:t>
      </w:r>
      <w:r w:rsidR="000E4C81">
        <w:rPr>
          <w:rFonts w:ascii="Book Antiqua" w:hAnsi="Book Antiqua"/>
        </w:rPr>
        <w:tab/>
      </w:r>
      <w:r w:rsidR="0077715E" w:rsidRPr="004B6FC1">
        <w:rPr>
          <w:rFonts w:ascii="Book Antiqua" w:hAnsi="Book Antiqua"/>
        </w:rPr>
        <w:t>It remains the position that the ultimate question is how a fair balance should be struck between the competing public and individual interests involved, applying a proportionality test. The Rules and Instructions in issue in the present case do not depart from that position. The Secretary of State has not imposed a test of exceptionality, in the sense which Lord Bingham had in mind: that is to say, a requirement that the case should exhibit some highly unusual feature, over and above the application of the test of proportionality. On the cont</w:t>
      </w:r>
      <w:r w:rsidRPr="004B6FC1">
        <w:rPr>
          <w:rFonts w:ascii="Book Antiqua" w:hAnsi="Book Antiqua"/>
        </w:rPr>
        <w:t>rary, she has defined the word ‘</w:t>
      </w:r>
      <w:r w:rsidR="0077715E" w:rsidRPr="004B6FC1">
        <w:rPr>
          <w:rFonts w:ascii="Book Antiqua" w:hAnsi="Book Antiqua"/>
        </w:rPr>
        <w:t>exceptional</w:t>
      </w:r>
      <w:r w:rsidRPr="004B6FC1">
        <w:rPr>
          <w:rFonts w:ascii="Book Antiqua" w:hAnsi="Book Antiqua"/>
        </w:rPr>
        <w:t>’</w:t>
      </w:r>
      <w:r w:rsidR="0077715E" w:rsidRPr="004B6FC1">
        <w:rPr>
          <w:rFonts w:ascii="Book Antiqua" w:hAnsi="Book Antiqua"/>
        </w:rPr>
        <w:t>, as</w:t>
      </w:r>
      <w:r w:rsidRPr="004B6FC1">
        <w:rPr>
          <w:rFonts w:ascii="Book Antiqua" w:hAnsi="Book Antiqua"/>
        </w:rPr>
        <w:t xml:space="preserve"> already explained, as meaning ‘</w:t>
      </w:r>
      <w:r w:rsidR="0077715E" w:rsidRPr="004B6FC1">
        <w:rPr>
          <w:rFonts w:ascii="Book Antiqua" w:hAnsi="Book Antiqua"/>
        </w:rPr>
        <w:t>circumstances in which refusal would result in unjustifiably harsh consequences for the individual such that the refusal of the application would not b</w:t>
      </w:r>
      <w:r w:rsidRPr="004B6FC1">
        <w:rPr>
          <w:rFonts w:ascii="Book Antiqua" w:hAnsi="Book Antiqua"/>
        </w:rPr>
        <w:t>e proportionate’</w:t>
      </w:r>
      <w:r w:rsidR="0077715E" w:rsidRPr="004B6FC1">
        <w:rPr>
          <w:rFonts w:ascii="Book Antiqua" w:hAnsi="Book Antiqua"/>
        </w:rPr>
        <w:t xml:space="preserve">. </w:t>
      </w:r>
      <w:proofErr w:type="gramStart"/>
      <w:r w:rsidR="0077715E" w:rsidRPr="004B6FC1">
        <w:rPr>
          <w:rFonts w:ascii="Book Antiqua" w:hAnsi="Book Antiqua"/>
        </w:rPr>
        <w:t>So</w:t>
      </w:r>
      <w:proofErr w:type="gramEnd"/>
      <w:r w:rsidR="0077715E" w:rsidRPr="004B6FC1">
        <w:rPr>
          <w:rFonts w:ascii="Book Antiqua" w:hAnsi="Book Antiqua"/>
        </w:rPr>
        <w:t xml:space="preserve"> understood, the provision in the Instructions that leave can be granted outside the Rules where exceptional circumstances apply involves the application of the test of proportionality to the circumstances of the individual case, and cannot be regarded as incompatible with article 8. That conclusion is fortified by the express stat</w:t>
      </w:r>
      <w:r w:rsidRPr="004B6FC1">
        <w:rPr>
          <w:rFonts w:ascii="Book Antiqua" w:hAnsi="Book Antiqua"/>
        </w:rPr>
        <w:t>ement in the Instructions that ‘</w:t>
      </w:r>
      <w:r w:rsidR="0077715E" w:rsidRPr="004B6FC1">
        <w:rPr>
          <w:rFonts w:ascii="Book Antiqua" w:hAnsi="Book Antiqua"/>
        </w:rPr>
        <w:t>exceptiona</w:t>
      </w:r>
      <w:r w:rsidRPr="004B6FC1">
        <w:rPr>
          <w:rFonts w:ascii="Book Antiqua" w:hAnsi="Book Antiqua"/>
        </w:rPr>
        <w:t>l’ does not mean ‘unusual’ or ‘unique’</w:t>
      </w:r>
      <w:r w:rsidR="0077715E" w:rsidRPr="004B6FC1">
        <w:rPr>
          <w:rFonts w:ascii="Book Antiqua" w:hAnsi="Book Antiqua"/>
        </w:rPr>
        <w:t>: see para 19 above.</w:t>
      </w:r>
      <w:r w:rsidRPr="004B6FC1">
        <w:rPr>
          <w:rFonts w:ascii="Book Antiqua" w:hAnsi="Book Antiqua"/>
        </w:rPr>
        <w:t>”</w:t>
      </w:r>
      <w:r w:rsidR="0063673C" w:rsidRPr="004B6FC1">
        <w:rPr>
          <w:rFonts w:ascii="Book Antiqua" w:hAnsi="Book Antiqua"/>
        </w:rPr>
        <w:t xml:space="preserve">  </w:t>
      </w:r>
    </w:p>
    <w:p w:rsidR="004727C8" w:rsidRDefault="004727C8" w:rsidP="004727C8">
      <w:pPr>
        <w:pStyle w:val="paralevel1"/>
        <w:ind w:left="1701" w:hanging="507"/>
        <w:jc w:val="both"/>
        <w:rPr>
          <w:rFonts w:ascii="Book Antiqua" w:hAnsi="Book Antiqua"/>
        </w:rPr>
      </w:pPr>
    </w:p>
    <w:p w:rsidR="000E4C81" w:rsidRPr="000E4C81" w:rsidRDefault="000E4C81" w:rsidP="000E4C81">
      <w:pPr>
        <w:pStyle w:val="paralevel1"/>
        <w:jc w:val="both"/>
        <w:rPr>
          <w:rFonts w:ascii="Book Antiqua" w:hAnsi="Book Antiqua"/>
          <w:b/>
          <w:u w:val="single"/>
        </w:rPr>
      </w:pPr>
      <w:r>
        <w:rPr>
          <w:rFonts w:ascii="Book Antiqua" w:hAnsi="Book Antiqua"/>
          <w:b/>
          <w:u w:val="single"/>
        </w:rPr>
        <w:t>Submissions</w:t>
      </w:r>
    </w:p>
    <w:p w:rsidR="0063673C" w:rsidRPr="004B6FC1" w:rsidRDefault="000E4C81" w:rsidP="00DD5DC6">
      <w:pPr>
        <w:pStyle w:val="paralevel1"/>
        <w:ind w:left="567" w:hanging="567"/>
        <w:jc w:val="both"/>
        <w:rPr>
          <w:rFonts w:ascii="Book Antiqua" w:hAnsi="Book Antiqua"/>
        </w:rPr>
      </w:pPr>
      <w:r>
        <w:rPr>
          <w:rFonts w:ascii="Book Antiqua" w:hAnsi="Book Antiqua" w:cs="Arial"/>
        </w:rPr>
        <w:t>6.</w:t>
      </w:r>
      <w:r>
        <w:rPr>
          <w:rFonts w:ascii="Book Antiqua" w:hAnsi="Book Antiqua" w:cs="Arial"/>
        </w:rPr>
        <w:tab/>
      </w:r>
      <w:r w:rsidRPr="004B6FC1">
        <w:rPr>
          <w:rFonts w:ascii="Book Antiqua" w:hAnsi="Book Antiqua" w:cs="Arial"/>
        </w:rPr>
        <w:t xml:space="preserve">Ms Ahmed </w:t>
      </w:r>
      <w:r>
        <w:rPr>
          <w:rFonts w:ascii="Book Antiqua" w:hAnsi="Book Antiqua" w:cs="Arial"/>
        </w:rPr>
        <w:t xml:space="preserve">referred to </w:t>
      </w:r>
      <w:r w:rsidRPr="004B6FC1">
        <w:rPr>
          <w:rFonts w:ascii="Book Antiqua" w:hAnsi="Book Antiqua" w:cs="Arial"/>
        </w:rPr>
        <w:t>the judge’s pro</w:t>
      </w:r>
      <w:r>
        <w:rPr>
          <w:rFonts w:ascii="Book Antiqua" w:hAnsi="Book Antiqua" w:cs="Arial"/>
        </w:rPr>
        <w:t xml:space="preserve">portionality assessment </w:t>
      </w:r>
      <w:r w:rsidRPr="004B6FC1">
        <w:rPr>
          <w:rFonts w:ascii="Book Antiqua" w:hAnsi="Book Antiqua" w:cs="Arial"/>
        </w:rPr>
        <w:t xml:space="preserve">at </w:t>
      </w:r>
      <w:r>
        <w:rPr>
          <w:rFonts w:ascii="Book Antiqua" w:hAnsi="Book Antiqua" w:cs="Arial"/>
        </w:rPr>
        <w:t>[</w:t>
      </w:r>
      <w:r w:rsidRPr="004B6FC1">
        <w:rPr>
          <w:rFonts w:ascii="Book Antiqua" w:hAnsi="Book Antiqua" w:cs="Arial"/>
        </w:rPr>
        <w:t>56</w:t>
      </w:r>
      <w:r>
        <w:rPr>
          <w:rFonts w:ascii="Book Antiqua" w:hAnsi="Book Antiqua" w:cs="Arial"/>
        </w:rPr>
        <w:t xml:space="preserve">] and submitted that </w:t>
      </w:r>
      <w:r w:rsidRPr="004B6FC1">
        <w:rPr>
          <w:rFonts w:ascii="Book Antiqua" w:hAnsi="Book Antiqua" w:cs="Arial"/>
        </w:rPr>
        <w:t>the jud</w:t>
      </w:r>
      <w:r>
        <w:rPr>
          <w:rFonts w:ascii="Book Antiqua" w:hAnsi="Book Antiqua" w:cs="Arial"/>
        </w:rPr>
        <w:t>ge had failed to properly apply</w:t>
      </w:r>
      <w:r w:rsidRPr="004B6FC1">
        <w:rPr>
          <w:rFonts w:ascii="Book Antiqua" w:hAnsi="Book Antiqua" w:cs="Arial"/>
        </w:rPr>
        <w:t xml:space="preserve"> </w:t>
      </w:r>
      <w:r w:rsidRPr="004B6FC1">
        <w:rPr>
          <w:rFonts w:ascii="Book Antiqua" w:hAnsi="Book Antiqua" w:cs="Arial"/>
          <w:u w:val="single"/>
        </w:rPr>
        <w:t>Agyarko</w:t>
      </w:r>
      <w:r w:rsidR="00DD5DC6">
        <w:rPr>
          <w:rFonts w:ascii="Book Antiqua" w:hAnsi="Book Antiqua" w:cs="Arial"/>
        </w:rPr>
        <w:t>. She</w:t>
      </w:r>
      <w:r w:rsidR="0063673C" w:rsidRPr="004B6FC1">
        <w:rPr>
          <w:rFonts w:ascii="Book Antiqua" w:hAnsi="Book Antiqua"/>
        </w:rPr>
        <w:t xml:space="preserve"> </w:t>
      </w:r>
      <w:r w:rsidR="00112EC1" w:rsidRPr="004B6FC1">
        <w:rPr>
          <w:rFonts w:ascii="Book Antiqua" w:hAnsi="Book Antiqua"/>
        </w:rPr>
        <w:t>submitted that the test to be applied was whether there was a strong or compelling claim such as to outweigh the p</w:t>
      </w:r>
      <w:r w:rsidR="00DD5DC6">
        <w:rPr>
          <w:rFonts w:ascii="Book Antiqua" w:hAnsi="Book Antiqua"/>
        </w:rPr>
        <w:t xml:space="preserve">ublic interest. </w:t>
      </w:r>
      <w:r w:rsidR="00112EC1" w:rsidRPr="004B6FC1">
        <w:rPr>
          <w:rFonts w:ascii="Book Antiqua" w:hAnsi="Book Antiqua"/>
        </w:rPr>
        <w:t>The jud</w:t>
      </w:r>
      <w:r w:rsidR="00DD5DC6">
        <w:rPr>
          <w:rFonts w:ascii="Book Antiqua" w:hAnsi="Book Antiqua"/>
        </w:rPr>
        <w:t xml:space="preserve">ge had failed to appreciate this was the test. </w:t>
      </w:r>
      <w:r w:rsidR="00112EC1" w:rsidRPr="004B6FC1">
        <w:rPr>
          <w:rFonts w:ascii="Book Antiqua" w:hAnsi="Book Antiqua"/>
        </w:rPr>
        <w:t xml:space="preserve">The </w:t>
      </w:r>
      <w:r w:rsidR="0063673C" w:rsidRPr="004B6FC1">
        <w:rPr>
          <w:rFonts w:ascii="Book Antiqua" w:hAnsi="Book Antiqua"/>
        </w:rPr>
        <w:t>Appellant</w:t>
      </w:r>
      <w:r w:rsidR="00112EC1" w:rsidRPr="004B6FC1">
        <w:rPr>
          <w:rFonts w:ascii="Book Antiqua" w:hAnsi="Book Antiqua"/>
        </w:rPr>
        <w:t>s had developed their private life when th</w:t>
      </w:r>
      <w:r w:rsidR="00DD5DC6">
        <w:rPr>
          <w:rFonts w:ascii="Book Antiqua" w:hAnsi="Book Antiqua"/>
        </w:rPr>
        <w:t>ey did not have settled status.</w:t>
      </w:r>
      <w:r w:rsidR="00112EC1" w:rsidRPr="004B6FC1">
        <w:rPr>
          <w:rFonts w:ascii="Book Antiqua" w:hAnsi="Book Antiqua"/>
        </w:rPr>
        <w:t xml:space="preserve"> The judge did not refer to excep</w:t>
      </w:r>
      <w:r w:rsidR="00DD5DC6">
        <w:rPr>
          <w:rFonts w:ascii="Book Antiqua" w:hAnsi="Book Antiqua"/>
        </w:rPr>
        <w:t xml:space="preserve">tional circumstances or </w:t>
      </w:r>
      <w:r w:rsidR="00112EC1" w:rsidRPr="004B6FC1">
        <w:rPr>
          <w:rFonts w:ascii="Book Antiqua" w:hAnsi="Book Antiqua"/>
        </w:rPr>
        <w:t>apply</w:t>
      </w:r>
      <w:r w:rsidR="00DD5DC6">
        <w:rPr>
          <w:rFonts w:ascii="Book Antiqua" w:hAnsi="Book Antiqua"/>
        </w:rPr>
        <w:t xml:space="preserve"> such a test.</w:t>
      </w:r>
      <w:r w:rsidR="00112EC1" w:rsidRPr="004B6FC1">
        <w:rPr>
          <w:rFonts w:ascii="Book Antiqua" w:hAnsi="Book Antiqua"/>
        </w:rPr>
        <w:t xml:space="preserve"> The decision was not clear as the judge had not set out the </w:t>
      </w:r>
      <w:r w:rsidR="00DD5DC6">
        <w:rPr>
          <w:rFonts w:ascii="Book Antiqua" w:hAnsi="Book Antiqua"/>
        </w:rPr>
        <w:t xml:space="preserve">relevant </w:t>
      </w:r>
      <w:r w:rsidR="00112EC1" w:rsidRPr="004B6FC1">
        <w:rPr>
          <w:rFonts w:ascii="Book Antiqua" w:hAnsi="Book Antiqua"/>
        </w:rPr>
        <w:t xml:space="preserve">test or the factors which </w:t>
      </w:r>
      <w:r w:rsidR="00DD5DC6">
        <w:rPr>
          <w:rFonts w:ascii="Book Antiqua" w:hAnsi="Book Antiqua"/>
        </w:rPr>
        <w:t xml:space="preserve">showed how it was satisfied. </w:t>
      </w:r>
      <w:r w:rsidR="00E30EA5" w:rsidRPr="004B6FC1">
        <w:rPr>
          <w:rFonts w:ascii="Book Antiqua" w:hAnsi="Book Antiqua"/>
        </w:rPr>
        <w:t>Ms</w:t>
      </w:r>
      <w:r w:rsidR="00112EC1" w:rsidRPr="004B6FC1">
        <w:rPr>
          <w:rFonts w:ascii="Book Antiqua" w:hAnsi="Book Antiqua"/>
        </w:rPr>
        <w:t xml:space="preserve"> Ahmed submitted that anything other t</w:t>
      </w:r>
      <w:r w:rsidR="00937A36" w:rsidRPr="004B6FC1">
        <w:rPr>
          <w:rFonts w:ascii="Book Antiqua" w:hAnsi="Book Antiqua"/>
        </w:rPr>
        <w:t>h</w:t>
      </w:r>
      <w:r w:rsidR="00112EC1" w:rsidRPr="004B6FC1">
        <w:rPr>
          <w:rFonts w:ascii="Book Antiqua" w:hAnsi="Book Antiqua"/>
        </w:rPr>
        <w:t xml:space="preserve">an settled status was precarious. </w:t>
      </w:r>
    </w:p>
    <w:p w:rsidR="00DD5DC6" w:rsidRDefault="00DD5DC6" w:rsidP="00E30EA5">
      <w:pPr>
        <w:pStyle w:val="paralevel1"/>
        <w:ind w:left="567" w:hanging="567"/>
        <w:jc w:val="both"/>
        <w:rPr>
          <w:rFonts w:ascii="Book Antiqua" w:hAnsi="Book Antiqua"/>
        </w:rPr>
      </w:pPr>
      <w:r>
        <w:rPr>
          <w:rFonts w:ascii="Book Antiqua" w:hAnsi="Book Antiqua"/>
        </w:rPr>
        <w:t>7</w:t>
      </w:r>
      <w:r w:rsidR="0063673C" w:rsidRPr="004B6FC1">
        <w:rPr>
          <w:rFonts w:ascii="Book Antiqua" w:hAnsi="Book Antiqua"/>
        </w:rPr>
        <w:t>.</w:t>
      </w:r>
      <w:r w:rsidR="0063673C" w:rsidRPr="004B6FC1">
        <w:rPr>
          <w:rFonts w:ascii="Book Antiqua" w:hAnsi="Book Antiqua"/>
        </w:rPr>
        <w:tab/>
        <w:t xml:space="preserve">Ms Iengar </w:t>
      </w:r>
      <w:r w:rsidR="00937A36" w:rsidRPr="004B6FC1">
        <w:rPr>
          <w:rFonts w:ascii="Book Antiqua" w:hAnsi="Book Antiqua"/>
          <w:iCs/>
        </w:rPr>
        <w:t>submitted</w:t>
      </w:r>
      <w:bookmarkEnd w:id="4"/>
      <w:r w:rsidR="0077715E" w:rsidRPr="004B6FC1">
        <w:rPr>
          <w:rFonts w:ascii="Book Antiqua" w:hAnsi="Book Antiqua"/>
        </w:rPr>
        <w:t xml:space="preserve"> </w:t>
      </w:r>
      <w:r w:rsidR="00937A36" w:rsidRPr="004B6FC1">
        <w:rPr>
          <w:rFonts w:ascii="Book Antiqua" w:hAnsi="Book Antiqua"/>
        </w:rPr>
        <w:t xml:space="preserve">that there was no challenge to the judge’s finding that family life existed and therefore Article 8 was engaged.  The judge referred to </w:t>
      </w:r>
      <w:r w:rsidR="00937A36" w:rsidRPr="004B6FC1">
        <w:rPr>
          <w:rFonts w:ascii="Book Antiqua" w:hAnsi="Book Antiqua"/>
          <w:u w:val="single"/>
        </w:rPr>
        <w:t>Agyarko</w:t>
      </w:r>
      <w:r w:rsidR="00937A36" w:rsidRPr="004B6FC1">
        <w:rPr>
          <w:rFonts w:ascii="Book Antiqua" w:hAnsi="Book Antiqua"/>
        </w:rPr>
        <w:t xml:space="preserve"> and discussed whether the </w:t>
      </w:r>
      <w:r w:rsidR="0063673C" w:rsidRPr="004B6FC1">
        <w:rPr>
          <w:rFonts w:ascii="Book Antiqua" w:hAnsi="Book Antiqua"/>
        </w:rPr>
        <w:t>Appellant</w:t>
      </w:r>
      <w:r w:rsidR="00937A36" w:rsidRPr="004B6FC1">
        <w:rPr>
          <w:rFonts w:ascii="Book Antiqua" w:hAnsi="Book Antiqua"/>
        </w:rPr>
        <w:t>s’ presence in the UK</w:t>
      </w:r>
      <w:r>
        <w:rPr>
          <w:rFonts w:ascii="Book Antiqua" w:hAnsi="Book Antiqua"/>
        </w:rPr>
        <w:t xml:space="preserve"> was precarious.</w:t>
      </w:r>
      <w:r w:rsidR="00937A36" w:rsidRPr="004B6FC1">
        <w:rPr>
          <w:rFonts w:ascii="Book Antiqua" w:hAnsi="Book Antiqua"/>
        </w:rPr>
        <w:t xml:space="preserve"> They had lawful leave throughout</w:t>
      </w:r>
      <w:r w:rsidR="00725751">
        <w:rPr>
          <w:rFonts w:ascii="Book Antiqua" w:hAnsi="Book Antiqua"/>
        </w:rPr>
        <w:t>,</w:t>
      </w:r>
      <w:r w:rsidR="00937A36" w:rsidRPr="004B6FC1">
        <w:rPr>
          <w:rFonts w:ascii="Book Antiqua" w:hAnsi="Book Antiqua"/>
        </w:rPr>
        <w:t xml:space="preserve"> although their leave was limited</w:t>
      </w:r>
      <w:r>
        <w:rPr>
          <w:rFonts w:ascii="Book Antiqua" w:hAnsi="Book Antiqua"/>
        </w:rPr>
        <w:t>.</w:t>
      </w:r>
      <w:r w:rsidR="00937A36" w:rsidRPr="004B6FC1">
        <w:rPr>
          <w:rFonts w:ascii="Book Antiqua" w:hAnsi="Book Antiqua"/>
        </w:rPr>
        <w:t xml:space="preserve"> </w:t>
      </w:r>
      <w:r>
        <w:rPr>
          <w:rFonts w:ascii="Book Antiqua" w:hAnsi="Book Antiqua"/>
        </w:rPr>
        <w:t>There had</w:t>
      </w:r>
      <w:r w:rsidR="00725751">
        <w:rPr>
          <w:rFonts w:ascii="Book Antiqua" w:hAnsi="Book Antiqua"/>
        </w:rPr>
        <w:t xml:space="preserve"> also been</w:t>
      </w:r>
      <w:r w:rsidR="00937A36" w:rsidRPr="004B6FC1">
        <w:rPr>
          <w:rFonts w:ascii="Book Antiqua" w:hAnsi="Book Antiqua"/>
        </w:rPr>
        <w:t xml:space="preserve"> delay on the part of the Secretary of </w:t>
      </w:r>
      <w:r>
        <w:rPr>
          <w:rFonts w:ascii="Book Antiqua" w:hAnsi="Book Antiqua"/>
        </w:rPr>
        <w:t xml:space="preserve">State for the Home Department. </w:t>
      </w:r>
    </w:p>
    <w:p w:rsidR="00DD5DC6" w:rsidRDefault="00DD5DC6" w:rsidP="00E30EA5">
      <w:pPr>
        <w:pStyle w:val="paralevel1"/>
        <w:ind w:left="567" w:hanging="567"/>
        <w:jc w:val="both"/>
        <w:rPr>
          <w:rFonts w:ascii="Book Antiqua" w:hAnsi="Book Antiqua"/>
        </w:rPr>
      </w:pPr>
      <w:r>
        <w:rPr>
          <w:rFonts w:ascii="Book Antiqua" w:hAnsi="Book Antiqua"/>
        </w:rPr>
        <w:t>8.</w:t>
      </w:r>
      <w:r>
        <w:rPr>
          <w:rFonts w:ascii="Book Antiqua" w:hAnsi="Book Antiqua"/>
        </w:rPr>
        <w:tab/>
      </w:r>
      <w:r w:rsidR="00937A36" w:rsidRPr="004B6FC1">
        <w:rPr>
          <w:rFonts w:ascii="Book Antiqua" w:hAnsi="Book Antiqua"/>
        </w:rPr>
        <w:t>I</w:t>
      </w:r>
      <w:r>
        <w:rPr>
          <w:rFonts w:ascii="Book Antiqua" w:hAnsi="Book Antiqua"/>
        </w:rPr>
        <w:t xml:space="preserve">n the alternative, Ms Iengar submitted that the judge had </w:t>
      </w:r>
      <w:r w:rsidR="00937A36" w:rsidRPr="004B6FC1">
        <w:rPr>
          <w:rFonts w:ascii="Book Antiqua" w:hAnsi="Book Antiqua"/>
        </w:rPr>
        <w:t>looked at whether there were exceptional circumstances</w:t>
      </w:r>
      <w:r>
        <w:rPr>
          <w:rFonts w:ascii="Book Antiqua" w:hAnsi="Book Antiqua"/>
        </w:rPr>
        <w:t xml:space="preserve"> and considered </w:t>
      </w:r>
      <w:r w:rsidRPr="004B6FC1">
        <w:rPr>
          <w:rFonts w:ascii="Book Antiqua" w:hAnsi="Book Antiqua"/>
        </w:rPr>
        <w:t>the consequences of return</w:t>
      </w:r>
      <w:r>
        <w:rPr>
          <w:rFonts w:ascii="Book Antiqua" w:hAnsi="Book Antiqua"/>
        </w:rPr>
        <w:t xml:space="preserve">. On the facts, </w:t>
      </w:r>
      <w:r w:rsidR="00937A36" w:rsidRPr="004B6FC1">
        <w:rPr>
          <w:rFonts w:ascii="Book Antiqua" w:hAnsi="Book Antiqua"/>
        </w:rPr>
        <w:t>there would be unj</w:t>
      </w:r>
      <w:r>
        <w:rPr>
          <w:rFonts w:ascii="Book Antiqua" w:hAnsi="Book Antiqua"/>
        </w:rPr>
        <w:t>ustifiably harsh consequences for</w:t>
      </w:r>
      <w:r w:rsidR="00937A36" w:rsidRPr="004B6FC1">
        <w:rPr>
          <w:rFonts w:ascii="Book Antiqua" w:hAnsi="Book Antiqua"/>
        </w:rPr>
        <w:t xml:space="preserve"> all</w:t>
      </w:r>
      <w:r>
        <w:rPr>
          <w:rFonts w:ascii="Book Antiqua" w:hAnsi="Book Antiqua"/>
        </w:rPr>
        <w:t xml:space="preserve"> family members. </w:t>
      </w:r>
    </w:p>
    <w:p w:rsidR="00E30EA5" w:rsidRDefault="00DD5DC6" w:rsidP="00E30EA5">
      <w:pPr>
        <w:pStyle w:val="paralevel1"/>
        <w:ind w:left="567" w:hanging="567"/>
        <w:jc w:val="both"/>
        <w:rPr>
          <w:rFonts w:ascii="Book Antiqua" w:hAnsi="Book Antiqua"/>
        </w:rPr>
      </w:pPr>
      <w:r>
        <w:rPr>
          <w:rFonts w:ascii="Book Antiqua" w:hAnsi="Book Antiqua"/>
        </w:rPr>
        <w:t>9.</w:t>
      </w:r>
      <w:r>
        <w:rPr>
          <w:rFonts w:ascii="Book Antiqua" w:hAnsi="Book Antiqua"/>
        </w:rPr>
        <w:tab/>
      </w:r>
      <w:r w:rsidR="00937A36" w:rsidRPr="004B6FC1">
        <w:rPr>
          <w:rFonts w:ascii="Book Antiqua" w:hAnsi="Book Antiqua"/>
        </w:rPr>
        <w:t xml:space="preserve">The judge </w:t>
      </w:r>
      <w:r>
        <w:rPr>
          <w:rFonts w:ascii="Book Antiqua" w:hAnsi="Book Antiqua"/>
        </w:rPr>
        <w:t>took into account</w:t>
      </w:r>
      <w:r w:rsidR="00937A36" w:rsidRPr="004B6FC1">
        <w:rPr>
          <w:rFonts w:ascii="Book Antiqua" w:hAnsi="Book Antiqua"/>
        </w:rPr>
        <w:t xml:space="preserve"> the </w:t>
      </w:r>
      <w:r w:rsidR="0063673C" w:rsidRPr="004B6FC1">
        <w:rPr>
          <w:rFonts w:ascii="Book Antiqua" w:hAnsi="Book Antiqua"/>
        </w:rPr>
        <w:t>Appellant</w:t>
      </w:r>
      <w:r w:rsidR="00937A36" w:rsidRPr="004B6FC1">
        <w:rPr>
          <w:rFonts w:ascii="Book Antiqua" w:hAnsi="Book Antiqua"/>
        </w:rPr>
        <w:t>s</w:t>
      </w:r>
      <w:r w:rsidR="00E30EA5" w:rsidRPr="004B6FC1">
        <w:rPr>
          <w:rFonts w:ascii="Book Antiqua" w:hAnsi="Book Antiqua"/>
        </w:rPr>
        <w:t>’</w:t>
      </w:r>
      <w:r w:rsidR="00937A36" w:rsidRPr="004B6FC1">
        <w:rPr>
          <w:rFonts w:ascii="Book Antiqua" w:hAnsi="Book Antiqua"/>
        </w:rPr>
        <w:t xml:space="preserve"> lawful</w:t>
      </w:r>
      <w:r>
        <w:rPr>
          <w:rFonts w:ascii="Book Antiqua" w:hAnsi="Book Antiqua"/>
        </w:rPr>
        <w:t xml:space="preserve"> presence in the UK and assessed</w:t>
      </w:r>
      <w:r w:rsidR="00937A36" w:rsidRPr="004B6FC1">
        <w:rPr>
          <w:rFonts w:ascii="Book Antiqua" w:hAnsi="Book Antiqua"/>
        </w:rPr>
        <w:t xml:space="preserve"> whether their statu</w:t>
      </w:r>
      <w:r>
        <w:rPr>
          <w:rFonts w:ascii="Book Antiqua" w:hAnsi="Book Antiqua"/>
        </w:rPr>
        <w:t xml:space="preserve">s was precarious. He </w:t>
      </w:r>
      <w:r w:rsidR="00937A36" w:rsidRPr="004B6FC1">
        <w:rPr>
          <w:rFonts w:ascii="Book Antiqua" w:hAnsi="Book Antiqua"/>
        </w:rPr>
        <w:t>separately</w:t>
      </w:r>
      <w:r>
        <w:rPr>
          <w:rFonts w:ascii="Book Antiqua" w:hAnsi="Book Antiqua"/>
        </w:rPr>
        <w:t xml:space="preserve"> considered</w:t>
      </w:r>
      <w:r w:rsidR="00937A36" w:rsidRPr="004B6FC1">
        <w:rPr>
          <w:rFonts w:ascii="Book Antiqua" w:hAnsi="Book Antiqua"/>
        </w:rPr>
        <w:t xml:space="preserve"> the position of the </w:t>
      </w:r>
      <w:r>
        <w:rPr>
          <w:rFonts w:ascii="Book Antiqua" w:hAnsi="Book Antiqua"/>
        </w:rPr>
        <w:t>First</w:t>
      </w:r>
      <w:r w:rsidR="00937A36" w:rsidRPr="004B6FC1">
        <w:rPr>
          <w:rFonts w:ascii="Book Antiqua" w:hAnsi="Book Antiqua"/>
        </w:rPr>
        <w:t xml:space="preserve"> </w:t>
      </w:r>
      <w:r w:rsidR="0063673C" w:rsidRPr="004B6FC1">
        <w:rPr>
          <w:rFonts w:ascii="Book Antiqua" w:hAnsi="Book Antiqua"/>
        </w:rPr>
        <w:t>Appellant</w:t>
      </w:r>
      <w:r w:rsidR="00937A36" w:rsidRPr="004B6FC1">
        <w:rPr>
          <w:rFonts w:ascii="Book Antiqua" w:hAnsi="Book Antiqua"/>
        </w:rPr>
        <w:t xml:space="preserve"> a</w:t>
      </w:r>
      <w:r>
        <w:rPr>
          <w:rFonts w:ascii="Book Antiqua" w:hAnsi="Book Antiqua"/>
        </w:rPr>
        <w:t xml:space="preserve">nd </w:t>
      </w:r>
      <w:r w:rsidR="00937A36" w:rsidRPr="004B6FC1">
        <w:rPr>
          <w:rFonts w:ascii="Book Antiqua" w:hAnsi="Book Antiqua"/>
        </w:rPr>
        <w:t xml:space="preserve">properly applied </w:t>
      </w:r>
      <w:r w:rsidR="00937A36" w:rsidRPr="004B6FC1">
        <w:rPr>
          <w:rFonts w:ascii="Book Antiqua" w:hAnsi="Book Antiqua"/>
          <w:u w:val="single"/>
        </w:rPr>
        <w:t>Agyarko</w:t>
      </w:r>
      <w:r>
        <w:rPr>
          <w:rFonts w:ascii="Book Antiqua" w:hAnsi="Book Antiqua"/>
        </w:rPr>
        <w:t xml:space="preserve">. </w:t>
      </w:r>
      <w:r w:rsidR="00937A36" w:rsidRPr="004B6FC1">
        <w:rPr>
          <w:rFonts w:ascii="Book Antiqua" w:hAnsi="Book Antiqua"/>
        </w:rPr>
        <w:t xml:space="preserve">Even if the </w:t>
      </w:r>
      <w:r w:rsidR="0063673C" w:rsidRPr="004B6FC1">
        <w:rPr>
          <w:rFonts w:ascii="Book Antiqua" w:hAnsi="Book Antiqua"/>
        </w:rPr>
        <w:t>Appellant</w:t>
      </w:r>
      <w:r w:rsidR="00937A36" w:rsidRPr="004B6FC1">
        <w:rPr>
          <w:rFonts w:ascii="Book Antiqua" w:hAnsi="Book Antiqua"/>
        </w:rPr>
        <w:t>s’ status was considered precarious</w:t>
      </w:r>
      <w:r>
        <w:rPr>
          <w:rFonts w:ascii="Book Antiqua" w:hAnsi="Book Antiqua"/>
        </w:rPr>
        <w:t>,</w:t>
      </w:r>
      <w:r w:rsidR="00937A36" w:rsidRPr="004B6FC1">
        <w:rPr>
          <w:rFonts w:ascii="Book Antiqua" w:hAnsi="Book Antiqua"/>
        </w:rPr>
        <w:t xml:space="preserve"> which the judge found it was not</w:t>
      </w:r>
      <w:r>
        <w:rPr>
          <w:rFonts w:ascii="Book Antiqua" w:hAnsi="Book Antiqua"/>
        </w:rPr>
        <w:t>,</w:t>
      </w:r>
      <w:r w:rsidR="00CB51E1">
        <w:rPr>
          <w:rFonts w:ascii="Book Antiqua" w:hAnsi="Book Antiqua"/>
        </w:rPr>
        <w:t xml:space="preserve"> then the judge’s finding at </w:t>
      </w:r>
      <w:r w:rsidR="00CB51E1">
        <w:rPr>
          <w:rFonts w:ascii="Book Antiqua" w:hAnsi="Book Antiqua"/>
        </w:rPr>
        <w:lastRenderedPageBreak/>
        <w:t>[</w:t>
      </w:r>
      <w:r w:rsidR="00E30EA5" w:rsidRPr="004B6FC1">
        <w:rPr>
          <w:rFonts w:ascii="Book Antiqua" w:hAnsi="Book Antiqua"/>
        </w:rPr>
        <w:t>56</w:t>
      </w:r>
      <w:r w:rsidR="00CB51E1">
        <w:rPr>
          <w:rFonts w:ascii="Book Antiqua" w:hAnsi="Book Antiqua"/>
        </w:rPr>
        <w:t>]</w:t>
      </w:r>
      <w:r w:rsidR="00E30EA5" w:rsidRPr="004B6FC1">
        <w:rPr>
          <w:rFonts w:ascii="Book Antiqua" w:hAnsi="Book Antiqua"/>
        </w:rPr>
        <w:t xml:space="preserve"> showed that there w</w:t>
      </w:r>
      <w:r w:rsidR="00937A36" w:rsidRPr="004B6FC1">
        <w:rPr>
          <w:rFonts w:ascii="Book Antiqua" w:hAnsi="Book Antiqua"/>
        </w:rPr>
        <w:t xml:space="preserve">ould be unjustifiably harsh consequences in returning the </w:t>
      </w:r>
      <w:r w:rsidR="0063673C" w:rsidRPr="004B6FC1">
        <w:rPr>
          <w:rFonts w:ascii="Book Antiqua" w:hAnsi="Book Antiqua"/>
        </w:rPr>
        <w:t>Appellant</w:t>
      </w:r>
      <w:r w:rsidR="00937A36" w:rsidRPr="004B6FC1">
        <w:rPr>
          <w:rFonts w:ascii="Book Antiqua" w:hAnsi="Book Antiqua"/>
        </w:rPr>
        <w:t>s to Sri Lanka.</w:t>
      </w:r>
      <w:r w:rsidR="00E30EA5" w:rsidRPr="004B6FC1">
        <w:rPr>
          <w:rFonts w:ascii="Book Antiqua" w:hAnsi="Book Antiqua"/>
        </w:rPr>
        <w:t xml:space="preserve"> </w:t>
      </w:r>
    </w:p>
    <w:p w:rsidR="00DD5DC6" w:rsidRDefault="00DD5DC6" w:rsidP="00E30EA5">
      <w:pPr>
        <w:pStyle w:val="paralevel1"/>
        <w:ind w:left="567" w:hanging="567"/>
        <w:jc w:val="both"/>
        <w:rPr>
          <w:rFonts w:ascii="Book Antiqua" w:hAnsi="Book Antiqua"/>
        </w:rPr>
      </w:pPr>
    </w:p>
    <w:p w:rsidR="00DD5DC6" w:rsidRPr="00DD5DC6" w:rsidRDefault="00DD5DC6" w:rsidP="00E30EA5">
      <w:pPr>
        <w:pStyle w:val="paralevel1"/>
        <w:ind w:left="567" w:hanging="567"/>
        <w:jc w:val="both"/>
        <w:rPr>
          <w:rFonts w:ascii="Book Antiqua" w:hAnsi="Book Antiqua"/>
          <w:b/>
          <w:u w:val="single"/>
        </w:rPr>
      </w:pPr>
      <w:r>
        <w:rPr>
          <w:rFonts w:ascii="Book Antiqua" w:hAnsi="Book Antiqua"/>
          <w:b/>
          <w:u w:val="single"/>
        </w:rPr>
        <w:t>The judge’s findings</w:t>
      </w:r>
    </w:p>
    <w:p w:rsidR="00E30EA5" w:rsidRPr="004B6FC1" w:rsidRDefault="00263256" w:rsidP="00DD5DC6">
      <w:pPr>
        <w:pStyle w:val="paralevel1"/>
        <w:ind w:left="567" w:hanging="567"/>
        <w:jc w:val="both"/>
        <w:rPr>
          <w:rFonts w:ascii="Book Antiqua" w:hAnsi="Book Antiqua"/>
        </w:rPr>
      </w:pPr>
      <w:r>
        <w:rPr>
          <w:rFonts w:ascii="Book Antiqua" w:hAnsi="Book Antiqua"/>
        </w:rPr>
        <w:t>10</w:t>
      </w:r>
      <w:r w:rsidR="00937A36" w:rsidRPr="004B6FC1">
        <w:rPr>
          <w:rFonts w:ascii="Book Antiqua" w:hAnsi="Book Antiqua"/>
        </w:rPr>
        <w:t>.</w:t>
      </w:r>
      <w:r w:rsidR="00937A36" w:rsidRPr="004B6FC1">
        <w:rPr>
          <w:rFonts w:ascii="Book Antiqua" w:hAnsi="Book Antiqua"/>
        </w:rPr>
        <w:tab/>
      </w:r>
      <w:r>
        <w:rPr>
          <w:rFonts w:ascii="Book Antiqua" w:hAnsi="Book Antiqua"/>
        </w:rPr>
        <w:t>The judge made the following findings:</w:t>
      </w:r>
      <w:r w:rsidR="00E30EA5" w:rsidRPr="004B6FC1">
        <w:rPr>
          <w:rFonts w:ascii="Book Antiqua" w:hAnsi="Book Antiqua"/>
        </w:rPr>
        <w:t xml:space="preserve"> </w:t>
      </w:r>
    </w:p>
    <w:p w:rsidR="00E30EA5" w:rsidRPr="004B6FC1" w:rsidRDefault="003710D6" w:rsidP="00E30EA5">
      <w:pPr>
        <w:pStyle w:val="paralevel1"/>
        <w:ind w:left="1701" w:hanging="567"/>
        <w:jc w:val="both"/>
        <w:rPr>
          <w:rFonts w:ascii="Book Antiqua" w:hAnsi="Book Antiqua"/>
        </w:rPr>
      </w:pPr>
      <w:r w:rsidRPr="004B6FC1">
        <w:rPr>
          <w:rFonts w:ascii="Book Antiqua" w:hAnsi="Book Antiqua"/>
        </w:rPr>
        <w:t>“</w:t>
      </w:r>
      <w:r w:rsidR="00994E23" w:rsidRPr="004B6FC1">
        <w:rPr>
          <w:rFonts w:ascii="Book Antiqua" w:hAnsi="Book Antiqua"/>
        </w:rPr>
        <w:t>51.</w:t>
      </w:r>
      <w:r w:rsidR="00994E23" w:rsidRPr="004B6FC1">
        <w:rPr>
          <w:rFonts w:ascii="Book Antiqua" w:hAnsi="Book Antiqua"/>
        </w:rPr>
        <w:tab/>
        <w:t>In</w:t>
      </w:r>
      <w:r w:rsidRPr="004B6FC1">
        <w:rPr>
          <w:rFonts w:ascii="Book Antiqua" w:hAnsi="Book Antiqua"/>
        </w:rPr>
        <w:t xml:space="preserve"> </w:t>
      </w:r>
      <w:r w:rsidRPr="004B6FC1">
        <w:rPr>
          <w:rFonts w:ascii="Book Antiqua" w:hAnsi="Book Antiqua"/>
          <w:u w:val="single"/>
        </w:rPr>
        <w:t>Agyarko</w:t>
      </w:r>
      <w:r w:rsidRPr="004B6FC1">
        <w:rPr>
          <w:rFonts w:ascii="Book Antiqua" w:hAnsi="Book Antiqua"/>
        </w:rPr>
        <w:t xml:space="preserve"> [2017] UKSC 11, Lord Reed emphasised a passage in the IDIs instructing Home Office caseworkers that it is people who put down roots in the UK in the full knowledge that their stay here is unlawful or precarious who should be given less weight in the Article 8 balance.  His Lordship went on to envisage circumstances in which people might be under a reasonable misapprehension as to their ability to maintain a family life in the </w:t>
      </w:r>
      <w:smartTag w:uri="urn:schemas-microsoft-com:office:smarttags" w:element="country-region">
        <w:smartTag w:uri="urn:schemas-microsoft-com:office:smarttags" w:element="place">
          <w:r w:rsidRPr="004B6FC1">
            <w:rPr>
              <w:rFonts w:ascii="Book Antiqua" w:hAnsi="Book Antiqua"/>
            </w:rPr>
            <w:t>UK</w:t>
          </w:r>
        </w:smartTag>
      </w:smartTag>
      <w:r w:rsidRPr="004B6FC1">
        <w:rPr>
          <w:rFonts w:ascii="Book Antiqua" w:hAnsi="Book Antiqua"/>
        </w:rPr>
        <w:t>, and in which a less stringent approach might therefore be appropriate.</w:t>
      </w:r>
      <w:r w:rsidR="00E30EA5" w:rsidRPr="004B6FC1">
        <w:rPr>
          <w:rFonts w:ascii="Book Antiqua" w:hAnsi="Book Antiqua"/>
        </w:rPr>
        <w:t xml:space="preserve"> </w:t>
      </w:r>
    </w:p>
    <w:p w:rsidR="00263256" w:rsidRDefault="00994E23" w:rsidP="00263256">
      <w:pPr>
        <w:pStyle w:val="paralevel1"/>
        <w:ind w:left="1701" w:hanging="567"/>
        <w:jc w:val="both"/>
        <w:rPr>
          <w:rFonts w:ascii="Book Antiqua" w:hAnsi="Book Antiqua"/>
        </w:rPr>
      </w:pPr>
      <w:r w:rsidRPr="004B6FC1">
        <w:rPr>
          <w:rFonts w:ascii="Book Antiqua" w:hAnsi="Book Antiqua"/>
        </w:rPr>
        <w:t>52.</w:t>
      </w:r>
      <w:r w:rsidRPr="004B6FC1">
        <w:rPr>
          <w:rFonts w:ascii="Book Antiqua" w:hAnsi="Book Antiqua"/>
        </w:rPr>
        <w:tab/>
      </w:r>
      <w:r w:rsidR="003710D6" w:rsidRPr="004B6FC1">
        <w:rPr>
          <w:rFonts w:ascii="Book Antiqua" w:hAnsi="Book Antiqua"/>
        </w:rPr>
        <w:t xml:space="preserve">The </w:t>
      </w:r>
      <w:r w:rsidR="0063673C" w:rsidRPr="004B6FC1">
        <w:rPr>
          <w:rFonts w:ascii="Book Antiqua" w:hAnsi="Book Antiqua"/>
        </w:rPr>
        <w:t>Appellant</w:t>
      </w:r>
      <w:r w:rsidRPr="004B6FC1">
        <w:rPr>
          <w:rFonts w:ascii="Book Antiqua" w:hAnsi="Book Antiqua"/>
        </w:rPr>
        <w:t>s all arrived as dependants of their mother and the public interest at that stage was considered to be</w:t>
      </w:r>
      <w:r w:rsidR="004727C8">
        <w:rPr>
          <w:rFonts w:ascii="Book Antiqua" w:hAnsi="Book Antiqua"/>
        </w:rPr>
        <w:t xml:space="preserve"> satisfied. </w:t>
      </w:r>
      <w:r w:rsidRPr="004B6FC1">
        <w:rPr>
          <w:rFonts w:ascii="Book Antiqua" w:hAnsi="Book Antiqua"/>
        </w:rPr>
        <w:t xml:space="preserve">They remain part of the same family group and during that period their mother has been successful in obtaining indefinite leave to remain so they may well have been under a reasonable misapprehension as to their ability to remain. </w:t>
      </w:r>
    </w:p>
    <w:p w:rsidR="00263256" w:rsidRDefault="00994E23" w:rsidP="00263256">
      <w:pPr>
        <w:pStyle w:val="paralevel1"/>
        <w:ind w:left="1701" w:hanging="567"/>
        <w:jc w:val="both"/>
        <w:rPr>
          <w:rFonts w:ascii="Book Antiqua" w:hAnsi="Book Antiqua"/>
        </w:rPr>
      </w:pPr>
      <w:r w:rsidRPr="004B6FC1">
        <w:rPr>
          <w:rFonts w:ascii="Book Antiqua" w:hAnsi="Book Antiqua"/>
        </w:rPr>
        <w:t>53.</w:t>
      </w:r>
      <w:r w:rsidRPr="004B6FC1">
        <w:rPr>
          <w:rFonts w:ascii="Book Antiqua" w:hAnsi="Book Antiqua"/>
        </w:rPr>
        <w:tab/>
        <w:t>The point was also made that the weight to be given to precarious family life is liable to increase if there is a protracted delay in the enforcement of immigration control.  Here, there has been delay, although not necessarily on the part of the Home Office, but it has taken a substantial time for these matters to come before this First-tier Tribunal.</w:t>
      </w:r>
    </w:p>
    <w:p w:rsidR="00263256" w:rsidRDefault="00994E23" w:rsidP="00263256">
      <w:pPr>
        <w:pStyle w:val="paralevel1"/>
        <w:ind w:left="1701" w:hanging="567"/>
        <w:jc w:val="both"/>
        <w:rPr>
          <w:rFonts w:ascii="Book Antiqua" w:hAnsi="Book Antiqua"/>
        </w:rPr>
      </w:pPr>
      <w:r w:rsidRPr="004B6FC1">
        <w:rPr>
          <w:rFonts w:ascii="Book Antiqua" w:hAnsi="Book Antiqua"/>
        </w:rPr>
        <w:t>54.</w:t>
      </w:r>
      <w:r w:rsidRPr="004B6FC1">
        <w:rPr>
          <w:rFonts w:ascii="Book Antiqua" w:hAnsi="Book Antiqua"/>
        </w:rPr>
        <w:tab/>
        <w:t>The question of whether their immigration status is pre</w:t>
      </w:r>
      <w:r w:rsidR="004727C8">
        <w:rPr>
          <w:rFonts w:ascii="Book Antiqua" w:hAnsi="Book Antiqua"/>
        </w:rPr>
        <w:t>carious is not straightforward.</w:t>
      </w:r>
      <w:r w:rsidRPr="004B6FC1">
        <w:rPr>
          <w:rFonts w:ascii="Book Antiqua" w:hAnsi="Book Antiqua"/>
        </w:rPr>
        <w:t xml:space="preserve"> The Home Office instruction, which is cited with approval by Lord Reed as consistent with the case law of the ECHR, actually states:</w:t>
      </w:r>
    </w:p>
    <w:p w:rsidR="00994E23" w:rsidRPr="004B6FC1" w:rsidRDefault="00994E23" w:rsidP="00263256">
      <w:pPr>
        <w:pStyle w:val="paralevel1"/>
        <w:ind w:left="2268"/>
        <w:jc w:val="both"/>
        <w:rPr>
          <w:rFonts w:ascii="Book Antiqua" w:hAnsi="Book Antiqua"/>
        </w:rPr>
      </w:pPr>
      <w:r w:rsidRPr="004B6FC1">
        <w:rPr>
          <w:rFonts w:ascii="Book Antiqua" w:hAnsi="Book Antiqua"/>
        </w:rPr>
        <w:t>‘Family life which involves the applicant putting down roots in the UK, in the full knowledge that their stay here is unlawful or precarious, should be given less weight, when balanced against the factors weighing in favour of removal, than family life formed by a person lawfully present in the UK.’</w:t>
      </w:r>
    </w:p>
    <w:p w:rsidR="00994E23" w:rsidRPr="004B6FC1" w:rsidRDefault="00994E23" w:rsidP="00994E23">
      <w:pPr>
        <w:keepNext/>
        <w:spacing w:before="100" w:beforeAutospacing="1" w:after="100" w:afterAutospacing="1"/>
        <w:ind w:left="1701" w:hanging="567"/>
        <w:jc w:val="both"/>
        <w:rPr>
          <w:rFonts w:ascii="Book Antiqua" w:hAnsi="Book Antiqua"/>
        </w:rPr>
      </w:pPr>
      <w:r w:rsidRPr="004B6FC1">
        <w:rPr>
          <w:rFonts w:ascii="Book Antiqua" w:hAnsi="Book Antiqua"/>
        </w:rPr>
        <w:t>55.</w:t>
      </w:r>
      <w:r w:rsidRPr="004B6FC1">
        <w:rPr>
          <w:rFonts w:ascii="Book Antiqua" w:hAnsi="Book Antiqua"/>
        </w:rPr>
        <w:tab/>
        <w:t>This differentiates lawful presence (which would include limited leave) from a precarious stay (which is not unlawful, but is presumably a lesser status than ordinary leave).</w:t>
      </w:r>
    </w:p>
    <w:p w:rsidR="00263256" w:rsidRPr="004B6FC1" w:rsidRDefault="00263256" w:rsidP="00263256">
      <w:pPr>
        <w:pStyle w:val="paralevel1"/>
        <w:ind w:left="1701" w:hanging="567"/>
        <w:jc w:val="both"/>
        <w:rPr>
          <w:rFonts w:ascii="Book Antiqua" w:hAnsi="Book Antiqua"/>
        </w:rPr>
      </w:pPr>
      <w:r w:rsidRPr="004B6FC1">
        <w:rPr>
          <w:rFonts w:ascii="Book Antiqua" w:hAnsi="Book Antiqua"/>
        </w:rPr>
        <w:t>56.</w:t>
      </w:r>
      <w:r w:rsidRPr="004B6FC1">
        <w:rPr>
          <w:rFonts w:ascii="Book Antiqua" w:hAnsi="Book Antiqua"/>
        </w:rPr>
        <w:tab/>
        <w:t>It is difficult however to weigh the</w:t>
      </w:r>
      <w:r w:rsidR="00906B2F">
        <w:rPr>
          <w:rFonts w:ascii="Book Antiqua" w:hAnsi="Book Antiqua"/>
        </w:rPr>
        <w:t xml:space="preserve">se considerations to a nicety. </w:t>
      </w:r>
      <w:r w:rsidRPr="004B6FC1">
        <w:rPr>
          <w:rFonts w:ascii="Book Antiqua" w:hAnsi="Book Antiqua"/>
        </w:rPr>
        <w:t xml:space="preserve">There is not here a clearly stated immigration rule encapsulating the public interest against which such weight as can be given to private life can be assessed.  The overall position is that this is a family group, there is now to some </w:t>
      </w:r>
      <w:r w:rsidRPr="004B6FC1">
        <w:rPr>
          <w:rFonts w:ascii="Book Antiqua" w:hAnsi="Book Antiqua"/>
        </w:rPr>
        <w:lastRenderedPageBreak/>
        <w:t>extent depend</w:t>
      </w:r>
      <w:r w:rsidR="004727C8">
        <w:rPr>
          <w:rFonts w:ascii="Book Antiqua" w:hAnsi="Book Antiqua"/>
        </w:rPr>
        <w:t>ence for help by their mother</w:t>
      </w:r>
      <w:r w:rsidRPr="004B6FC1">
        <w:rPr>
          <w:rFonts w:ascii="Book Antiqua" w:hAnsi="Book Antiqua"/>
        </w:rPr>
        <w:t xml:space="preserve"> on the children for help and by them on their parents for accommodation and livin</w:t>
      </w:r>
      <w:r>
        <w:rPr>
          <w:rFonts w:ascii="Book Antiqua" w:hAnsi="Book Antiqua"/>
        </w:rPr>
        <w:t xml:space="preserve">g expenses. </w:t>
      </w:r>
      <w:r w:rsidRPr="004B6FC1">
        <w:rPr>
          <w:rFonts w:ascii="Book Antiqua" w:hAnsi="Book Antiqua"/>
        </w:rPr>
        <w:t>Return to Sri Lanka would involve a consider</w:t>
      </w:r>
      <w:r>
        <w:rPr>
          <w:rFonts w:ascii="Book Antiqua" w:hAnsi="Book Antiqua"/>
        </w:rPr>
        <w:t xml:space="preserve">able upheaval after six years. </w:t>
      </w:r>
      <w:r w:rsidRPr="004B6FC1">
        <w:rPr>
          <w:rFonts w:ascii="Book Antiqua" w:hAnsi="Book Antiqua"/>
        </w:rPr>
        <w:t>They have no experience of living independently and their return would also d</w:t>
      </w:r>
      <w:r w:rsidR="004727C8">
        <w:rPr>
          <w:rFonts w:ascii="Book Antiqua" w:hAnsi="Book Antiqua"/>
        </w:rPr>
        <w:t>eplete their parents’ finances.</w:t>
      </w:r>
      <w:r w:rsidRPr="004B6FC1">
        <w:rPr>
          <w:rFonts w:ascii="Book Antiqua" w:hAnsi="Book Antiqua"/>
        </w:rPr>
        <w:t xml:space="preserve"> It is unlikely that there could be much, if any, financial support to them from the UK</w:t>
      </w:r>
      <w:r w:rsidR="004727C8">
        <w:rPr>
          <w:rFonts w:ascii="Book Antiqua" w:hAnsi="Book Antiqua"/>
        </w:rPr>
        <w:t>.</w:t>
      </w:r>
      <w:r w:rsidRPr="004B6FC1">
        <w:rPr>
          <w:rFonts w:ascii="Book Antiqua" w:hAnsi="Book Antiqua"/>
        </w:rPr>
        <w:t xml:space="preserve"> There are some relatives still in Sri Lanka who could provide initial accommodation while they sought to establish themselves, and there would be a profound emotional </w:t>
      </w:r>
      <w:r w:rsidR="004727C8">
        <w:rPr>
          <w:rFonts w:ascii="Book Antiqua" w:hAnsi="Book Antiqua"/>
        </w:rPr>
        <w:t>impact and cultural adjustment.</w:t>
      </w:r>
      <w:r w:rsidRPr="004B6FC1">
        <w:rPr>
          <w:rFonts w:ascii="Book Antiqua" w:hAnsi="Book Antiqua"/>
        </w:rPr>
        <w:t xml:space="preserve"> The public interest in their removal, in the interests of managed migration, has to be borne in mind, but is tempered here by their use of English, their earnings and their general integration.  Overall I find in each case that the public interest in these circumstances is satisfied and so the appeals are allowed.”</w:t>
      </w:r>
    </w:p>
    <w:p w:rsidR="00DD5DC6" w:rsidRDefault="00DD5DC6" w:rsidP="00994E23">
      <w:pPr>
        <w:keepNext/>
        <w:spacing w:before="100" w:beforeAutospacing="1" w:after="100" w:afterAutospacing="1"/>
        <w:ind w:left="567" w:hanging="567"/>
        <w:jc w:val="both"/>
        <w:rPr>
          <w:rFonts w:ascii="Book Antiqua" w:hAnsi="Book Antiqua"/>
        </w:rPr>
      </w:pPr>
    </w:p>
    <w:p w:rsidR="00DD5DC6" w:rsidRPr="00263256" w:rsidRDefault="00DD5DC6" w:rsidP="00263256">
      <w:pPr>
        <w:pStyle w:val="paralevel1"/>
        <w:ind w:left="567" w:hanging="567"/>
        <w:jc w:val="both"/>
        <w:rPr>
          <w:rFonts w:ascii="Book Antiqua" w:hAnsi="Book Antiqua"/>
          <w:b/>
          <w:u w:val="single"/>
        </w:rPr>
      </w:pPr>
      <w:r w:rsidRPr="004B6FC1">
        <w:rPr>
          <w:rFonts w:ascii="Book Antiqua" w:hAnsi="Book Antiqua"/>
          <w:b/>
          <w:u w:val="single"/>
        </w:rPr>
        <w:t>Discussion and Conclusion</w:t>
      </w:r>
    </w:p>
    <w:p w:rsidR="00CB51E1" w:rsidRPr="004B6FC1" w:rsidRDefault="00994E23" w:rsidP="00CB51E1">
      <w:pPr>
        <w:keepNext/>
        <w:spacing w:before="100" w:beforeAutospacing="1" w:after="100" w:afterAutospacing="1"/>
        <w:ind w:left="567" w:hanging="567"/>
        <w:jc w:val="both"/>
        <w:rPr>
          <w:rFonts w:ascii="Book Antiqua" w:hAnsi="Book Antiqua"/>
        </w:rPr>
      </w:pPr>
      <w:r w:rsidRPr="004B6FC1">
        <w:rPr>
          <w:rFonts w:ascii="Book Antiqua" w:hAnsi="Book Antiqua"/>
        </w:rPr>
        <w:t>1</w:t>
      </w:r>
      <w:r w:rsidR="00263256">
        <w:rPr>
          <w:rFonts w:ascii="Book Antiqua" w:hAnsi="Book Antiqua"/>
        </w:rPr>
        <w:t>1</w:t>
      </w:r>
      <w:r w:rsidRPr="004B6FC1">
        <w:rPr>
          <w:rFonts w:ascii="Book Antiqua" w:hAnsi="Book Antiqua"/>
        </w:rPr>
        <w:t>.</w:t>
      </w:r>
      <w:r w:rsidRPr="004B6FC1">
        <w:rPr>
          <w:rFonts w:ascii="Book Antiqua" w:hAnsi="Book Antiqua"/>
        </w:rPr>
        <w:tab/>
        <w:t xml:space="preserve">The </w:t>
      </w:r>
      <w:r w:rsidR="0063673C" w:rsidRPr="004B6FC1">
        <w:rPr>
          <w:rFonts w:ascii="Book Antiqua" w:hAnsi="Book Antiqua"/>
        </w:rPr>
        <w:t>Appellant</w:t>
      </w:r>
      <w:r w:rsidRPr="004B6FC1">
        <w:rPr>
          <w:rFonts w:ascii="Book Antiqua" w:hAnsi="Book Antiqua"/>
        </w:rPr>
        <w:t>s came to the UK lawfully, relying on their father’s s</w:t>
      </w:r>
      <w:r w:rsidR="00CB51E1">
        <w:rPr>
          <w:rFonts w:ascii="Book Antiqua" w:hAnsi="Book Antiqua"/>
        </w:rPr>
        <w:t>ettled status</w:t>
      </w:r>
      <w:r w:rsidR="004727C8">
        <w:rPr>
          <w:rFonts w:ascii="Book Antiqua" w:hAnsi="Book Antiqua"/>
        </w:rPr>
        <w:t xml:space="preserve"> since 2009. </w:t>
      </w:r>
      <w:r w:rsidR="00CB51E1">
        <w:rPr>
          <w:rFonts w:ascii="Book Antiqua" w:hAnsi="Book Antiqua"/>
        </w:rPr>
        <w:t>T</w:t>
      </w:r>
      <w:r w:rsidRPr="004B6FC1">
        <w:rPr>
          <w:rFonts w:ascii="Book Antiqua" w:hAnsi="Book Antiqua"/>
        </w:rPr>
        <w:t>heir status was not precarious because it was lawful and i</w:t>
      </w:r>
      <w:r w:rsidR="00344696">
        <w:rPr>
          <w:rFonts w:ascii="Book Antiqua" w:hAnsi="Book Antiqua"/>
        </w:rPr>
        <w:t xml:space="preserve">t could not be considered </w:t>
      </w:r>
      <w:r w:rsidRPr="004B6FC1">
        <w:rPr>
          <w:rFonts w:ascii="Book Antiqua" w:hAnsi="Book Antiqua"/>
        </w:rPr>
        <w:t>temporary because when they came to the UK their father already had settled status.</w:t>
      </w:r>
      <w:r w:rsidR="00344696">
        <w:rPr>
          <w:rFonts w:ascii="Book Antiqua" w:hAnsi="Book Antiqua"/>
        </w:rPr>
        <w:t xml:space="preserve"> Their father</w:t>
      </w:r>
      <w:r w:rsidRPr="004B6FC1">
        <w:rPr>
          <w:rFonts w:ascii="Book Antiqua" w:hAnsi="Book Antiqua"/>
        </w:rPr>
        <w:t xml:space="preserve"> was not</w:t>
      </w:r>
      <w:r w:rsidR="00344696">
        <w:rPr>
          <w:rFonts w:ascii="Book Antiqua" w:hAnsi="Book Antiqua"/>
        </w:rPr>
        <w:t>,</w:t>
      </w:r>
      <w:r w:rsidRPr="004B6FC1">
        <w:rPr>
          <w:rFonts w:ascii="Book Antiqua" w:hAnsi="Book Antiqua"/>
        </w:rPr>
        <w:t xml:space="preserve"> for example</w:t>
      </w:r>
      <w:r w:rsidR="00344696">
        <w:rPr>
          <w:rFonts w:ascii="Book Antiqua" w:hAnsi="Book Antiqua"/>
        </w:rPr>
        <w:t>,</w:t>
      </w:r>
      <w:r w:rsidRPr="004B6FC1">
        <w:rPr>
          <w:rFonts w:ascii="Book Antiqua" w:hAnsi="Book Antiqua"/>
        </w:rPr>
        <w:t xml:space="preserve"> a </w:t>
      </w:r>
      <w:r w:rsidR="004727C8">
        <w:rPr>
          <w:rFonts w:ascii="Book Antiqua" w:hAnsi="Book Antiqua"/>
        </w:rPr>
        <w:t>student who intended to return</w:t>
      </w:r>
      <w:r w:rsidR="00344696">
        <w:rPr>
          <w:rFonts w:ascii="Book Antiqua" w:hAnsi="Book Antiqua"/>
        </w:rPr>
        <w:t xml:space="preserve"> to Sri Lanka</w:t>
      </w:r>
      <w:r w:rsidR="004727C8">
        <w:rPr>
          <w:rFonts w:ascii="Book Antiqua" w:hAnsi="Book Antiqua"/>
        </w:rPr>
        <w:t>.</w:t>
      </w:r>
      <w:r w:rsidRPr="004B6FC1">
        <w:rPr>
          <w:rFonts w:ascii="Book Antiqua" w:hAnsi="Book Antiqua"/>
        </w:rPr>
        <w:t xml:space="preserve"> </w:t>
      </w:r>
      <w:r w:rsidR="00CB51E1" w:rsidRPr="004B6FC1">
        <w:rPr>
          <w:rFonts w:ascii="Book Antiqua" w:hAnsi="Book Antiqua"/>
        </w:rPr>
        <w:t>I am not persuaded by Ms Ahmed’s submission that any leave short of settled status wou</w:t>
      </w:r>
      <w:r w:rsidR="00CB51E1">
        <w:rPr>
          <w:rFonts w:ascii="Book Antiqua" w:hAnsi="Book Antiqua"/>
        </w:rPr>
        <w:t>ld be precarious. I</w:t>
      </w:r>
      <w:r w:rsidR="00CB51E1" w:rsidRPr="004B6FC1">
        <w:rPr>
          <w:rFonts w:ascii="Book Antiqua" w:hAnsi="Book Antiqua"/>
        </w:rPr>
        <w:t xml:space="preserve"> rely on </w:t>
      </w:r>
      <w:r w:rsidR="00CB51E1">
        <w:rPr>
          <w:rFonts w:ascii="Book Antiqua" w:hAnsi="Book Antiqua"/>
        </w:rPr>
        <w:t>[</w:t>
      </w:r>
      <w:r w:rsidR="00CB51E1" w:rsidRPr="004B6FC1">
        <w:rPr>
          <w:rFonts w:ascii="Book Antiqua" w:hAnsi="Book Antiqua"/>
        </w:rPr>
        <w:t>44</w:t>
      </w:r>
      <w:r w:rsidR="00CB51E1">
        <w:rPr>
          <w:rFonts w:ascii="Book Antiqua" w:hAnsi="Book Antiqua"/>
        </w:rPr>
        <w:t>]</w:t>
      </w:r>
      <w:r w:rsidR="00CB51E1" w:rsidRPr="004B6FC1">
        <w:rPr>
          <w:rFonts w:ascii="Book Antiqua" w:hAnsi="Book Antiqua"/>
        </w:rPr>
        <w:t xml:space="preserve"> of </w:t>
      </w:r>
      <w:r w:rsidR="00CB51E1" w:rsidRPr="004B6FC1">
        <w:rPr>
          <w:rFonts w:ascii="Book Antiqua" w:hAnsi="Book Antiqua"/>
          <w:u w:val="single"/>
        </w:rPr>
        <w:t>Rhuppiah</w:t>
      </w:r>
      <w:r w:rsidR="00CB51E1" w:rsidRPr="004B6FC1">
        <w:rPr>
          <w:rFonts w:ascii="Book Antiqua" w:hAnsi="Book Antiqua"/>
        </w:rPr>
        <w:t xml:space="preserve"> </w:t>
      </w:r>
      <w:r w:rsidR="00CB51E1">
        <w:rPr>
          <w:rFonts w:ascii="Book Antiqua" w:hAnsi="Book Antiqua"/>
        </w:rPr>
        <w:t xml:space="preserve">[2016] EWCA Civ 803 </w:t>
      </w:r>
      <w:r w:rsidR="00CB51E1" w:rsidRPr="004B6FC1">
        <w:rPr>
          <w:rFonts w:ascii="Book Antiqua" w:hAnsi="Book Antiqua"/>
        </w:rPr>
        <w:t>which states:</w:t>
      </w:r>
    </w:p>
    <w:p w:rsidR="00CB51E1" w:rsidRDefault="00CB51E1" w:rsidP="00CB51E1">
      <w:pPr>
        <w:keepNext/>
        <w:spacing w:before="100" w:beforeAutospacing="1" w:after="100" w:afterAutospacing="1"/>
        <w:ind w:left="1134"/>
        <w:jc w:val="both"/>
        <w:rPr>
          <w:rFonts w:ascii="Book Antiqua" w:hAnsi="Book Antiqua"/>
        </w:rPr>
      </w:pPr>
      <w:bookmarkStart w:id="5" w:name="para44"/>
      <w:r w:rsidRPr="004B6FC1">
        <w:rPr>
          <w:rFonts w:ascii="Book Antiqua" w:hAnsi="Book Antiqua"/>
        </w:rPr>
        <w:t>“This discussion is sufficient to dispose of the Appellant's argument about whether her own immigration status was ‘precarious’ at the relevant time, i.e. between 1997 and late 2010. I would wish to reserve my opinion about the submission of the Secretary of State that any grant of limited leave to enter or remain short of ILR qualifies as ‘precarious’ for the purposes of section 117</w:t>
      </w:r>
      <w:proofErr w:type="gramStart"/>
      <w:r w:rsidRPr="004B6FC1">
        <w:rPr>
          <w:rFonts w:ascii="Book Antiqua" w:hAnsi="Book Antiqua"/>
        </w:rPr>
        <w:t>B(</w:t>
      </w:r>
      <w:proofErr w:type="gramEnd"/>
      <w:r w:rsidRPr="004B6FC1">
        <w:rPr>
          <w:rFonts w:ascii="Book Antiqua" w:hAnsi="Book Antiqua"/>
        </w:rPr>
        <w:t>5). I have to say that I am doubtful that this is correct. If that had been intended, the drafter of section 117</w:t>
      </w:r>
      <w:proofErr w:type="gramStart"/>
      <w:r w:rsidRPr="004B6FC1">
        <w:rPr>
          <w:rFonts w:ascii="Book Antiqua" w:hAnsi="Book Antiqua"/>
        </w:rPr>
        <w:t>B(</w:t>
      </w:r>
      <w:proofErr w:type="gramEnd"/>
      <w:r w:rsidRPr="004B6FC1">
        <w:rPr>
          <w:rFonts w:ascii="Book Antiqua" w:hAnsi="Book Antiqua"/>
        </w:rPr>
        <w:t xml:space="preserve">5) could have expressed the idea more clearly and precisely in other ways. There is a very wide range of cases in which some form of leave to remain short of ILR may have been granted, and the word ‘precarious’ seems to me to convey a more evaluative concept, the opposite of the idea that a person could be regarded as a settled migrant for Article 8 purposes, which is to be applied having regard to the overall circumstances in which an immigrant finds himself in the host country. Some immigrants with leave to remain falling short of ILR could be regarded as being very settled indeed and as having an immigration status which is not properly to be described as ‘precarious’. The Article 8 context could be taken to support this interpretation. However, it is not necessary to decide in this case whether the Secretary of State is correct in her </w:t>
      </w:r>
      <w:r w:rsidRPr="004B6FC1">
        <w:rPr>
          <w:rFonts w:ascii="Book Antiqua" w:hAnsi="Book Antiqua"/>
        </w:rPr>
        <w:lastRenderedPageBreak/>
        <w:t>submission or not, since whichever view is correct the Appellant clearly loses on this point.</w:t>
      </w:r>
      <w:bookmarkEnd w:id="5"/>
      <w:r w:rsidRPr="004B6FC1">
        <w:rPr>
          <w:rFonts w:ascii="Book Antiqua" w:hAnsi="Book Antiqua"/>
        </w:rPr>
        <w:t>”</w:t>
      </w:r>
    </w:p>
    <w:p w:rsidR="00830293" w:rsidRDefault="00CB51E1" w:rsidP="00CB51E1">
      <w:pPr>
        <w:keepNext/>
        <w:spacing w:before="100" w:beforeAutospacing="1" w:after="100" w:afterAutospacing="1"/>
        <w:ind w:left="567" w:hanging="567"/>
        <w:jc w:val="both"/>
        <w:rPr>
          <w:rFonts w:ascii="Book Antiqua" w:hAnsi="Book Antiqua"/>
        </w:rPr>
      </w:pPr>
      <w:r>
        <w:rPr>
          <w:rFonts w:ascii="Book Antiqua" w:hAnsi="Book Antiqua"/>
        </w:rPr>
        <w:t>12.</w:t>
      </w:r>
      <w:r>
        <w:rPr>
          <w:rFonts w:ascii="Book Antiqua" w:hAnsi="Book Antiqua"/>
        </w:rPr>
        <w:tab/>
      </w:r>
      <w:r w:rsidR="00994E23" w:rsidRPr="004B6FC1">
        <w:rPr>
          <w:rFonts w:ascii="Book Antiqua" w:hAnsi="Book Antiqua"/>
        </w:rPr>
        <w:t xml:space="preserve">The issue of whether the </w:t>
      </w:r>
      <w:r w:rsidR="0063673C" w:rsidRPr="004B6FC1">
        <w:rPr>
          <w:rFonts w:ascii="Book Antiqua" w:hAnsi="Book Antiqua"/>
        </w:rPr>
        <w:t>Appellant</w:t>
      </w:r>
      <w:r w:rsidR="00994E23" w:rsidRPr="004B6FC1">
        <w:rPr>
          <w:rFonts w:ascii="Book Antiqua" w:hAnsi="Book Antiqua"/>
        </w:rPr>
        <w:t xml:space="preserve">s’ status in the UK was precarious is relevant to the </w:t>
      </w:r>
      <w:r w:rsidR="004727C8">
        <w:rPr>
          <w:rFonts w:ascii="Book Antiqua" w:hAnsi="Book Antiqua"/>
        </w:rPr>
        <w:t xml:space="preserve">assessment of proportionality. </w:t>
      </w:r>
      <w:r w:rsidR="00994E23" w:rsidRPr="004B6FC1">
        <w:rPr>
          <w:rFonts w:ascii="Book Antiqua" w:hAnsi="Book Antiqua"/>
        </w:rPr>
        <w:t xml:space="preserve">I find that the judge properly applied the decision of </w:t>
      </w:r>
      <w:r w:rsidR="00994E23" w:rsidRPr="004B6FC1">
        <w:rPr>
          <w:rFonts w:ascii="Book Antiqua" w:hAnsi="Book Antiqua"/>
          <w:u w:val="single"/>
        </w:rPr>
        <w:t>Agyarko</w:t>
      </w:r>
      <w:r w:rsidR="00994E23" w:rsidRPr="004B6FC1">
        <w:rPr>
          <w:rFonts w:ascii="Book Antiqua" w:hAnsi="Book Antiqua"/>
        </w:rPr>
        <w:t xml:space="preserve"> in looking at the </w:t>
      </w:r>
      <w:r w:rsidR="0063673C" w:rsidRPr="004B6FC1">
        <w:rPr>
          <w:rFonts w:ascii="Book Antiqua" w:hAnsi="Book Antiqua"/>
        </w:rPr>
        <w:t>Appellant</w:t>
      </w:r>
      <w:r w:rsidR="00994E23" w:rsidRPr="004B6FC1">
        <w:rPr>
          <w:rFonts w:ascii="Book Antiqua" w:hAnsi="Book Antiqua"/>
        </w:rPr>
        <w:t>s’ status in the UK and whether it was legitimat</w:t>
      </w:r>
      <w:r w:rsidR="004727C8">
        <w:rPr>
          <w:rFonts w:ascii="Book Antiqua" w:hAnsi="Book Antiqua"/>
        </w:rPr>
        <w:t xml:space="preserve">e for them to establish roots. </w:t>
      </w:r>
      <w:r w:rsidR="00CD7086">
        <w:rPr>
          <w:rFonts w:ascii="Book Antiqua" w:hAnsi="Book Antiqua"/>
        </w:rPr>
        <w:t>H</w:t>
      </w:r>
      <w:r w:rsidR="00C84C83" w:rsidRPr="004B6FC1">
        <w:rPr>
          <w:rFonts w:ascii="Book Antiqua" w:hAnsi="Book Antiqua"/>
        </w:rPr>
        <w:t>aving</w:t>
      </w:r>
      <w:r w:rsidR="001A346A" w:rsidRPr="004B6FC1">
        <w:rPr>
          <w:rFonts w:ascii="Book Antiqua" w:hAnsi="Book Antiqua"/>
        </w:rPr>
        <w:t xml:space="preserve"> found that there was family life,</w:t>
      </w:r>
      <w:r w:rsidR="00C84C83" w:rsidRPr="004B6FC1">
        <w:rPr>
          <w:rFonts w:ascii="Book Antiqua" w:hAnsi="Book Antiqua"/>
        </w:rPr>
        <w:t xml:space="preserve"> the judge</w:t>
      </w:r>
      <w:r>
        <w:rPr>
          <w:rFonts w:ascii="Book Antiqua" w:hAnsi="Book Antiqua"/>
        </w:rPr>
        <w:t xml:space="preserve"> considered</w:t>
      </w:r>
      <w:r w:rsidR="00830293">
        <w:rPr>
          <w:rFonts w:ascii="Book Antiqua" w:hAnsi="Book Antiqua"/>
        </w:rPr>
        <w:t xml:space="preserve"> whether the Appellants were</w:t>
      </w:r>
      <w:r w:rsidR="001A346A" w:rsidRPr="004B6FC1">
        <w:rPr>
          <w:rFonts w:ascii="Book Antiqua" w:hAnsi="Book Antiqua"/>
        </w:rPr>
        <w:t xml:space="preserve"> </w:t>
      </w:r>
      <w:r w:rsidR="00830293">
        <w:rPr>
          <w:rFonts w:ascii="Book Antiqua" w:hAnsi="Book Antiqua"/>
        </w:rPr>
        <w:t>‘</w:t>
      </w:r>
      <w:r w:rsidR="001A346A" w:rsidRPr="004B6FC1">
        <w:rPr>
          <w:rFonts w:ascii="Book Antiqua" w:hAnsi="Book Antiqua"/>
        </w:rPr>
        <w:t>entitl</w:t>
      </w:r>
      <w:r w:rsidR="00830293">
        <w:rPr>
          <w:rFonts w:ascii="Book Antiqua" w:hAnsi="Book Antiqua"/>
        </w:rPr>
        <w:t>ed’ to lay down roots in the UK.</w:t>
      </w:r>
      <w:r w:rsidR="001A346A" w:rsidRPr="004B6FC1">
        <w:rPr>
          <w:rFonts w:ascii="Book Antiqua" w:hAnsi="Book Antiqua"/>
        </w:rPr>
        <w:t xml:space="preserve"> They were not here on a temporary or unlawful basis</w:t>
      </w:r>
      <w:r w:rsidR="00830293">
        <w:rPr>
          <w:rFonts w:ascii="Book Antiqua" w:hAnsi="Book Antiqua"/>
        </w:rPr>
        <w:t>,</w:t>
      </w:r>
      <w:r w:rsidR="001A346A" w:rsidRPr="004B6FC1">
        <w:rPr>
          <w:rFonts w:ascii="Book Antiqua" w:hAnsi="Book Antiqua"/>
        </w:rPr>
        <w:t xml:space="preserve"> but as a result of their father’s indefinite </w:t>
      </w:r>
      <w:r>
        <w:rPr>
          <w:rFonts w:ascii="Book Antiqua" w:hAnsi="Book Antiqua"/>
        </w:rPr>
        <w:t>leave to remain granted in 2009</w:t>
      </w:r>
      <w:r w:rsidR="001A346A" w:rsidRPr="004B6FC1">
        <w:rPr>
          <w:rFonts w:ascii="Book Antiqua" w:hAnsi="Book Antiqua"/>
        </w:rPr>
        <w:t xml:space="preserve"> </w:t>
      </w:r>
      <w:r>
        <w:rPr>
          <w:rFonts w:ascii="Book Antiqua" w:hAnsi="Book Antiqua"/>
        </w:rPr>
        <w:t>(</w:t>
      </w:r>
      <w:r w:rsidR="001A346A" w:rsidRPr="004B6FC1">
        <w:rPr>
          <w:rFonts w:ascii="Book Antiqua" w:hAnsi="Book Antiqua"/>
        </w:rPr>
        <w:t xml:space="preserve">two years prior </w:t>
      </w:r>
      <w:r>
        <w:rPr>
          <w:rFonts w:ascii="Book Antiqua" w:hAnsi="Book Antiqua"/>
        </w:rPr>
        <w:t>to their arrival in the UK),</w:t>
      </w:r>
      <w:r w:rsidR="00830293">
        <w:rPr>
          <w:rFonts w:ascii="Book Antiqua" w:hAnsi="Book Antiqua"/>
        </w:rPr>
        <w:t xml:space="preserve"> </w:t>
      </w:r>
      <w:r w:rsidR="001A346A" w:rsidRPr="004B6FC1">
        <w:rPr>
          <w:rFonts w:ascii="Book Antiqua" w:hAnsi="Book Antiqua"/>
        </w:rPr>
        <w:t>their mother’s lawful grant of li</w:t>
      </w:r>
      <w:r w:rsidR="00830293">
        <w:rPr>
          <w:rFonts w:ascii="Book Antiqua" w:hAnsi="Book Antiqua"/>
        </w:rPr>
        <w:t xml:space="preserve">mited leave to remain and </w:t>
      </w:r>
      <w:r w:rsidR="001A346A" w:rsidRPr="004B6FC1">
        <w:rPr>
          <w:rFonts w:ascii="Book Antiqua" w:hAnsi="Book Antiqua"/>
        </w:rPr>
        <w:t>subsequent grant of indefinite leave to remain in 2016</w:t>
      </w:r>
      <w:r w:rsidR="00830293">
        <w:rPr>
          <w:rFonts w:ascii="Book Antiqua" w:hAnsi="Book Antiqua"/>
        </w:rPr>
        <w:t>, and their own grant of limited leave</w:t>
      </w:r>
      <w:r>
        <w:rPr>
          <w:rFonts w:ascii="Book Antiqua" w:hAnsi="Book Antiqua"/>
        </w:rPr>
        <w:t xml:space="preserve"> to enter</w:t>
      </w:r>
      <w:r w:rsidR="00830293">
        <w:rPr>
          <w:rFonts w:ascii="Book Antiqua" w:hAnsi="Book Antiqua"/>
        </w:rPr>
        <w:t>.</w:t>
      </w:r>
      <w:r>
        <w:rPr>
          <w:rFonts w:ascii="Book Antiqua" w:hAnsi="Book Antiqua"/>
        </w:rPr>
        <w:t xml:space="preserve"> </w:t>
      </w:r>
      <w:r w:rsidR="00C84C83" w:rsidRPr="004B6FC1">
        <w:rPr>
          <w:rFonts w:ascii="Book Antiqua" w:hAnsi="Book Antiqua"/>
        </w:rPr>
        <w:t>T</w:t>
      </w:r>
      <w:r w:rsidR="001A346A" w:rsidRPr="004B6FC1">
        <w:rPr>
          <w:rFonts w:ascii="Book Antiqua" w:hAnsi="Book Antiqua"/>
        </w:rPr>
        <w:t xml:space="preserve">he </w:t>
      </w:r>
      <w:r w:rsidR="0063673C" w:rsidRPr="004B6FC1">
        <w:rPr>
          <w:rFonts w:ascii="Book Antiqua" w:hAnsi="Book Antiqua"/>
        </w:rPr>
        <w:t>Appellant</w:t>
      </w:r>
      <w:r w:rsidR="00C84C83" w:rsidRPr="004B6FC1">
        <w:rPr>
          <w:rFonts w:ascii="Book Antiqua" w:hAnsi="Book Antiqua"/>
        </w:rPr>
        <w:t>s</w:t>
      </w:r>
      <w:r>
        <w:rPr>
          <w:rFonts w:ascii="Book Antiqua" w:hAnsi="Book Antiqua"/>
        </w:rPr>
        <w:t xml:space="preserve"> had</w:t>
      </w:r>
      <w:r w:rsidR="00830293">
        <w:rPr>
          <w:rFonts w:ascii="Book Antiqua" w:hAnsi="Book Antiqua"/>
        </w:rPr>
        <w:t xml:space="preserve"> remained in the UK</w:t>
      </w:r>
      <w:r w:rsidR="001A346A" w:rsidRPr="004B6FC1">
        <w:rPr>
          <w:rFonts w:ascii="Book Antiqua" w:hAnsi="Book Antiqua"/>
        </w:rPr>
        <w:t xml:space="preserve"> lawfully </w:t>
      </w:r>
      <w:r>
        <w:rPr>
          <w:rFonts w:ascii="Book Antiqua" w:hAnsi="Book Antiqua"/>
        </w:rPr>
        <w:t xml:space="preserve">for </w:t>
      </w:r>
      <w:r w:rsidR="00830293">
        <w:rPr>
          <w:rFonts w:ascii="Book Antiqua" w:hAnsi="Book Antiqua"/>
        </w:rPr>
        <w:t>six year</w:t>
      </w:r>
      <w:r>
        <w:rPr>
          <w:rFonts w:ascii="Book Antiqua" w:hAnsi="Book Antiqua"/>
        </w:rPr>
        <w:t>s (at the date of the First-tier Tribunal hearing)</w:t>
      </w:r>
      <w:r w:rsidR="00830293">
        <w:rPr>
          <w:rFonts w:ascii="Book Antiqua" w:hAnsi="Book Antiqua"/>
        </w:rPr>
        <w:t>.</w:t>
      </w:r>
      <w:r w:rsidR="001A346A" w:rsidRPr="004B6FC1">
        <w:rPr>
          <w:rFonts w:ascii="Book Antiqua" w:hAnsi="Book Antiqua"/>
        </w:rPr>
        <w:t xml:space="preserve"> </w:t>
      </w:r>
    </w:p>
    <w:p w:rsidR="00C84C83" w:rsidRPr="004B6FC1" w:rsidRDefault="00830293" w:rsidP="0063673C">
      <w:pPr>
        <w:keepNext/>
        <w:spacing w:before="100" w:beforeAutospacing="1" w:after="100" w:afterAutospacing="1"/>
        <w:ind w:left="567" w:hanging="567"/>
        <w:jc w:val="both"/>
        <w:rPr>
          <w:rFonts w:ascii="Book Antiqua" w:hAnsi="Book Antiqua"/>
        </w:rPr>
      </w:pPr>
      <w:r>
        <w:rPr>
          <w:rFonts w:ascii="Book Antiqua" w:hAnsi="Book Antiqua"/>
        </w:rPr>
        <w:t>13.</w:t>
      </w:r>
      <w:r>
        <w:rPr>
          <w:rFonts w:ascii="Book Antiqua" w:hAnsi="Book Antiqua"/>
        </w:rPr>
        <w:tab/>
      </w:r>
      <w:r w:rsidR="001A346A" w:rsidRPr="004B6FC1">
        <w:rPr>
          <w:rFonts w:ascii="Book Antiqua" w:hAnsi="Book Antiqua"/>
        </w:rPr>
        <w:t xml:space="preserve">The </w:t>
      </w:r>
      <w:r>
        <w:rPr>
          <w:rFonts w:ascii="Book Antiqua" w:hAnsi="Book Antiqua"/>
        </w:rPr>
        <w:t>Second and Third</w:t>
      </w:r>
      <w:r w:rsidR="001A346A" w:rsidRPr="004B6FC1">
        <w:rPr>
          <w:rFonts w:ascii="Book Antiqua" w:hAnsi="Book Antiqua"/>
        </w:rPr>
        <w:t xml:space="preserve"> </w:t>
      </w:r>
      <w:r w:rsidR="0063673C" w:rsidRPr="004B6FC1">
        <w:rPr>
          <w:rFonts w:ascii="Book Antiqua" w:hAnsi="Book Antiqua"/>
        </w:rPr>
        <w:t>Appellant</w:t>
      </w:r>
      <w:r w:rsidR="001A346A" w:rsidRPr="004B6FC1">
        <w:rPr>
          <w:rFonts w:ascii="Book Antiqua" w:hAnsi="Book Antiqua"/>
        </w:rPr>
        <w:t>s were under the age of 18 when they came to the UK</w:t>
      </w:r>
      <w:r>
        <w:rPr>
          <w:rFonts w:ascii="Book Antiqua" w:hAnsi="Book Antiqua"/>
        </w:rPr>
        <w:t xml:space="preserve">, they </w:t>
      </w:r>
      <w:r w:rsidR="001A346A" w:rsidRPr="004B6FC1">
        <w:rPr>
          <w:rFonts w:ascii="Book Antiqua" w:hAnsi="Book Antiqua"/>
        </w:rPr>
        <w:t xml:space="preserve">have never moved out of the family home and </w:t>
      </w:r>
      <w:r>
        <w:rPr>
          <w:rFonts w:ascii="Book Antiqua" w:hAnsi="Book Antiqua"/>
        </w:rPr>
        <w:t xml:space="preserve">they </w:t>
      </w:r>
      <w:r w:rsidR="001A346A" w:rsidRPr="004B6FC1">
        <w:rPr>
          <w:rFonts w:ascii="Book Antiqua" w:hAnsi="Book Antiqua"/>
        </w:rPr>
        <w:t>have nev</w:t>
      </w:r>
      <w:r>
        <w:rPr>
          <w:rFonts w:ascii="Book Antiqua" w:hAnsi="Book Antiqua"/>
        </w:rPr>
        <w:t>er been independent.  The First</w:t>
      </w:r>
      <w:r w:rsidR="001A346A" w:rsidRPr="004B6FC1">
        <w:rPr>
          <w:rFonts w:ascii="Book Antiqua" w:hAnsi="Book Antiqua"/>
        </w:rPr>
        <w:t xml:space="preserve"> </w:t>
      </w:r>
      <w:r w:rsidR="0063673C" w:rsidRPr="004B6FC1">
        <w:rPr>
          <w:rFonts w:ascii="Book Antiqua" w:hAnsi="Book Antiqua"/>
        </w:rPr>
        <w:t>Appellant</w:t>
      </w:r>
      <w:r w:rsidR="001A346A" w:rsidRPr="004B6FC1">
        <w:rPr>
          <w:rFonts w:ascii="Book Antiqua" w:hAnsi="Book Antiqua"/>
        </w:rPr>
        <w:t xml:space="preserve">, </w:t>
      </w:r>
      <w:r w:rsidR="00CD7086">
        <w:rPr>
          <w:rFonts w:ascii="Book Antiqua" w:hAnsi="Book Antiqua"/>
        </w:rPr>
        <w:t>was</w:t>
      </w:r>
      <w:r w:rsidR="001A346A" w:rsidRPr="004B6FC1">
        <w:rPr>
          <w:rFonts w:ascii="Book Antiqua" w:hAnsi="Book Antiqua"/>
        </w:rPr>
        <w:t xml:space="preserve"> an adult when he came to the UK,</w:t>
      </w:r>
      <w:r w:rsidR="00CD7086">
        <w:rPr>
          <w:rFonts w:ascii="Book Antiqua" w:hAnsi="Book Antiqua"/>
        </w:rPr>
        <w:t xml:space="preserve"> but he</w:t>
      </w:r>
      <w:r w:rsidR="001A346A" w:rsidRPr="004B6FC1">
        <w:rPr>
          <w:rFonts w:ascii="Book Antiqua" w:hAnsi="Book Antiqua"/>
        </w:rPr>
        <w:t xml:space="preserve"> was still part of the family unit an</w:t>
      </w:r>
      <w:r w:rsidR="00CD7086">
        <w:rPr>
          <w:rFonts w:ascii="Book Antiqua" w:hAnsi="Book Antiqua"/>
        </w:rPr>
        <w:t xml:space="preserve">d that situation </w:t>
      </w:r>
      <w:r>
        <w:rPr>
          <w:rFonts w:ascii="Book Antiqua" w:hAnsi="Book Antiqua"/>
        </w:rPr>
        <w:t xml:space="preserve">remained. </w:t>
      </w:r>
      <w:r w:rsidR="00CD7086">
        <w:rPr>
          <w:rFonts w:ascii="Book Antiqua" w:hAnsi="Book Antiqua"/>
        </w:rPr>
        <w:t>Although he had</w:t>
      </w:r>
      <w:r w:rsidR="001A346A" w:rsidRPr="004B6FC1">
        <w:rPr>
          <w:rFonts w:ascii="Book Antiqua" w:hAnsi="Book Antiqua"/>
        </w:rPr>
        <w:t xml:space="preserve"> beco</w:t>
      </w:r>
      <w:r w:rsidR="00CD7086">
        <w:rPr>
          <w:rFonts w:ascii="Book Antiqua" w:hAnsi="Book Antiqua"/>
        </w:rPr>
        <w:t>me independent financially and wa</w:t>
      </w:r>
      <w:r w:rsidR="001A346A" w:rsidRPr="004B6FC1">
        <w:rPr>
          <w:rFonts w:ascii="Book Antiqua" w:hAnsi="Book Antiqua"/>
        </w:rPr>
        <w:t>s working</w:t>
      </w:r>
      <w:r>
        <w:rPr>
          <w:rFonts w:ascii="Book Antiqua" w:hAnsi="Book Antiqua"/>
        </w:rPr>
        <w:t>,</w:t>
      </w:r>
      <w:r w:rsidR="00CD7086">
        <w:rPr>
          <w:rFonts w:ascii="Book Antiqua" w:hAnsi="Book Antiqua"/>
        </w:rPr>
        <w:t xml:space="preserve"> he provided</w:t>
      </w:r>
      <w:r w:rsidR="001A346A" w:rsidRPr="004B6FC1">
        <w:rPr>
          <w:rFonts w:ascii="Book Antiqua" w:hAnsi="Book Antiqua"/>
        </w:rPr>
        <w:t xml:space="preserve"> </w:t>
      </w:r>
      <w:r w:rsidR="00FD1C1A">
        <w:rPr>
          <w:rFonts w:ascii="Book Antiqua" w:hAnsi="Book Antiqua"/>
        </w:rPr>
        <w:t xml:space="preserve">financial </w:t>
      </w:r>
      <w:r w:rsidR="001A346A" w:rsidRPr="004B6FC1">
        <w:rPr>
          <w:rFonts w:ascii="Book Antiqua" w:hAnsi="Book Antiqua"/>
        </w:rPr>
        <w:t xml:space="preserve">support to </w:t>
      </w:r>
      <w:r w:rsidR="00CD7086">
        <w:rPr>
          <w:rFonts w:ascii="Book Antiqua" w:hAnsi="Book Antiqua"/>
        </w:rPr>
        <w:t xml:space="preserve">other members of the family. </w:t>
      </w:r>
    </w:p>
    <w:p w:rsidR="00830293" w:rsidRDefault="00830293" w:rsidP="0063673C">
      <w:pPr>
        <w:keepNext/>
        <w:spacing w:before="100" w:beforeAutospacing="1" w:after="100" w:afterAutospacing="1"/>
        <w:ind w:left="567" w:hanging="567"/>
        <w:jc w:val="both"/>
        <w:rPr>
          <w:rFonts w:ascii="Book Antiqua" w:hAnsi="Book Antiqua"/>
        </w:rPr>
      </w:pPr>
      <w:r>
        <w:rPr>
          <w:rFonts w:ascii="Book Antiqua" w:hAnsi="Book Antiqua"/>
        </w:rPr>
        <w:t>14</w:t>
      </w:r>
      <w:r w:rsidR="00C84C83" w:rsidRPr="004B6FC1">
        <w:rPr>
          <w:rFonts w:ascii="Book Antiqua" w:hAnsi="Book Antiqua"/>
        </w:rPr>
        <w:t>.</w:t>
      </w:r>
      <w:r w:rsidR="00C84C83" w:rsidRPr="004B6FC1">
        <w:rPr>
          <w:rFonts w:ascii="Book Antiqua" w:hAnsi="Book Antiqua"/>
        </w:rPr>
        <w:tab/>
      </w:r>
      <w:r w:rsidR="00FD1C1A">
        <w:rPr>
          <w:rFonts w:ascii="Book Antiqua" w:hAnsi="Book Antiqua"/>
        </w:rPr>
        <w:t>The judge found that t</w:t>
      </w:r>
      <w:r w:rsidR="001A346A" w:rsidRPr="004B6FC1">
        <w:rPr>
          <w:rFonts w:ascii="Book Antiqua" w:hAnsi="Book Antiqua"/>
        </w:rPr>
        <w:t xml:space="preserve">he </w:t>
      </w:r>
      <w:r w:rsidR="0063673C" w:rsidRPr="004B6FC1">
        <w:rPr>
          <w:rFonts w:ascii="Book Antiqua" w:hAnsi="Book Antiqua"/>
        </w:rPr>
        <w:t>Appellant</w:t>
      </w:r>
      <w:r w:rsidR="001A346A" w:rsidRPr="004B6FC1">
        <w:rPr>
          <w:rFonts w:ascii="Book Antiqua" w:hAnsi="Book Antiqua"/>
        </w:rPr>
        <w:t>s came to the UK as a family unit and have lived here lawfu</w:t>
      </w:r>
      <w:r w:rsidR="00344696">
        <w:rPr>
          <w:rFonts w:ascii="Book Antiqua" w:hAnsi="Book Antiqua"/>
        </w:rPr>
        <w:t xml:space="preserve">lly with their settled father. </w:t>
      </w:r>
      <w:r w:rsidR="001A346A" w:rsidRPr="004B6FC1">
        <w:rPr>
          <w:rFonts w:ascii="Book Antiqua" w:hAnsi="Book Antiqua"/>
        </w:rPr>
        <w:t>They were integrated in the UK and the</w:t>
      </w:r>
      <w:r>
        <w:rPr>
          <w:rFonts w:ascii="Book Antiqua" w:hAnsi="Book Antiqua"/>
        </w:rPr>
        <w:t xml:space="preserve"> Second and Third</w:t>
      </w:r>
      <w:r w:rsidR="001A346A" w:rsidRPr="004B6FC1">
        <w:rPr>
          <w:rFonts w:ascii="Book Antiqua" w:hAnsi="Book Antiqua"/>
        </w:rPr>
        <w:t xml:space="preserve"> </w:t>
      </w:r>
      <w:r w:rsidR="0063673C" w:rsidRPr="004B6FC1">
        <w:rPr>
          <w:rFonts w:ascii="Book Antiqua" w:hAnsi="Book Antiqua"/>
        </w:rPr>
        <w:t>Appellant</w:t>
      </w:r>
      <w:r w:rsidR="001A346A" w:rsidRPr="004B6FC1">
        <w:rPr>
          <w:rFonts w:ascii="Book Antiqua" w:hAnsi="Book Antiqua"/>
        </w:rPr>
        <w:t>s were still dependent,</w:t>
      </w:r>
      <w:r>
        <w:rPr>
          <w:rFonts w:ascii="Book Antiqua" w:hAnsi="Book Antiqua"/>
        </w:rPr>
        <w:t xml:space="preserve"> even though they were working.</w:t>
      </w:r>
      <w:r w:rsidR="001A346A" w:rsidRPr="004B6FC1">
        <w:rPr>
          <w:rFonts w:ascii="Book Antiqua" w:hAnsi="Book Antiqua"/>
        </w:rPr>
        <w:t xml:space="preserve"> </w:t>
      </w:r>
      <w:r w:rsidR="00FD1C1A">
        <w:rPr>
          <w:rFonts w:ascii="Book Antiqua" w:hAnsi="Book Antiqua"/>
        </w:rPr>
        <w:t>On the facts found by the judge, i</w:t>
      </w:r>
      <w:r w:rsidR="001A346A" w:rsidRPr="004B6FC1">
        <w:rPr>
          <w:rFonts w:ascii="Book Antiqua" w:hAnsi="Book Antiqua"/>
        </w:rPr>
        <w:t>t would be unjustifi</w:t>
      </w:r>
      <w:r>
        <w:rPr>
          <w:rFonts w:ascii="Book Antiqua" w:hAnsi="Book Antiqua"/>
        </w:rPr>
        <w:t>ably harsh to separate the First</w:t>
      </w:r>
      <w:r w:rsidR="001A346A" w:rsidRPr="004B6FC1">
        <w:rPr>
          <w:rFonts w:ascii="Book Antiqua" w:hAnsi="Book Antiqua"/>
        </w:rPr>
        <w:t xml:space="preserve"> </w:t>
      </w:r>
      <w:r w:rsidR="0063673C" w:rsidRPr="004B6FC1">
        <w:rPr>
          <w:rFonts w:ascii="Book Antiqua" w:hAnsi="Book Antiqua"/>
        </w:rPr>
        <w:t>Appellant</w:t>
      </w:r>
      <w:r w:rsidR="001A346A" w:rsidRPr="004B6FC1">
        <w:rPr>
          <w:rFonts w:ascii="Book Antiqua" w:hAnsi="Book Antiqua"/>
        </w:rPr>
        <w:t xml:space="preserve"> and return him to Sri Lanka just because </w:t>
      </w:r>
      <w:r>
        <w:rPr>
          <w:rFonts w:ascii="Book Antiqua" w:hAnsi="Book Antiqua"/>
        </w:rPr>
        <w:t>he was financially independent.</w:t>
      </w:r>
      <w:r w:rsidR="001A346A" w:rsidRPr="004B6FC1">
        <w:rPr>
          <w:rFonts w:ascii="Book Antiqua" w:hAnsi="Book Antiqua"/>
        </w:rPr>
        <w:t xml:space="preserve"> It would be disproportionate for him to return alone and it would also have unjustifiably harsh consequences for his parents who would lose his financial co</w:t>
      </w:r>
      <w:r>
        <w:rPr>
          <w:rFonts w:ascii="Book Antiqua" w:hAnsi="Book Antiqua"/>
        </w:rPr>
        <w:t xml:space="preserve">ntribution to the family unit. </w:t>
      </w:r>
    </w:p>
    <w:p w:rsidR="007E4547" w:rsidRPr="004B6FC1" w:rsidRDefault="00830293" w:rsidP="00CD7086">
      <w:pPr>
        <w:keepNext/>
        <w:spacing w:before="100" w:beforeAutospacing="1" w:after="100" w:afterAutospacing="1"/>
        <w:ind w:left="567" w:hanging="567"/>
        <w:jc w:val="both"/>
        <w:rPr>
          <w:rFonts w:ascii="Book Antiqua" w:hAnsi="Book Antiqua"/>
        </w:rPr>
      </w:pPr>
      <w:r>
        <w:rPr>
          <w:rFonts w:ascii="Book Antiqua" w:hAnsi="Book Antiqua"/>
        </w:rPr>
        <w:t>15.</w:t>
      </w:r>
      <w:r>
        <w:rPr>
          <w:rFonts w:ascii="Book Antiqua" w:hAnsi="Book Antiqua"/>
        </w:rPr>
        <w:tab/>
      </w:r>
      <w:r w:rsidR="001A346A" w:rsidRPr="004B6FC1">
        <w:rPr>
          <w:rFonts w:ascii="Book Antiqua" w:hAnsi="Book Antiqua"/>
        </w:rPr>
        <w:t xml:space="preserve">I find that the judge properly applied </w:t>
      </w:r>
      <w:r w:rsidR="001A346A" w:rsidRPr="004B6FC1">
        <w:rPr>
          <w:rFonts w:ascii="Book Antiqua" w:hAnsi="Book Antiqua"/>
          <w:u w:val="single"/>
        </w:rPr>
        <w:t>Agyarko</w:t>
      </w:r>
      <w:r w:rsidR="001A346A" w:rsidRPr="004B6FC1">
        <w:rPr>
          <w:rFonts w:ascii="Book Antiqua" w:hAnsi="Book Antiqua"/>
        </w:rPr>
        <w:t xml:space="preserve">, initially looking at the status of the </w:t>
      </w:r>
      <w:r w:rsidR="0063673C" w:rsidRPr="004B6FC1">
        <w:rPr>
          <w:rFonts w:ascii="Book Antiqua" w:hAnsi="Book Antiqua"/>
        </w:rPr>
        <w:t>Appellant</w:t>
      </w:r>
      <w:r w:rsidR="001A346A" w:rsidRPr="004B6FC1">
        <w:rPr>
          <w:rFonts w:ascii="Book Antiqua" w:hAnsi="Book Antiqua"/>
        </w:rPr>
        <w:t xml:space="preserve">s in the UK and </w:t>
      </w:r>
      <w:r w:rsidR="0063673C" w:rsidRPr="004B6FC1">
        <w:rPr>
          <w:rFonts w:ascii="Book Antiqua" w:hAnsi="Book Antiqua"/>
        </w:rPr>
        <w:t xml:space="preserve">whether </w:t>
      </w:r>
      <w:r w:rsidR="00344696">
        <w:rPr>
          <w:rFonts w:ascii="Book Antiqua" w:hAnsi="Book Antiqua"/>
        </w:rPr>
        <w:t>it was legitimate for the</w:t>
      </w:r>
      <w:r w:rsidR="00CD7086">
        <w:rPr>
          <w:rFonts w:ascii="Book Antiqua" w:hAnsi="Book Antiqua"/>
        </w:rPr>
        <w:t>m</w:t>
      </w:r>
      <w:r w:rsidR="00344696">
        <w:rPr>
          <w:rFonts w:ascii="Book Antiqua" w:hAnsi="Book Antiqua"/>
        </w:rPr>
        <w:t xml:space="preserve"> to establish family life and </w:t>
      </w:r>
      <w:r>
        <w:rPr>
          <w:rFonts w:ascii="Book Antiqua" w:hAnsi="Book Antiqua"/>
        </w:rPr>
        <w:t>set down roots.</w:t>
      </w:r>
      <w:r w:rsidR="00344696">
        <w:rPr>
          <w:rFonts w:ascii="Book Antiqua" w:hAnsi="Book Antiqua"/>
        </w:rPr>
        <w:t xml:space="preserve"> He put his findings on this issue</w:t>
      </w:r>
      <w:r w:rsidR="00344696" w:rsidRPr="004B6FC1">
        <w:rPr>
          <w:rFonts w:ascii="Book Antiqua" w:hAnsi="Book Antiqua"/>
        </w:rPr>
        <w:t xml:space="preserve"> into the balance with all other factors </w:t>
      </w:r>
      <w:r w:rsidR="00344696">
        <w:rPr>
          <w:rFonts w:ascii="Book Antiqua" w:hAnsi="Book Antiqua"/>
        </w:rPr>
        <w:t>when he</w:t>
      </w:r>
      <w:r w:rsidR="00344696" w:rsidRPr="004B6FC1">
        <w:rPr>
          <w:rFonts w:ascii="Book Antiqua" w:hAnsi="Book Antiqua"/>
        </w:rPr>
        <w:t xml:space="preserve"> </w:t>
      </w:r>
      <w:r w:rsidR="00344696">
        <w:rPr>
          <w:rFonts w:ascii="Book Antiqua" w:hAnsi="Book Antiqua"/>
        </w:rPr>
        <w:t>assessed</w:t>
      </w:r>
      <w:r w:rsidR="00344696" w:rsidRPr="004B6FC1">
        <w:rPr>
          <w:rFonts w:ascii="Book Antiqua" w:hAnsi="Book Antiqua"/>
        </w:rPr>
        <w:t xml:space="preserve"> proportionality</w:t>
      </w:r>
      <w:r w:rsidR="00344696">
        <w:rPr>
          <w:rFonts w:ascii="Book Antiqua" w:hAnsi="Book Antiqua"/>
        </w:rPr>
        <w:t xml:space="preserve">. </w:t>
      </w:r>
      <w:r w:rsidR="007E4547">
        <w:rPr>
          <w:rFonts w:ascii="Book Antiqua" w:hAnsi="Book Antiqua"/>
        </w:rPr>
        <w:t>The judge’s finding that the Appellants’</w:t>
      </w:r>
      <w:bookmarkStart w:id="6" w:name="_GoBack"/>
      <w:bookmarkEnd w:id="6"/>
      <w:r w:rsidR="007E4547">
        <w:rPr>
          <w:rFonts w:ascii="Book Antiqua" w:hAnsi="Book Antiqua"/>
        </w:rPr>
        <w:t xml:space="preserve"> right to family life outweighed the public interest in removal was open to him on the evidence before him.</w:t>
      </w:r>
    </w:p>
    <w:p w:rsidR="001D78DF" w:rsidRDefault="00830293" w:rsidP="0063673C">
      <w:pPr>
        <w:keepNext/>
        <w:spacing w:before="100" w:beforeAutospacing="1" w:after="100" w:afterAutospacing="1"/>
        <w:ind w:left="567" w:hanging="567"/>
        <w:jc w:val="both"/>
        <w:rPr>
          <w:rFonts w:ascii="Book Antiqua" w:hAnsi="Book Antiqua"/>
        </w:rPr>
      </w:pPr>
      <w:r>
        <w:rPr>
          <w:rFonts w:ascii="Book Antiqua" w:hAnsi="Book Antiqua"/>
        </w:rPr>
        <w:t>16</w:t>
      </w:r>
      <w:r w:rsidR="00C84C83" w:rsidRPr="004B6FC1">
        <w:rPr>
          <w:rFonts w:ascii="Book Antiqua" w:hAnsi="Book Antiqua"/>
        </w:rPr>
        <w:t>.</w:t>
      </w:r>
      <w:r w:rsidR="00C84C83" w:rsidRPr="004B6FC1">
        <w:rPr>
          <w:rFonts w:ascii="Book Antiqua" w:hAnsi="Book Antiqua"/>
        </w:rPr>
        <w:tab/>
      </w:r>
      <w:r w:rsidR="0063673C" w:rsidRPr="004B6FC1">
        <w:rPr>
          <w:rFonts w:ascii="Book Antiqua" w:hAnsi="Book Antiqua"/>
        </w:rPr>
        <w:t>Accordingly, I find that there was no error of law in the judge’s decision dated 16 November 2017</w:t>
      </w:r>
      <w:r>
        <w:rPr>
          <w:rFonts w:ascii="Book Antiqua" w:hAnsi="Book Antiqua"/>
        </w:rPr>
        <w:t xml:space="preserve"> and </w:t>
      </w:r>
      <w:r w:rsidR="0063673C" w:rsidRPr="004B6FC1">
        <w:rPr>
          <w:rFonts w:ascii="Book Antiqua" w:hAnsi="Book Antiqua"/>
        </w:rPr>
        <w:t xml:space="preserve">I dismiss the Secretary of State’s appeal to the Upper Tribunal.  </w:t>
      </w:r>
    </w:p>
    <w:p w:rsidR="00830293" w:rsidRPr="004B6FC1" w:rsidRDefault="00830293" w:rsidP="0063673C">
      <w:pPr>
        <w:keepNext/>
        <w:spacing w:before="100" w:beforeAutospacing="1" w:after="100" w:afterAutospacing="1"/>
        <w:ind w:left="567" w:hanging="567"/>
        <w:jc w:val="both"/>
        <w:rPr>
          <w:rFonts w:ascii="Book Antiqua" w:hAnsi="Book Antiqua"/>
        </w:rPr>
      </w:pPr>
    </w:p>
    <w:bookmarkEnd w:id="0"/>
    <w:p w:rsidR="00265B39" w:rsidRPr="004B6FC1" w:rsidRDefault="00265B39" w:rsidP="00265B39">
      <w:pPr>
        <w:jc w:val="both"/>
        <w:rPr>
          <w:rFonts w:ascii="Book Antiqua" w:hAnsi="Book Antiqua" w:cs="Arial"/>
          <w:b/>
          <w:u w:val="single"/>
        </w:rPr>
      </w:pPr>
      <w:r w:rsidRPr="004B6FC1">
        <w:rPr>
          <w:rFonts w:ascii="Book Antiqua" w:hAnsi="Book Antiqua" w:cs="Arial"/>
          <w:b/>
          <w:u w:val="single"/>
        </w:rPr>
        <w:t>Notice of Decision</w:t>
      </w:r>
    </w:p>
    <w:p w:rsidR="00265B39" w:rsidRPr="004B6FC1" w:rsidRDefault="00265B39" w:rsidP="00265B39">
      <w:pPr>
        <w:jc w:val="both"/>
        <w:rPr>
          <w:rFonts w:ascii="Book Antiqua" w:hAnsi="Book Antiqua" w:cs="Arial"/>
        </w:rPr>
      </w:pPr>
    </w:p>
    <w:p w:rsidR="00913820" w:rsidRPr="007E4547" w:rsidRDefault="00913820" w:rsidP="00913820">
      <w:pPr>
        <w:jc w:val="both"/>
        <w:rPr>
          <w:rFonts w:ascii="Book Antiqua" w:hAnsi="Book Antiqua"/>
          <w:b/>
        </w:rPr>
      </w:pPr>
      <w:r w:rsidRPr="007E4547">
        <w:rPr>
          <w:rFonts w:ascii="Book Antiqua" w:hAnsi="Book Antiqua" w:cs="Arial"/>
          <w:b/>
        </w:rPr>
        <w:t xml:space="preserve">The appeal is </w:t>
      </w:r>
      <w:r w:rsidR="0063673C" w:rsidRPr="007E4547">
        <w:rPr>
          <w:rFonts w:ascii="Book Antiqua" w:hAnsi="Book Antiqua" w:cs="Arial"/>
          <w:b/>
        </w:rPr>
        <w:t>dismissed.</w:t>
      </w:r>
    </w:p>
    <w:p w:rsidR="00913820" w:rsidRPr="007E4547" w:rsidRDefault="00913820" w:rsidP="00913820">
      <w:pPr>
        <w:jc w:val="both"/>
        <w:rPr>
          <w:rFonts w:ascii="Book Antiqua" w:hAnsi="Book Antiqua" w:cs="Arial"/>
          <w:b/>
        </w:rPr>
      </w:pPr>
    </w:p>
    <w:p w:rsidR="00265B39" w:rsidRPr="007E4547" w:rsidRDefault="00265B39" w:rsidP="00265B39">
      <w:pPr>
        <w:jc w:val="both"/>
        <w:rPr>
          <w:rFonts w:ascii="Book Antiqua" w:hAnsi="Book Antiqua" w:cs="Arial"/>
          <w:b/>
        </w:rPr>
      </w:pPr>
      <w:r w:rsidRPr="007E4547">
        <w:rPr>
          <w:rFonts w:ascii="Book Antiqua" w:hAnsi="Book Antiqua" w:cs="Arial"/>
          <w:b/>
        </w:rPr>
        <w:t>No anonymity direction is made.</w:t>
      </w:r>
    </w:p>
    <w:p w:rsidR="00265B39" w:rsidRPr="004B6FC1" w:rsidRDefault="00265B39" w:rsidP="00265B39">
      <w:pPr>
        <w:jc w:val="both"/>
        <w:rPr>
          <w:rFonts w:ascii="Book Antiqua" w:hAnsi="Book Antiqua" w:cs="Arial"/>
        </w:rPr>
      </w:pPr>
    </w:p>
    <w:p w:rsidR="008616F5" w:rsidRPr="004B6FC1" w:rsidRDefault="008616F5" w:rsidP="00265B39">
      <w:pPr>
        <w:jc w:val="both"/>
        <w:rPr>
          <w:rFonts w:ascii="Book Antiqua" w:hAnsi="Book Antiqua" w:cs="Arial"/>
        </w:rPr>
      </w:pPr>
    </w:p>
    <w:p w:rsidR="00830293" w:rsidRPr="00830293" w:rsidRDefault="00830293"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1F2716"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830293">
        <w:rPr>
          <w:rFonts w:ascii="Book Antiqua" w:hAnsi="Book Antiqua" w:cs="Arial"/>
        </w:rPr>
        <w:t>: 4 June 2018</w:t>
      </w:r>
    </w:p>
    <w:p w:rsidR="00830293" w:rsidRPr="000704BB" w:rsidRDefault="00830293" w:rsidP="00265B39">
      <w:pPr>
        <w:jc w:val="both"/>
        <w:rPr>
          <w:rFonts w:ascii="Book Antiqua" w:hAnsi="Book Antiqua" w:cs="Arial"/>
        </w:rPr>
      </w:pPr>
    </w:p>
    <w:p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p w:rsidR="00B95326" w:rsidRPr="000704BB" w:rsidRDefault="00B95326" w:rsidP="00847320">
      <w:pPr>
        <w:jc w:val="both"/>
      </w:pPr>
    </w:p>
    <w:sectPr w:rsidR="00B95326" w:rsidRPr="000704BB" w:rsidSect="0028171D">
      <w:headerReference w:type="default" r:id="rId7"/>
      <w:footerReference w:type="default" r:id="rId8"/>
      <w:headerReference w:type="first" r:id="rId9"/>
      <w:footerReference w:type="first" r:id="rId10"/>
      <w:pgSz w:w="11906" w:h="16838"/>
      <w:pgMar w:top="709"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242" w:rsidRDefault="009A1242">
      <w:r>
        <w:separator/>
      </w:r>
    </w:p>
  </w:endnote>
  <w:endnote w:type="continuationSeparator" w:id="0">
    <w:p w:rsidR="009A1242" w:rsidRDefault="009A1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F03" w:rsidRPr="0028171D" w:rsidRDefault="001B2F03" w:rsidP="00593795">
    <w:pPr>
      <w:pStyle w:val="Footer"/>
      <w:jc w:val="center"/>
      <w:rPr>
        <w:rFonts w:ascii="Book Antiqua" w:hAnsi="Book Antiqua" w:cs="Arial"/>
      </w:rPr>
    </w:pPr>
    <w:r w:rsidRPr="0028171D">
      <w:rPr>
        <w:rStyle w:val="PageNumber"/>
        <w:rFonts w:ascii="Book Antiqua" w:hAnsi="Book Antiqua" w:cs="Arial"/>
      </w:rPr>
      <w:fldChar w:fldCharType="begin"/>
    </w:r>
    <w:r w:rsidRPr="0028171D">
      <w:rPr>
        <w:rStyle w:val="PageNumber"/>
        <w:rFonts w:ascii="Book Antiqua" w:hAnsi="Book Antiqua" w:cs="Arial"/>
      </w:rPr>
      <w:instrText xml:space="preserve"> PAGE </w:instrText>
    </w:r>
    <w:r w:rsidRPr="0028171D">
      <w:rPr>
        <w:rStyle w:val="PageNumber"/>
        <w:rFonts w:ascii="Book Antiqua" w:hAnsi="Book Antiqua" w:cs="Arial"/>
      </w:rPr>
      <w:fldChar w:fldCharType="separate"/>
    </w:r>
    <w:r w:rsidR="00284704">
      <w:rPr>
        <w:rStyle w:val="PageNumber"/>
        <w:rFonts w:ascii="Book Antiqua" w:hAnsi="Book Antiqua" w:cs="Arial"/>
        <w:noProof/>
      </w:rPr>
      <w:t>8</w:t>
    </w:r>
    <w:r w:rsidRPr="0028171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F03" w:rsidRPr="00B01A4F" w:rsidRDefault="001B2F03" w:rsidP="00DE5E10">
    <w:pPr>
      <w:jc w:val="center"/>
      <w:rPr>
        <w:rFonts w:ascii="Book Antiqua" w:hAnsi="Book Antiqua" w:cs="Arial"/>
        <w:b/>
      </w:rPr>
    </w:pPr>
    <w:r w:rsidRPr="00B01A4F">
      <w:rPr>
        <w:rFonts w:ascii="Book Antiqua" w:hAnsi="Book Antiqua" w:cs="Arial"/>
        <w:b/>
        <w:spacing w:val="-6"/>
      </w:rPr>
      <w:t>©</w:t>
    </w:r>
    <w:r w:rsidRPr="00B01A4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242" w:rsidRDefault="009A1242">
      <w:r>
        <w:separator/>
      </w:r>
    </w:p>
  </w:footnote>
  <w:footnote w:type="continuationSeparator" w:id="0">
    <w:p w:rsidR="009A1242" w:rsidRDefault="009A1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F03" w:rsidRPr="00994A93" w:rsidRDefault="001B2F03" w:rsidP="00593795">
    <w:pPr>
      <w:pStyle w:val="Header"/>
      <w:jc w:val="right"/>
      <w:rPr>
        <w:rFonts w:ascii="Book Antiqua" w:hAnsi="Book Antiqua" w:cs="Arial"/>
        <w:sz w:val="20"/>
        <w:szCs w:val="16"/>
      </w:rPr>
    </w:pPr>
    <w:r w:rsidRPr="00994A93">
      <w:rPr>
        <w:rFonts w:ascii="Book Antiqua" w:hAnsi="Book Antiqua" w:cs="Arial"/>
        <w:sz w:val="20"/>
        <w:szCs w:val="16"/>
      </w:rPr>
      <w:t>Appeal Numbers:  HU/17536/2016</w:t>
    </w:r>
  </w:p>
  <w:p w:rsidR="001B2F03" w:rsidRPr="00994A93" w:rsidRDefault="001B2F03" w:rsidP="00593795">
    <w:pPr>
      <w:pStyle w:val="Header"/>
      <w:jc w:val="right"/>
      <w:rPr>
        <w:rFonts w:ascii="Book Antiqua" w:hAnsi="Book Antiqua" w:cs="Arial"/>
        <w:sz w:val="20"/>
        <w:szCs w:val="16"/>
      </w:rPr>
    </w:pPr>
    <w:r w:rsidRPr="00994A93">
      <w:rPr>
        <w:rFonts w:ascii="Book Antiqua" w:hAnsi="Book Antiqua" w:cs="Arial"/>
        <w:sz w:val="20"/>
        <w:szCs w:val="16"/>
      </w:rPr>
      <w:t>HU/17543/2016</w:t>
    </w:r>
  </w:p>
  <w:p w:rsidR="001B2F03" w:rsidRDefault="001B2F03" w:rsidP="00593795">
    <w:pPr>
      <w:pStyle w:val="Header"/>
      <w:jc w:val="right"/>
      <w:rPr>
        <w:rFonts w:ascii="Book Antiqua" w:hAnsi="Book Antiqua" w:cs="Arial"/>
        <w:sz w:val="20"/>
        <w:szCs w:val="16"/>
      </w:rPr>
    </w:pPr>
    <w:r w:rsidRPr="00994A93">
      <w:rPr>
        <w:rFonts w:ascii="Book Antiqua" w:hAnsi="Book Antiqua" w:cs="Arial"/>
        <w:sz w:val="20"/>
        <w:szCs w:val="16"/>
      </w:rPr>
      <w:t>HU/17544/2016</w:t>
    </w:r>
  </w:p>
  <w:p w:rsidR="00994A93" w:rsidRPr="00994A93" w:rsidRDefault="00994A93" w:rsidP="00593795">
    <w:pPr>
      <w:pStyle w:val="Header"/>
      <w:jc w:val="right"/>
      <w:rPr>
        <w:rFonts w:ascii="Book Antiqua" w:hAnsi="Book Antiqua" w:cs="Arial"/>
        <w:sz w:val="20"/>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F03" w:rsidRPr="000704BB" w:rsidRDefault="001B2F03">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6F"/>
    <w:rsid w:val="00000621"/>
    <w:rsid w:val="000036C2"/>
    <w:rsid w:val="00024D27"/>
    <w:rsid w:val="00033D3D"/>
    <w:rsid w:val="00046259"/>
    <w:rsid w:val="000472AC"/>
    <w:rsid w:val="000553C8"/>
    <w:rsid w:val="00062F02"/>
    <w:rsid w:val="000704BB"/>
    <w:rsid w:val="00071A7E"/>
    <w:rsid w:val="000746C0"/>
    <w:rsid w:val="00074D1D"/>
    <w:rsid w:val="00081737"/>
    <w:rsid w:val="00084A1F"/>
    <w:rsid w:val="00092580"/>
    <w:rsid w:val="00093D4D"/>
    <w:rsid w:val="000A2B4E"/>
    <w:rsid w:val="000B5144"/>
    <w:rsid w:val="000D5D94"/>
    <w:rsid w:val="000E4C81"/>
    <w:rsid w:val="000F1A0E"/>
    <w:rsid w:val="00112EC1"/>
    <w:rsid w:val="00113556"/>
    <w:rsid w:val="001165A7"/>
    <w:rsid w:val="00117E31"/>
    <w:rsid w:val="001361F9"/>
    <w:rsid w:val="0014065D"/>
    <w:rsid w:val="0014366D"/>
    <w:rsid w:val="00144C70"/>
    <w:rsid w:val="001460C5"/>
    <w:rsid w:val="00150C5F"/>
    <w:rsid w:val="00160536"/>
    <w:rsid w:val="00163E87"/>
    <w:rsid w:val="00167D3A"/>
    <w:rsid w:val="00185FD1"/>
    <w:rsid w:val="00190911"/>
    <w:rsid w:val="001A07E6"/>
    <w:rsid w:val="001A3082"/>
    <w:rsid w:val="001A346A"/>
    <w:rsid w:val="001A68A3"/>
    <w:rsid w:val="001B186A"/>
    <w:rsid w:val="001B2F03"/>
    <w:rsid w:val="001B2F75"/>
    <w:rsid w:val="001C2D96"/>
    <w:rsid w:val="001C5B44"/>
    <w:rsid w:val="001D78DF"/>
    <w:rsid w:val="001F2716"/>
    <w:rsid w:val="00207617"/>
    <w:rsid w:val="0021721E"/>
    <w:rsid w:val="0022369D"/>
    <w:rsid w:val="0023134B"/>
    <w:rsid w:val="00231861"/>
    <w:rsid w:val="00263256"/>
    <w:rsid w:val="00265B39"/>
    <w:rsid w:val="0028171D"/>
    <w:rsid w:val="00283659"/>
    <w:rsid w:val="00284704"/>
    <w:rsid w:val="002A0895"/>
    <w:rsid w:val="002A661D"/>
    <w:rsid w:val="002C6BD4"/>
    <w:rsid w:val="002D5312"/>
    <w:rsid w:val="002D68BF"/>
    <w:rsid w:val="002E2FF1"/>
    <w:rsid w:val="002F4FF0"/>
    <w:rsid w:val="002F6B98"/>
    <w:rsid w:val="00305E86"/>
    <w:rsid w:val="00310101"/>
    <w:rsid w:val="00316F3F"/>
    <w:rsid w:val="0033240F"/>
    <w:rsid w:val="00336CBF"/>
    <w:rsid w:val="00343FE3"/>
    <w:rsid w:val="00344696"/>
    <w:rsid w:val="003546C8"/>
    <w:rsid w:val="00356224"/>
    <w:rsid w:val="003710D6"/>
    <w:rsid w:val="0039262C"/>
    <w:rsid w:val="003A194F"/>
    <w:rsid w:val="003A67A4"/>
    <w:rsid w:val="003A7CF2"/>
    <w:rsid w:val="003C5CE5"/>
    <w:rsid w:val="003E267B"/>
    <w:rsid w:val="003E530F"/>
    <w:rsid w:val="003E7CD1"/>
    <w:rsid w:val="00402B9E"/>
    <w:rsid w:val="00417E30"/>
    <w:rsid w:val="004249CB"/>
    <w:rsid w:val="0044127D"/>
    <w:rsid w:val="004448DB"/>
    <w:rsid w:val="00446C9A"/>
    <w:rsid w:val="00452F2B"/>
    <w:rsid w:val="00462C42"/>
    <w:rsid w:val="004727C8"/>
    <w:rsid w:val="00477193"/>
    <w:rsid w:val="004A107D"/>
    <w:rsid w:val="004A1848"/>
    <w:rsid w:val="004A3A42"/>
    <w:rsid w:val="004A6F4A"/>
    <w:rsid w:val="004B6FC1"/>
    <w:rsid w:val="004C731A"/>
    <w:rsid w:val="004D5558"/>
    <w:rsid w:val="004E0F3D"/>
    <w:rsid w:val="004E4717"/>
    <w:rsid w:val="00507FEC"/>
    <w:rsid w:val="00510F0E"/>
    <w:rsid w:val="00535861"/>
    <w:rsid w:val="005479E1"/>
    <w:rsid w:val="00553E0A"/>
    <w:rsid w:val="005570FD"/>
    <w:rsid w:val="005575EA"/>
    <w:rsid w:val="00564EAF"/>
    <w:rsid w:val="0057790C"/>
    <w:rsid w:val="00580FC5"/>
    <w:rsid w:val="0058562F"/>
    <w:rsid w:val="00593795"/>
    <w:rsid w:val="005A75FF"/>
    <w:rsid w:val="005C2522"/>
    <w:rsid w:val="005D10AB"/>
    <w:rsid w:val="00601D8F"/>
    <w:rsid w:val="0062519A"/>
    <w:rsid w:val="006264CB"/>
    <w:rsid w:val="0063673C"/>
    <w:rsid w:val="00643BFC"/>
    <w:rsid w:val="00647A89"/>
    <w:rsid w:val="00653E97"/>
    <w:rsid w:val="006701F7"/>
    <w:rsid w:val="00684A74"/>
    <w:rsid w:val="00690B8A"/>
    <w:rsid w:val="00691305"/>
    <w:rsid w:val="0069626A"/>
    <w:rsid w:val="006D7E96"/>
    <w:rsid w:val="006F2CF1"/>
    <w:rsid w:val="006F5167"/>
    <w:rsid w:val="007038ED"/>
    <w:rsid w:val="00703BC3"/>
    <w:rsid w:val="00704B61"/>
    <w:rsid w:val="0071355E"/>
    <w:rsid w:val="00715828"/>
    <w:rsid w:val="00725751"/>
    <w:rsid w:val="00744A2D"/>
    <w:rsid w:val="00750E2B"/>
    <w:rsid w:val="007552A9"/>
    <w:rsid w:val="00761858"/>
    <w:rsid w:val="00767D59"/>
    <w:rsid w:val="00776E97"/>
    <w:rsid w:val="0077715E"/>
    <w:rsid w:val="00780F86"/>
    <w:rsid w:val="007912AD"/>
    <w:rsid w:val="007952AC"/>
    <w:rsid w:val="00797649"/>
    <w:rsid w:val="007B0824"/>
    <w:rsid w:val="007B1310"/>
    <w:rsid w:val="007B5D3C"/>
    <w:rsid w:val="007E4547"/>
    <w:rsid w:val="007F2A46"/>
    <w:rsid w:val="008050D9"/>
    <w:rsid w:val="00806249"/>
    <w:rsid w:val="0082060F"/>
    <w:rsid w:val="00821B72"/>
    <w:rsid w:val="00823EF2"/>
    <w:rsid w:val="00830293"/>
    <w:rsid w:val="008303B8"/>
    <w:rsid w:val="00830442"/>
    <w:rsid w:val="00833DCE"/>
    <w:rsid w:val="00847320"/>
    <w:rsid w:val="008616F5"/>
    <w:rsid w:val="00871D34"/>
    <w:rsid w:val="008A5D70"/>
    <w:rsid w:val="008B1ACE"/>
    <w:rsid w:val="008B270C"/>
    <w:rsid w:val="008B5078"/>
    <w:rsid w:val="008C2148"/>
    <w:rsid w:val="008C3D3D"/>
    <w:rsid w:val="008C61E2"/>
    <w:rsid w:val="008D4131"/>
    <w:rsid w:val="008E45AC"/>
    <w:rsid w:val="008F1932"/>
    <w:rsid w:val="008F341C"/>
    <w:rsid w:val="0090339A"/>
    <w:rsid w:val="00906B2F"/>
    <w:rsid w:val="00913820"/>
    <w:rsid w:val="00921062"/>
    <w:rsid w:val="00922C55"/>
    <w:rsid w:val="00937A36"/>
    <w:rsid w:val="00951CD0"/>
    <w:rsid w:val="00963566"/>
    <w:rsid w:val="009722BC"/>
    <w:rsid w:val="009727A3"/>
    <w:rsid w:val="00977FC0"/>
    <w:rsid w:val="00987774"/>
    <w:rsid w:val="00994A93"/>
    <w:rsid w:val="00994E23"/>
    <w:rsid w:val="009A11E8"/>
    <w:rsid w:val="009A1242"/>
    <w:rsid w:val="009C16B5"/>
    <w:rsid w:val="009D3D00"/>
    <w:rsid w:val="009E21C5"/>
    <w:rsid w:val="009E78DF"/>
    <w:rsid w:val="009F368D"/>
    <w:rsid w:val="009F4A7D"/>
    <w:rsid w:val="009F5220"/>
    <w:rsid w:val="00A15234"/>
    <w:rsid w:val="00A201AB"/>
    <w:rsid w:val="00A24F4E"/>
    <w:rsid w:val="00A31C8B"/>
    <w:rsid w:val="00A509FA"/>
    <w:rsid w:val="00A71C11"/>
    <w:rsid w:val="00A845DC"/>
    <w:rsid w:val="00AD159E"/>
    <w:rsid w:val="00B01A4F"/>
    <w:rsid w:val="00B07E6A"/>
    <w:rsid w:val="00B1111A"/>
    <w:rsid w:val="00B26AA2"/>
    <w:rsid w:val="00B3524D"/>
    <w:rsid w:val="00B40F69"/>
    <w:rsid w:val="00B46616"/>
    <w:rsid w:val="00B50023"/>
    <w:rsid w:val="00B50B64"/>
    <w:rsid w:val="00B65D5C"/>
    <w:rsid w:val="00B70313"/>
    <w:rsid w:val="00B7040A"/>
    <w:rsid w:val="00B75883"/>
    <w:rsid w:val="00B83391"/>
    <w:rsid w:val="00B95326"/>
    <w:rsid w:val="00BD02B4"/>
    <w:rsid w:val="00BD4196"/>
    <w:rsid w:val="00BE5645"/>
    <w:rsid w:val="00BF22CA"/>
    <w:rsid w:val="00BF23BB"/>
    <w:rsid w:val="00C033F5"/>
    <w:rsid w:val="00C20139"/>
    <w:rsid w:val="00C26032"/>
    <w:rsid w:val="00C30E3C"/>
    <w:rsid w:val="00C345E1"/>
    <w:rsid w:val="00C43BFD"/>
    <w:rsid w:val="00C50D86"/>
    <w:rsid w:val="00C643A0"/>
    <w:rsid w:val="00C77BDD"/>
    <w:rsid w:val="00C84C83"/>
    <w:rsid w:val="00C86051"/>
    <w:rsid w:val="00C93A95"/>
    <w:rsid w:val="00CA76FD"/>
    <w:rsid w:val="00CB32F9"/>
    <w:rsid w:val="00CB51E1"/>
    <w:rsid w:val="00CB6E35"/>
    <w:rsid w:val="00CD6010"/>
    <w:rsid w:val="00CD7086"/>
    <w:rsid w:val="00CE1A46"/>
    <w:rsid w:val="00CE2D36"/>
    <w:rsid w:val="00D14641"/>
    <w:rsid w:val="00D17CC5"/>
    <w:rsid w:val="00D20757"/>
    <w:rsid w:val="00D22636"/>
    <w:rsid w:val="00D32962"/>
    <w:rsid w:val="00D40FD9"/>
    <w:rsid w:val="00D41C8C"/>
    <w:rsid w:val="00D53769"/>
    <w:rsid w:val="00D6169E"/>
    <w:rsid w:val="00D85C13"/>
    <w:rsid w:val="00D90090"/>
    <w:rsid w:val="00D9111A"/>
    <w:rsid w:val="00D91BE3"/>
    <w:rsid w:val="00D94AFC"/>
    <w:rsid w:val="00DB70AE"/>
    <w:rsid w:val="00DC4FF6"/>
    <w:rsid w:val="00DD5071"/>
    <w:rsid w:val="00DD5C39"/>
    <w:rsid w:val="00DD5DC6"/>
    <w:rsid w:val="00DE5E10"/>
    <w:rsid w:val="00DE616F"/>
    <w:rsid w:val="00DE7DB7"/>
    <w:rsid w:val="00E00A0A"/>
    <w:rsid w:val="00E066DE"/>
    <w:rsid w:val="00E07F57"/>
    <w:rsid w:val="00E21F28"/>
    <w:rsid w:val="00E30683"/>
    <w:rsid w:val="00E30EA5"/>
    <w:rsid w:val="00E31173"/>
    <w:rsid w:val="00E453D8"/>
    <w:rsid w:val="00E458EF"/>
    <w:rsid w:val="00E50813"/>
    <w:rsid w:val="00E50BCE"/>
    <w:rsid w:val="00E574BF"/>
    <w:rsid w:val="00E61292"/>
    <w:rsid w:val="00E65853"/>
    <w:rsid w:val="00E77C4D"/>
    <w:rsid w:val="00E81D01"/>
    <w:rsid w:val="00E902D9"/>
    <w:rsid w:val="00EA3675"/>
    <w:rsid w:val="00EE45D8"/>
    <w:rsid w:val="00F05588"/>
    <w:rsid w:val="00F22EDA"/>
    <w:rsid w:val="00F517D0"/>
    <w:rsid w:val="00F77F3F"/>
    <w:rsid w:val="00F9433B"/>
    <w:rsid w:val="00FA3933"/>
    <w:rsid w:val="00FA6AAF"/>
    <w:rsid w:val="00FB791E"/>
    <w:rsid w:val="00FD1C1A"/>
    <w:rsid w:val="00FD7AE5"/>
    <w:rsid w:val="00FE46AA"/>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757D97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aralevel1">
    <w:name w:val="paralevel1"/>
    <w:basedOn w:val="Normal"/>
    <w:rsid w:val="0090339A"/>
    <w:pPr>
      <w:spacing w:before="100" w:beforeAutospacing="1" w:after="100" w:afterAutospacing="1"/>
    </w:pPr>
  </w:style>
  <w:style w:type="paragraph" w:customStyle="1" w:styleId="msoquote0">
    <w:name w:val="msoquote"/>
    <w:basedOn w:val="Normal"/>
    <w:rsid w:val="0077715E"/>
    <w:pPr>
      <w:spacing w:before="100" w:beforeAutospacing="1" w:after="100" w:afterAutospacing="1"/>
    </w:pPr>
  </w:style>
  <w:style w:type="paragraph" w:customStyle="1" w:styleId="paranonumber">
    <w:name w:val="paranonumber"/>
    <w:basedOn w:val="Normal"/>
    <w:rsid w:val="007771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162818">
      <w:bodyDiv w:val="1"/>
      <w:marLeft w:val="0"/>
      <w:marRight w:val="0"/>
      <w:marTop w:val="0"/>
      <w:marBottom w:val="0"/>
      <w:divBdr>
        <w:top w:val="none" w:sz="0" w:space="0" w:color="auto"/>
        <w:left w:val="none" w:sz="0" w:space="0" w:color="auto"/>
        <w:bottom w:val="none" w:sz="0" w:space="0" w:color="auto"/>
        <w:right w:val="none" w:sz="0" w:space="0" w:color="auto"/>
      </w:divBdr>
    </w:div>
    <w:div w:id="1583441761">
      <w:bodyDiv w:val="1"/>
      <w:marLeft w:val="0"/>
      <w:marRight w:val="0"/>
      <w:marTop w:val="0"/>
      <w:marBottom w:val="0"/>
      <w:divBdr>
        <w:top w:val="none" w:sz="0" w:space="0" w:color="auto"/>
        <w:left w:val="none" w:sz="0" w:space="0" w:color="auto"/>
        <w:bottom w:val="none" w:sz="0" w:space="0" w:color="auto"/>
        <w:right w:val="none" w:sz="0" w:space="0" w:color="auto"/>
      </w:divBdr>
    </w:div>
    <w:div w:id="19408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2972</Words>
  <Characters>15413</Characters>
  <Application>Microsoft Office Word</Application>
  <DocSecurity>0</DocSecurity>
  <Lines>128</Lines>
  <Paragraphs>36</Paragraphs>
  <ScaleCrop>false</ScaleCrop>
  <Company/>
  <LinksUpToDate>false</LinksUpToDate>
  <CharactersWithSpaces>18349</CharactersWithSpaces>
  <SharedDoc>false</SharedDoc>
  <HLinks>
    <vt:vector size="6" baseType="variant">
      <vt:variant>
        <vt:i4>8126580</vt:i4>
      </vt:variant>
      <vt:variant>
        <vt:i4>0</vt:i4>
      </vt:variant>
      <vt:variant>
        <vt:i4>0</vt:i4>
      </vt:variant>
      <vt:variant>
        <vt:i4>5</vt:i4>
      </vt:variant>
      <vt:variant>
        <vt:lpwstr>http://www.bailii.org/ew/cases/EWCA/Civ/2013/1192.html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2018-06-27T12:47:00Z</dcterms:created>
  <dcterms:modified xsi:type="dcterms:W3CDTF">2018-06-27T12:47:00Z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