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A537" w14:textId="26C8388D" w:rsidR="00301C45" w:rsidRPr="001B798A" w:rsidRDefault="00301C45" w:rsidP="00301C45">
      <w:pPr>
        <w:tabs>
          <w:tab w:val="right" w:pos="9720"/>
        </w:tabs>
        <w:ind w:right="-82"/>
        <w:jc w:val="center"/>
        <w:rPr>
          <w:rFonts w:ascii="Book Antiqua" w:hAnsi="Book Antiqua" w:cs="Arial"/>
          <w:b/>
          <w:color w:val="000000"/>
          <w:sz w:val="24"/>
          <w:szCs w:val="24"/>
        </w:rPr>
      </w:pPr>
      <w:r w:rsidRPr="001B798A">
        <w:rPr>
          <w:rFonts w:ascii="Book Antiqua" w:hAnsi="Book Antiqua" w:cs="Arial"/>
          <w:noProof/>
          <w:sz w:val="24"/>
          <w:szCs w:val="24"/>
        </w:rPr>
        <w:drawing>
          <wp:inline distT="0" distB="0" distL="0" distR="0" wp14:anchorId="6A2E3F94" wp14:editId="28CBF091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C581" w14:textId="379EF096" w:rsidR="00F35BC4" w:rsidRPr="001B798A" w:rsidRDefault="00F35BC4" w:rsidP="004846AD">
      <w:pPr>
        <w:tabs>
          <w:tab w:val="right" w:pos="9720"/>
        </w:tabs>
        <w:spacing w:after="0"/>
        <w:ind w:right="-82"/>
        <w:rPr>
          <w:rFonts w:ascii="Book Antiqua" w:hAnsi="Book Antiqua" w:cs="Arial"/>
          <w:b/>
          <w:color w:val="000000"/>
          <w:sz w:val="24"/>
          <w:szCs w:val="24"/>
          <w:lang w:eastAsia="en-GB"/>
        </w:rPr>
      </w:pPr>
      <w:r w:rsidRPr="001B798A">
        <w:rPr>
          <w:rFonts w:ascii="Book Antiqua" w:hAnsi="Book Antiqua" w:cs="Arial"/>
          <w:b/>
          <w:color w:val="000000"/>
          <w:sz w:val="24"/>
          <w:szCs w:val="24"/>
        </w:rPr>
        <w:t xml:space="preserve">Upper Tribunal </w:t>
      </w:r>
      <w:r w:rsidR="008344E5" w:rsidRPr="001B798A">
        <w:rPr>
          <w:rFonts w:ascii="Book Antiqua" w:hAnsi="Book Antiqua" w:cs="Arial"/>
          <w:b/>
          <w:color w:val="000000"/>
          <w:sz w:val="24"/>
          <w:szCs w:val="24"/>
        </w:rPr>
        <w:tab/>
      </w:r>
      <w:r w:rsidR="004846AD" w:rsidRPr="001B798A">
        <w:rPr>
          <w:rFonts w:ascii="Book Antiqua" w:hAnsi="Book Antiqua" w:cs="Arial"/>
          <w:b/>
          <w:color w:val="000000"/>
          <w:sz w:val="24"/>
          <w:szCs w:val="24"/>
        </w:rPr>
        <w:t xml:space="preserve">   </w:t>
      </w:r>
    </w:p>
    <w:p w14:paraId="53823427" w14:textId="2491A8A2" w:rsidR="00F35BC4" w:rsidRPr="001B798A" w:rsidRDefault="00F35BC4" w:rsidP="001B798A">
      <w:pPr>
        <w:tabs>
          <w:tab w:val="right" w:pos="9720"/>
        </w:tabs>
        <w:ind w:right="-82"/>
        <w:rPr>
          <w:rFonts w:ascii="Book Antiqua" w:hAnsi="Book Antiqua" w:cs="Arial"/>
          <w:b/>
          <w:bCs/>
          <w:color w:val="000000"/>
          <w:sz w:val="24"/>
          <w:szCs w:val="24"/>
        </w:rPr>
      </w:pPr>
      <w:r w:rsidRPr="001B798A">
        <w:rPr>
          <w:rFonts w:ascii="Book Antiqua" w:hAnsi="Book Antiqua" w:cs="Arial"/>
          <w:b/>
          <w:color w:val="000000"/>
          <w:sz w:val="24"/>
          <w:szCs w:val="24"/>
        </w:rPr>
        <w:t xml:space="preserve">(Immigration and Asylum </w:t>
      </w:r>
      <w:proofErr w:type="gramStart"/>
      <w:r w:rsidRPr="001B798A">
        <w:rPr>
          <w:rFonts w:ascii="Book Antiqua" w:hAnsi="Book Antiqua" w:cs="Arial"/>
          <w:b/>
          <w:color w:val="000000"/>
          <w:sz w:val="24"/>
          <w:szCs w:val="24"/>
        </w:rPr>
        <w:t>Chamber)</w:t>
      </w:r>
      <w:r w:rsidR="001B798A" w:rsidRPr="001B798A">
        <w:rPr>
          <w:rFonts w:ascii="Book Antiqua" w:hAnsi="Book Antiqua" w:cs="Arial"/>
          <w:b/>
          <w:color w:val="000000"/>
          <w:sz w:val="24"/>
          <w:szCs w:val="24"/>
        </w:rPr>
        <w:t xml:space="preserve">   </w:t>
      </w:r>
      <w:proofErr w:type="gramEnd"/>
      <w:r w:rsidR="001B798A" w:rsidRPr="001B798A">
        <w:rPr>
          <w:rFonts w:ascii="Book Antiqua" w:hAnsi="Book Antiqua" w:cs="Arial"/>
          <w:b/>
          <w:color w:val="000000"/>
          <w:sz w:val="24"/>
          <w:szCs w:val="24"/>
        </w:rPr>
        <w:t xml:space="preserve">                   </w:t>
      </w:r>
      <w:r w:rsidR="001B798A">
        <w:rPr>
          <w:rFonts w:ascii="Book Antiqua" w:hAnsi="Book Antiqua" w:cs="Arial"/>
          <w:b/>
          <w:color w:val="000000"/>
          <w:sz w:val="24"/>
          <w:szCs w:val="24"/>
        </w:rPr>
        <w:t xml:space="preserve">  </w:t>
      </w:r>
      <w:r w:rsidR="001B798A" w:rsidRPr="001B798A">
        <w:rPr>
          <w:rFonts w:ascii="Book Antiqua" w:hAnsi="Book Antiqua" w:cs="Arial"/>
          <w:b/>
          <w:color w:val="000000"/>
          <w:sz w:val="24"/>
          <w:szCs w:val="24"/>
        </w:rPr>
        <w:t>Appeal number: HU/17771/2019(P)</w:t>
      </w:r>
      <w:r w:rsidRPr="001B798A">
        <w:rPr>
          <w:rFonts w:ascii="Book Antiqua" w:hAnsi="Book Antiqua" w:cs="Arial"/>
          <w:b/>
          <w:color w:val="000000"/>
          <w:sz w:val="24"/>
          <w:szCs w:val="24"/>
        </w:rPr>
        <w:tab/>
      </w:r>
    </w:p>
    <w:p w14:paraId="317E3E23" w14:textId="584BD547" w:rsidR="00F35BC4" w:rsidRPr="001B798A" w:rsidRDefault="00F35BC4" w:rsidP="001B7E2B">
      <w:pPr>
        <w:jc w:val="center"/>
        <w:rPr>
          <w:rFonts w:ascii="Book Antiqua" w:hAnsi="Book Antiqua" w:cs="Arial"/>
          <w:b/>
          <w:color w:val="000000"/>
          <w:sz w:val="24"/>
          <w:szCs w:val="24"/>
          <w:u w:val="single"/>
        </w:rPr>
      </w:pPr>
      <w:r w:rsidRPr="001B798A">
        <w:rPr>
          <w:rFonts w:ascii="Book Antiqua" w:hAnsi="Book Antiqua" w:cs="Arial"/>
          <w:b/>
          <w:color w:val="000000"/>
          <w:sz w:val="24"/>
          <w:szCs w:val="24"/>
          <w:u w:val="single"/>
        </w:rPr>
        <w:t>THE IMMIGRATION ACTS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5245"/>
        <w:gridCol w:w="4763"/>
      </w:tblGrid>
      <w:tr w:rsidR="00F35BC4" w:rsidRPr="001B798A" w14:paraId="1C1329C0" w14:textId="77777777" w:rsidTr="001B798A">
        <w:tc>
          <w:tcPr>
            <w:tcW w:w="5245" w:type="dxa"/>
            <w:hideMark/>
          </w:tcPr>
          <w:p w14:paraId="4D8A2613" w14:textId="77777777" w:rsidR="001B798A" w:rsidRDefault="001B798A" w:rsidP="004846AD">
            <w:pPr>
              <w:spacing w:after="0"/>
              <w:jc w:val="both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5322890C" w14:textId="634447FA" w:rsidR="00F35BC4" w:rsidRPr="001B798A" w:rsidRDefault="00996DC5" w:rsidP="004846AD">
            <w:pPr>
              <w:spacing w:after="0"/>
              <w:jc w:val="both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1B798A">
              <w:rPr>
                <w:rFonts w:ascii="Book Antiqua" w:hAnsi="Book Antiqua" w:cs="Arial"/>
                <w:b/>
                <w:sz w:val="24"/>
                <w:szCs w:val="24"/>
              </w:rPr>
              <w:t>Heard Remotely</w:t>
            </w:r>
            <w:r w:rsidR="00F35BC4" w:rsidRPr="001B798A">
              <w:rPr>
                <w:rFonts w:ascii="Book Antiqua" w:hAnsi="Book Antiqua" w:cs="Arial"/>
                <w:b/>
                <w:sz w:val="24"/>
                <w:szCs w:val="24"/>
              </w:rPr>
              <w:t xml:space="preserve"> </w:t>
            </w:r>
            <w:r w:rsidR="00E7214E" w:rsidRPr="001B798A">
              <w:rPr>
                <w:rFonts w:ascii="Book Antiqua" w:hAnsi="Book Antiqua" w:cs="Arial"/>
                <w:b/>
                <w:sz w:val="24"/>
                <w:szCs w:val="24"/>
              </w:rPr>
              <w:t xml:space="preserve">at </w:t>
            </w:r>
            <w:r w:rsidR="005D24E6" w:rsidRPr="001B798A">
              <w:rPr>
                <w:rFonts w:ascii="Book Antiqua" w:hAnsi="Book Antiqua" w:cs="Arial"/>
                <w:b/>
                <w:sz w:val="24"/>
                <w:szCs w:val="24"/>
              </w:rPr>
              <w:t>Manchester Piccadilly IAC</w:t>
            </w:r>
          </w:p>
        </w:tc>
        <w:tc>
          <w:tcPr>
            <w:tcW w:w="4763" w:type="dxa"/>
            <w:hideMark/>
          </w:tcPr>
          <w:p w14:paraId="3A2AD309" w14:textId="77777777" w:rsidR="001B798A" w:rsidRDefault="001B798A" w:rsidP="004846AD">
            <w:pPr>
              <w:spacing w:after="0"/>
              <w:jc w:val="both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6EF0845F" w14:textId="21901D82" w:rsidR="00F35BC4" w:rsidRPr="001B798A" w:rsidRDefault="001B798A" w:rsidP="004846AD">
            <w:pPr>
              <w:spacing w:after="0"/>
              <w:jc w:val="both"/>
              <w:rPr>
                <w:rFonts w:ascii="Book Antiqua" w:hAnsi="Book Antiqua" w:cs="Arial"/>
                <w:b/>
                <w:color w:val="000000"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 xml:space="preserve">  </w:t>
            </w:r>
            <w:r w:rsidR="004846AD" w:rsidRPr="001B798A">
              <w:rPr>
                <w:rFonts w:ascii="Book Antiqua" w:hAnsi="Book Antiqua" w:cs="Arial"/>
                <w:b/>
                <w:sz w:val="24"/>
                <w:szCs w:val="24"/>
              </w:rPr>
              <w:t>Decision &amp; Reasons Promulgated</w:t>
            </w:r>
          </w:p>
        </w:tc>
      </w:tr>
      <w:tr w:rsidR="00F35BC4" w:rsidRPr="001B798A" w14:paraId="4544D819" w14:textId="77777777" w:rsidTr="001B798A">
        <w:tc>
          <w:tcPr>
            <w:tcW w:w="5245" w:type="dxa"/>
            <w:hideMark/>
          </w:tcPr>
          <w:p w14:paraId="26355A55" w14:textId="35EA190A" w:rsidR="00F35BC4" w:rsidRPr="001B798A" w:rsidRDefault="00F35BC4">
            <w:pPr>
              <w:jc w:val="both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1B798A">
              <w:rPr>
                <w:rFonts w:ascii="Book Antiqua" w:hAnsi="Book Antiqua" w:cs="Arial"/>
                <w:b/>
                <w:sz w:val="24"/>
                <w:szCs w:val="24"/>
              </w:rPr>
              <w:t xml:space="preserve">On </w:t>
            </w:r>
            <w:r w:rsidR="005D24E6" w:rsidRPr="001B798A">
              <w:rPr>
                <w:rFonts w:ascii="Book Antiqua" w:hAnsi="Book Antiqua" w:cs="Arial"/>
                <w:b/>
                <w:sz w:val="24"/>
                <w:szCs w:val="24"/>
              </w:rPr>
              <w:t>21 August 2020</w:t>
            </w:r>
          </w:p>
        </w:tc>
        <w:tc>
          <w:tcPr>
            <w:tcW w:w="4763" w:type="dxa"/>
          </w:tcPr>
          <w:p w14:paraId="67D72F77" w14:textId="30C8DB4B" w:rsidR="00F35BC4" w:rsidRPr="001B798A" w:rsidRDefault="001B798A">
            <w:pPr>
              <w:jc w:val="both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 xml:space="preserve">  </w:t>
            </w:r>
            <w:r w:rsidR="004846AD" w:rsidRPr="001B798A">
              <w:rPr>
                <w:rFonts w:ascii="Book Antiqua" w:hAnsi="Book Antiqua" w:cs="Arial"/>
                <w:b/>
                <w:sz w:val="24"/>
                <w:szCs w:val="24"/>
              </w:rPr>
              <w:t>On 25 August 2020</w:t>
            </w:r>
          </w:p>
        </w:tc>
      </w:tr>
      <w:tr w:rsidR="00F35BC4" w:rsidRPr="001B798A" w14:paraId="7E9D31A3" w14:textId="77777777" w:rsidTr="001B798A">
        <w:tc>
          <w:tcPr>
            <w:tcW w:w="5245" w:type="dxa"/>
          </w:tcPr>
          <w:p w14:paraId="7D231830" w14:textId="77777777" w:rsidR="00F35BC4" w:rsidRPr="001B798A" w:rsidRDefault="00F35BC4">
            <w:pPr>
              <w:jc w:val="both"/>
              <w:rPr>
                <w:rFonts w:ascii="Book Antiqua" w:hAnsi="Book Antiqua" w:cs="Arial"/>
                <w:b/>
                <w:sz w:val="24"/>
                <w:szCs w:val="24"/>
              </w:rPr>
            </w:pPr>
          </w:p>
        </w:tc>
        <w:tc>
          <w:tcPr>
            <w:tcW w:w="4763" w:type="dxa"/>
          </w:tcPr>
          <w:p w14:paraId="4663D2DD" w14:textId="183A566D" w:rsidR="00F35BC4" w:rsidRPr="001B798A" w:rsidRDefault="00F35BC4">
            <w:pPr>
              <w:jc w:val="both"/>
              <w:rPr>
                <w:rFonts w:ascii="Book Antiqua" w:hAnsi="Book Antiqua" w:cs="Arial"/>
                <w:b/>
                <w:sz w:val="24"/>
                <w:szCs w:val="24"/>
              </w:rPr>
            </w:pPr>
          </w:p>
        </w:tc>
      </w:tr>
    </w:tbl>
    <w:p w14:paraId="55B9596F" w14:textId="77777777" w:rsidR="00F35BC4" w:rsidRPr="001B798A" w:rsidRDefault="00F35BC4" w:rsidP="00F35BC4">
      <w:pPr>
        <w:jc w:val="center"/>
        <w:rPr>
          <w:rFonts w:ascii="Book Antiqua" w:hAnsi="Book Antiqua" w:cs="Arial"/>
          <w:b/>
          <w:sz w:val="24"/>
          <w:szCs w:val="24"/>
        </w:rPr>
      </w:pPr>
      <w:r w:rsidRPr="001B798A">
        <w:rPr>
          <w:rFonts w:ascii="Book Antiqua" w:hAnsi="Book Antiqua" w:cs="Arial"/>
          <w:b/>
          <w:sz w:val="24"/>
          <w:szCs w:val="24"/>
        </w:rPr>
        <w:t>Before</w:t>
      </w:r>
    </w:p>
    <w:p w14:paraId="603F3782" w14:textId="06B74D68" w:rsidR="00E83510" w:rsidRPr="001B798A" w:rsidRDefault="00A83977" w:rsidP="001B7E2B">
      <w:pPr>
        <w:jc w:val="center"/>
        <w:rPr>
          <w:rFonts w:ascii="Book Antiqua" w:hAnsi="Book Antiqua" w:cs="Arial"/>
          <w:b/>
          <w:color w:val="000000"/>
          <w:sz w:val="24"/>
          <w:szCs w:val="24"/>
        </w:rPr>
      </w:pPr>
      <w:r w:rsidRPr="001B798A">
        <w:rPr>
          <w:rFonts w:ascii="Book Antiqua" w:hAnsi="Book Antiqua" w:cs="Arial"/>
          <w:b/>
          <w:color w:val="000000"/>
          <w:sz w:val="24"/>
          <w:szCs w:val="24"/>
        </w:rPr>
        <w:t xml:space="preserve">UPPER TRIBUNAL JUDGE </w:t>
      </w:r>
      <w:r w:rsidR="006052E7" w:rsidRPr="001B798A">
        <w:rPr>
          <w:rFonts w:ascii="Book Antiqua" w:hAnsi="Book Antiqua" w:cs="Arial"/>
          <w:b/>
          <w:color w:val="000000"/>
          <w:sz w:val="24"/>
          <w:szCs w:val="24"/>
        </w:rPr>
        <w:t>PICKUP</w:t>
      </w:r>
    </w:p>
    <w:p w14:paraId="74415A54" w14:textId="77777777" w:rsidR="00F35BC4" w:rsidRPr="001B798A" w:rsidRDefault="00F35BC4" w:rsidP="00F35BC4">
      <w:pPr>
        <w:jc w:val="center"/>
        <w:rPr>
          <w:rFonts w:ascii="Book Antiqua" w:hAnsi="Book Antiqua" w:cs="Arial"/>
          <w:b/>
          <w:sz w:val="24"/>
          <w:szCs w:val="24"/>
        </w:rPr>
      </w:pPr>
      <w:r w:rsidRPr="001B798A">
        <w:rPr>
          <w:rFonts w:ascii="Book Antiqua" w:hAnsi="Book Antiqua" w:cs="Arial"/>
          <w:b/>
          <w:sz w:val="24"/>
          <w:szCs w:val="24"/>
        </w:rPr>
        <w:t>Between</w:t>
      </w:r>
    </w:p>
    <w:p w14:paraId="0A333C22" w14:textId="593799D9" w:rsidR="00F35BC4" w:rsidRPr="001B798A" w:rsidRDefault="00501C6F" w:rsidP="001B798A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1B798A">
        <w:rPr>
          <w:rFonts w:ascii="Book Antiqua" w:hAnsi="Book Antiqua" w:cs="Arial"/>
          <w:b/>
          <w:sz w:val="24"/>
          <w:szCs w:val="24"/>
        </w:rPr>
        <w:t>MD SHAHALAM</w:t>
      </w:r>
    </w:p>
    <w:p w14:paraId="2FDDDF95" w14:textId="0F05FA5E" w:rsidR="00F35BC4" w:rsidRPr="001B798A" w:rsidRDefault="00F35BC4" w:rsidP="001B798A">
      <w:pPr>
        <w:spacing w:after="0" w:line="240" w:lineRule="auto"/>
        <w:jc w:val="center"/>
        <w:rPr>
          <w:rFonts w:ascii="Book Antiqua" w:hAnsi="Book Antiqua" w:cs="Arial"/>
          <w:caps/>
          <w:sz w:val="24"/>
          <w:szCs w:val="24"/>
        </w:rPr>
      </w:pPr>
      <w:r w:rsidRPr="001B798A">
        <w:rPr>
          <w:rFonts w:ascii="Book Antiqua" w:hAnsi="Book Antiqua" w:cs="Arial"/>
          <w:caps/>
          <w:sz w:val="24"/>
          <w:szCs w:val="24"/>
        </w:rPr>
        <w:t xml:space="preserve"> (</w:t>
      </w:r>
      <w:r w:rsidR="00A83977" w:rsidRPr="001B798A">
        <w:rPr>
          <w:rFonts w:ascii="Book Antiqua" w:hAnsi="Book Antiqua" w:cs="Arial"/>
          <w:caps/>
          <w:sz w:val="24"/>
          <w:szCs w:val="24"/>
        </w:rPr>
        <w:t xml:space="preserve">ANONYMITY ORDER </w:t>
      </w:r>
      <w:r w:rsidR="00501C6F" w:rsidRPr="001B798A">
        <w:rPr>
          <w:rFonts w:ascii="Book Antiqua" w:hAnsi="Book Antiqua" w:cs="Arial"/>
          <w:caps/>
          <w:sz w:val="24"/>
          <w:szCs w:val="24"/>
        </w:rPr>
        <w:t xml:space="preserve">NOT </w:t>
      </w:r>
      <w:r w:rsidR="00A83977" w:rsidRPr="001B798A">
        <w:rPr>
          <w:rFonts w:ascii="Book Antiqua" w:hAnsi="Book Antiqua" w:cs="Arial"/>
          <w:caps/>
          <w:sz w:val="24"/>
          <w:szCs w:val="24"/>
        </w:rPr>
        <w:t>MADE</w:t>
      </w:r>
      <w:r w:rsidRPr="001B798A">
        <w:rPr>
          <w:rFonts w:ascii="Book Antiqua" w:hAnsi="Book Antiqua" w:cs="Arial"/>
          <w:caps/>
          <w:sz w:val="24"/>
          <w:szCs w:val="24"/>
        </w:rPr>
        <w:t>)</w:t>
      </w:r>
    </w:p>
    <w:p w14:paraId="3111F761" w14:textId="77777777" w:rsidR="001B798A" w:rsidRDefault="001B798A" w:rsidP="00F35BC4">
      <w:pPr>
        <w:jc w:val="right"/>
        <w:rPr>
          <w:rFonts w:ascii="Book Antiqua" w:hAnsi="Book Antiqua" w:cs="Arial"/>
          <w:sz w:val="24"/>
          <w:szCs w:val="24"/>
          <w:u w:val="single"/>
        </w:rPr>
      </w:pPr>
    </w:p>
    <w:p w14:paraId="6DD72F04" w14:textId="3321C1BB" w:rsidR="00F35BC4" w:rsidRPr="001B798A" w:rsidRDefault="00F35BC4" w:rsidP="00F35BC4">
      <w:pPr>
        <w:jc w:val="right"/>
        <w:rPr>
          <w:rFonts w:ascii="Book Antiqua" w:hAnsi="Book Antiqua" w:cs="Arial"/>
          <w:sz w:val="24"/>
          <w:szCs w:val="24"/>
          <w:u w:val="single"/>
        </w:rPr>
      </w:pPr>
      <w:r w:rsidRPr="001B798A">
        <w:rPr>
          <w:rFonts w:ascii="Book Antiqua" w:hAnsi="Book Antiqua" w:cs="Arial"/>
          <w:sz w:val="24"/>
          <w:szCs w:val="24"/>
          <w:u w:val="single"/>
        </w:rPr>
        <w:t>Appellant</w:t>
      </w:r>
    </w:p>
    <w:p w14:paraId="20D25670" w14:textId="366D122F" w:rsidR="00F35BC4" w:rsidRPr="001B798A" w:rsidRDefault="00F35BC4" w:rsidP="001B7E2B">
      <w:pPr>
        <w:jc w:val="center"/>
        <w:rPr>
          <w:rFonts w:ascii="Book Antiqua" w:hAnsi="Book Antiqua" w:cs="Arial"/>
          <w:b/>
          <w:sz w:val="24"/>
          <w:szCs w:val="24"/>
        </w:rPr>
      </w:pPr>
      <w:r w:rsidRPr="001B798A">
        <w:rPr>
          <w:rFonts w:ascii="Book Antiqua" w:hAnsi="Book Antiqua" w:cs="Arial"/>
          <w:b/>
          <w:sz w:val="24"/>
          <w:szCs w:val="24"/>
        </w:rPr>
        <w:t>and</w:t>
      </w:r>
    </w:p>
    <w:p w14:paraId="404ACB3F" w14:textId="77777777" w:rsidR="00F35BC4" w:rsidRPr="001B798A" w:rsidRDefault="00F35BC4" w:rsidP="001B798A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1B798A">
        <w:rPr>
          <w:rFonts w:ascii="Book Antiqua" w:hAnsi="Book Antiqua" w:cs="Arial"/>
          <w:b/>
          <w:sz w:val="24"/>
          <w:szCs w:val="24"/>
        </w:rPr>
        <w:t>SECRETARY OF STATE FOR THE HOME DEPARTMENT</w:t>
      </w:r>
    </w:p>
    <w:p w14:paraId="5DA5BEF4" w14:textId="65216561" w:rsidR="009D2B85" w:rsidRPr="001B798A" w:rsidRDefault="00F35BC4" w:rsidP="001B7E2B">
      <w:pPr>
        <w:jc w:val="right"/>
        <w:rPr>
          <w:rFonts w:ascii="Book Antiqua" w:hAnsi="Book Antiqua" w:cs="Arial"/>
          <w:b/>
          <w:sz w:val="24"/>
          <w:szCs w:val="24"/>
          <w:u w:val="single"/>
        </w:rPr>
      </w:pPr>
      <w:r w:rsidRPr="001B798A">
        <w:rPr>
          <w:rFonts w:ascii="Book Antiqua" w:hAnsi="Book Antiqua" w:cs="Arial"/>
          <w:sz w:val="24"/>
          <w:szCs w:val="24"/>
          <w:u w:val="single"/>
        </w:rPr>
        <w:t>Respondent</w:t>
      </w:r>
    </w:p>
    <w:p w14:paraId="10FD8C77" w14:textId="203FF230" w:rsidR="001B798A" w:rsidRDefault="001B798A" w:rsidP="001B798A">
      <w:pPr>
        <w:tabs>
          <w:tab w:val="left" w:pos="2520"/>
        </w:tabs>
        <w:rPr>
          <w:rFonts w:ascii="Book Antiqua" w:hAnsi="Book Antiqua" w:cs="Arial"/>
          <w:b/>
          <w:sz w:val="24"/>
          <w:szCs w:val="24"/>
          <w:u w:val="single"/>
        </w:rPr>
      </w:pPr>
      <w:r>
        <w:rPr>
          <w:rFonts w:ascii="Book Antiqua" w:hAnsi="Book Antiqua" w:cs="Arial"/>
          <w:b/>
          <w:sz w:val="24"/>
          <w:szCs w:val="24"/>
          <w:u w:val="single"/>
        </w:rPr>
        <w:t>Representation:</w:t>
      </w:r>
    </w:p>
    <w:p w14:paraId="6BAE5564" w14:textId="34E708CF" w:rsidR="000E0EC3" w:rsidRPr="001B798A" w:rsidRDefault="000E0EC3" w:rsidP="001B798A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For the appellant</w:t>
      </w:r>
      <w:r w:rsidR="00662D4B" w:rsidRPr="001B798A">
        <w:rPr>
          <w:rFonts w:ascii="Book Antiqua" w:hAnsi="Book Antiqua"/>
          <w:sz w:val="24"/>
          <w:szCs w:val="24"/>
        </w:rPr>
        <w:t>:</w:t>
      </w:r>
      <w:r w:rsidRPr="001B798A">
        <w:rPr>
          <w:rFonts w:ascii="Book Antiqua" w:hAnsi="Book Antiqua"/>
          <w:sz w:val="24"/>
          <w:szCs w:val="24"/>
        </w:rPr>
        <w:t xml:space="preserve"> </w:t>
      </w:r>
      <w:r w:rsidR="001B798A">
        <w:rPr>
          <w:rFonts w:ascii="Book Antiqua" w:hAnsi="Book Antiqua"/>
          <w:sz w:val="24"/>
          <w:szCs w:val="24"/>
        </w:rPr>
        <w:t xml:space="preserve">       </w:t>
      </w:r>
      <w:r w:rsidRPr="001B798A">
        <w:rPr>
          <w:rFonts w:ascii="Book Antiqua" w:hAnsi="Book Antiqua"/>
          <w:sz w:val="24"/>
          <w:szCs w:val="24"/>
        </w:rPr>
        <w:t>Mr</w:t>
      </w:r>
      <w:r w:rsidR="00501C6F" w:rsidRPr="001B798A">
        <w:rPr>
          <w:rFonts w:ascii="Book Antiqua" w:hAnsi="Book Antiqua"/>
          <w:sz w:val="24"/>
          <w:szCs w:val="24"/>
        </w:rPr>
        <w:t xml:space="preserve"> </w:t>
      </w:r>
      <w:r w:rsidR="00704BFA" w:rsidRPr="001B798A">
        <w:rPr>
          <w:rFonts w:ascii="Book Antiqua" w:hAnsi="Book Antiqua"/>
          <w:sz w:val="24"/>
          <w:szCs w:val="24"/>
        </w:rPr>
        <w:t>R Sharma</w:t>
      </w:r>
      <w:r w:rsidR="00501C6F" w:rsidRPr="001B798A">
        <w:rPr>
          <w:rFonts w:ascii="Book Antiqua" w:hAnsi="Book Antiqua"/>
          <w:sz w:val="24"/>
          <w:szCs w:val="24"/>
        </w:rPr>
        <w:t>, instructed by Hubers Law</w:t>
      </w:r>
      <w:r w:rsidR="00DF377C" w:rsidRPr="001B798A">
        <w:rPr>
          <w:rFonts w:ascii="Book Antiqua" w:hAnsi="Book Antiqua"/>
          <w:sz w:val="24"/>
          <w:szCs w:val="24"/>
        </w:rPr>
        <w:t xml:space="preserve"> Solicitors</w:t>
      </w:r>
    </w:p>
    <w:p w14:paraId="3A83AA84" w14:textId="2A6BB5B3" w:rsidR="00662D4B" w:rsidRPr="001B798A" w:rsidRDefault="000E0EC3" w:rsidP="001B798A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For the Respondent</w:t>
      </w:r>
      <w:r w:rsidR="00662D4B" w:rsidRPr="001B798A">
        <w:rPr>
          <w:rFonts w:ascii="Book Antiqua" w:hAnsi="Book Antiqua"/>
          <w:sz w:val="24"/>
          <w:szCs w:val="24"/>
        </w:rPr>
        <w:t>:</w:t>
      </w:r>
      <w:r w:rsidRPr="001B798A">
        <w:rPr>
          <w:rFonts w:ascii="Book Antiqua" w:hAnsi="Book Antiqua"/>
          <w:sz w:val="24"/>
          <w:szCs w:val="24"/>
        </w:rPr>
        <w:t xml:space="preserve"> </w:t>
      </w:r>
      <w:r w:rsidR="001B798A">
        <w:rPr>
          <w:rFonts w:ascii="Book Antiqua" w:hAnsi="Book Antiqua"/>
          <w:sz w:val="24"/>
          <w:szCs w:val="24"/>
        </w:rPr>
        <w:t xml:space="preserve">   </w:t>
      </w:r>
      <w:r w:rsidRPr="001B798A">
        <w:rPr>
          <w:rFonts w:ascii="Book Antiqua" w:hAnsi="Book Antiqua"/>
          <w:sz w:val="24"/>
          <w:szCs w:val="24"/>
        </w:rPr>
        <w:t>Mr</w:t>
      </w:r>
      <w:r w:rsidR="00501C6F" w:rsidRPr="001B798A">
        <w:rPr>
          <w:rFonts w:ascii="Book Antiqua" w:hAnsi="Book Antiqua"/>
          <w:sz w:val="24"/>
          <w:szCs w:val="24"/>
        </w:rPr>
        <w:t xml:space="preserve"> </w:t>
      </w:r>
      <w:r w:rsidR="00FA5A2F" w:rsidRPr="001B798A">
        <w:rPr>
          <w:rFonts w:ascii="Book Antiqua" w:hAnsi="Book Antiqua"/>
          <w:sz w:val="24"/>
          <w:szCs w:val="24"/>
        </w:rPr>
        <w:t>C Bates</w:t>
      </w:r>
      <w:r w:rsidR="00501C6F" w:rsidRPr="001B798A">
        <w:rPr>
          <w:rFonts w:ascii="Book Antiqua" w:hAnsi="Book Antiqua"/>
          <w:sz w:val="24"/>
          <w:szCs w:val="24"/>
        </w:rPr>
        <w:t>, Senior Presenting Officer</w:t>
      </w:r>
    </w:p>
    <w:p w14:paraId="75D9AFD8" w14:textId="77777777" w:rsidR="001B798A" w:rsidRDefault="001B798A" w:rsidP="001B798A">
      <w:pPr>
        <w:tabs>
          <w:tab w:val="left" w:pos="2520"/>
        </w:tabs>
        <w:jc w:val="center"/>
        <w:rPr>
          <w:rFonts w:ascii="Book Antiqua" w:eastAsia="Times New Roman" w:hAnsi="Book Antiqua"/>
          <w:color w:val="000000"/>
          <w:sz w:val="24"/>
          <w:szCs w:val="24"/>
          <w:lang w:eastAsia="en-GB"/>
        </w:rPr>
      </w:pPr>
    </w:p>
    <w:p w14:paraId="3D54A7C0" w14:textId="5577F408" w:rsidR="001B798A" w:rsidRDefault="009E207A" w:rsidP="001B798A">
      <w:pPr>
        <w:tabs>
          <w:tab w:val="left" w:pos="2520"/>
        </w:tabs>
        <w:jc w:val="both"/>
        <w:rPr>
          <w:rFonts w:ascii="Book Antiqua" w:eastAsia="Times New Roman" w:hAnsi="Book Antiqua"/>
          <w:color w:val="000000"/>
          <w:sz w:val="24"/>
          <w:szCs w:val="24"/>
          <w:lang w:eastAsia="en-GB"/>
        </w:rPr>
      </w:pPr>
      <w:r w:rsidRPr="001B798A">
        <w:rPr>
          <w:rFonts w:ascii="Book Antiqua" w:eastAsia="Times New Roman" w:hAnsi="Book Antiqua"/>
          <w:color w:val="000000"/>
          <w:sz w:val="24"/>
          <w:szCs w:val="24"/>
          <w:lang w:eastAsia="en-GB"/>
        </w:rPr>
        <w:t xml:space="preserve">This has been a remote hearing which has been consented to by the parties. The form of remote hearing was video by Skype (V). A face to face hearing was not held because it was not </w:t>
      </w:r>
      <w:proofErr w:type="gramStart"/>
      <w:r w:rsidRPr="001B798A">
        <w:rPr>
          <w:rFonts w:ascii="Book Antiqua" w:eastAsia="Times New Roman" w:hAnsi="Book Antiqua"/>
          <w:color w:val="000000"/>
          <w:sz w:val="24"/>
          <w:szCs w:val="24"/>
          <w:lang w:eastAsia="en-GB"/>
        </w:rPr>
        <w:t>practicable</w:t>
      </w:r>
      <w:proofErr w:type="gramEnd"/>
      <w:r w:rsidRPr="001B798A">
        <w:rPr>
          <w:rFonts w:ascii="Book Antiqua" w:eastAsia="Times New Roman" w:hAnsi="Book Antiqua"/>
          <w:color w:val="000000"/>
          <w:sz w:val="24"/>
          <w:szCs w:val="24"/>
          <w:lang w:eastAsia="en-GB"/>
        </w:rPr>
        <w:t xml:space="preserve"> and all issues could be determined in a remote hearing. </w:t>
      </w:r>
      <w:r w:rsidR="00DF377C" w:rsidRPr="001B798A">
        <w:rPr>
          <w:rFonts w:ascii="Book Antiqua" w:eastAsia="Times New Roman" w:hAnsi="Book Antiqua"/>
          <w:color w:val="000000"/>
          <w:sz w:val="24"/>
          <w:szCs w:val="24"/>
          <w:lang w:eastAsia="en-GB"/>
        </w:rPr>
        <w:t xml:space="preserve"> </w:t>
      </w:r>
      <w:r w:rsidR="00704BFA" w:rsidRPr="001B798A">
        <w:rPr>
          <w:rFonts w:ascii="Book Antiqua" w:eastAsia="Times New Roman" w:hAnsi="Book Antiqua"/>
          <w:color w:val="000000"/>
          <w:sz w:val="24"/>
          <w:szCs w:val="24"/>
          <w:lang w:eastAsia="en-GB"/>
        </w:rPr>
        <w:t>At the conclusion of the hearing I reserved my decision and reasons which I now g</w:t>
      </w:r>
      <w:r w:rsidR="00892477" w:rsidRPr="001B798A">
        <w:rPr>
          <w:rFonts w:ascii="Book Antiqua" w:eastAsia="Times New Roman" w:hAnsi="Book Antiqua"/>
          <w:color w:val="000000"/>
          <w:sz w:val="24"/>
          <w:szCs w:val="24"/>
          <w:lang w:eastAsia="en-GB"/>
        </w:rPr>
        <w:t xml:space="preserve">ive. </w:t>
      </w:r>
      <w:r w:rsidRPr="001B798A">
        <w:rPr>
          <w:rFonts w:ascii="Book Antiqua" w:eastAsia="Times New Roman" w:hAnsi="Book Antiqua"/>
          <w:color w:val="000000"/>
          <w:sz w:val="24"/>
          <w:szCs w:val="24"/>
          <w:lang w:eastAsia="en-GB"/>
        </w:rPr>
        <w:t>The order made is described at the end of these reasons. </w:t>
      </w:r>
    </w:p>
    <w:p w14:paraId="2912E1C2" w14:textId="73B44711" w:rsidR="001B798A" w:rsidRPr="001B798A" w:rsidRDefault="001B798A" w:rsidP="001B798A">
      <w:pPr>
        <w:tabs>
          <w:tab w:val="left" w:pos="2520"/>
        </w:tabs>
        <w:jc w:val="center"/>
        <w:rPr>
          <w:rFonts w:ascii="Book Antiqua" w:hAnsi="Book Antiqua" w:cs="Arial"/>
          <w:b/>
          <w:sz w:val="24"/>
          <w:szCs w:val="24"/>
          <w:u w:val="single"/>
        </w:rPr>
      </w:pPr>
      <w:r w:rsidRPr="001B798A">
        <w:rPr>
          <w:rFonts w:ascii="Book Antiqua" w:hAnsi="Book Antiqua" w:cs="Arial"/>
          <w:b/>
          <w:sz w:val="24"/>
          <w:szCs w:val="24"/>
          <w:u w:val="single"/>
        </w:rPr>
        <w:t>DECISION AND REASONS (P)</w:t>
      </w:r>
    </w:p>
    <w:p w14:paraId="6C217E13" w14:textId="542460C6" w:rsidR="00734691" w:rsidRPr="001B798A" w:rsidRDefault="00734691" w:rsidP="0023211E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The appellant</w:t>
      </w:r>
      <w:r w:rsidR="00032087" w:rsidRPr="001B798A">
        <w:rPr>
          <w:rFonts w:ascii="Book Antiqua" w:hAnsi="Book Antiqua"/>
          <w:sz w:val="24"/>
          <w:szCs w:val="24"/>
        </w:rPr>
        <w:t xml:space="preserve">, </w:t>
      </w:r>
      <w:r w:rsidR="00E65F56" w:rsidRPr="001B798A">
        <w:rPr>
          <w:rFonts w:ascii="Book Antiqua" w:hAnsi="Book Antiqua"/>
          <w:sz w:val="24"/>
          <w:szCs w:val="24"/>
        </w:rPr>
        <w:t xml:space="preserve">who </w:t>
      </w:r>
      <w:r w:rsidR="0053231A" w:rsidRPr="001B798A">
        <w:rPr>
          <w:rFonts w:ascii="Book Antiqua" w:hAnsi="Book Antiqua"/>
          <w:sz w:val="24"/>
          <w:szCs w:val="24"/>
        </w:rPr>
        <w:t xml:space="preserve">is </w:t>
      </w:r>
      <w:r w:rsidR="00E65F56" w:rsidRPr="001B798A">
        <w:rPr>
          <w:rFonts w:ascii="Book Antiqua" w:hAnsi="Book Antiqua"/>
          <w:sz w:val="24"/>
          <w:szCs w:val="24"/>
        </w:rPr>
        <w:t xml:space="preserve">a </w:t>
      </w:r>
      <w:r w:rsidR="00DF377C" w:rsidRPr="001B798A">
        <w:rPr>
          <w:rFonts w:ascii="Book Antiqua" w:hAnsi="Book Antiqua"/>
          <w:sz w:val="24"/>
          <w:szCs w:val="24"/>
        </w:rPr>
        <w:t>Bangladeshi</w:t>
      </w:r>
      <w:r w:rsidR="0053231A" w:rsidRPr="001B798A">
        <w:rPr>
          <w:rFonts w:ascii="Book Antiqua" w:hAnsi="Book Antiqua"/>
          <w:sz w:val="24"/>
          <w:szCs w:val="24"/>
        </w:rPr>
        <w:t xml:space="preserve"> </w:t>
      </w:r>
      <w:r w:rsidR="00E65F56" w:rsidRPr="001B798A">
        <w:rPr>
          <w:rFonts w:ascii="Book Antiqua" w:hAnsi="Book Antiqua"/>
          <w:sz w:val="24"/>
          <w:szCs w:val="24"/>
        </w:rPr>
        <w:t>national bor</w:t>
      </w:r>
      <w:r w:rsidR="00F023EA" w:rsidRPr="001B798A">
        <w:rPr>
          <w:rFonts w:ascii="Book Antiqua" w:hAnsi="Book Antiqua"/>
          <w:sz w:val="24"/>
          <w:szCs w:val="24"/>
        </w:rPr>
        <w:t xml:space="preserve">n on </w:t>
      </w:r>
      <w:r w:rsidR="00DF377C" w:rsidRPr="001B798A">
        <w:rPr>
          <w:rFonts w:ascii="Book Antiqua" w:hAnsi="Book Antiqua"/>
          <w:sz w:val="24"/>
          <w:szCs w:val="24"/>
        </w:rPr>
        <w:t>10.2.89</w:t>
      </w:r>
      <w:r w:rsidR="00F023EA" w:rsidRPr="001B798A">
        <w:rPr>
          <w:rFonts w:ascii="Book Antiqua" w:hAnsi="Book Antiqua"/>
          <w:sz w:val="24"/>
          <w:szCs w:val="24"/>
        </w:rPr>
        <w:t xml:space="preserve">, </w:t>
      </w:r>
      <w:r w:rsidRPr="001B798A">
        <w:rPr>
          <w:rFonts w:ascii="Book Antiqua" w:hAnsi="Book Antiqua"/>
          <w:sz w:val="24"/>
          <w:szCs w:val="24"/>
        </w:rPr>
        <w:t xml:space="preserve">has appealed to the Upper Tribunal </w:t>
      </w:r>
      <w:r w:rsidR="00DF377C" w:rsidRPr="001B798A">
        <w:rPr>
          <w:rFonts w:ascii="Book Antiqua" w:hAnsi="Book Antiqua"/>
          <w:sz w:val="24"/>
          <w:szCs w:val="24"/>
        </w:rPr>
        <w:t xml:space="preserve">with permission </w:t>
      </w:r>
      <w:r w:rsidRPr="001B798A">
        <w:rPr>
          <w:rFonts w:ascii="Book Antiqua" w:hAnsi="Book Antiqua"/>
          <w:sz w:val="24"/>
          <w:szCs w:val="24"/>
        </w:rPr>
        <w:t xml:space="preserve">against the decision of the First-tier Tribunal </w:t>
      </w:r>
      <w:r w:rsidR="00E73154" w:rsidRPr="001B798A">
        <w:rPr>
          <w:rFonts w:ascii="Book Antiqua" w:hAnsi="Book Antiqua"/>
          <w:sz w:val="24"/>
          <w:szCs w:val="24"/>
        </w:rPr>
        <w:t xml:space="preserve">promulgated </w:t>
      </w:r>
      <w:r w:rsidR="00DF377C" w:rsidRPr="001B798A">
        <w:rPr>
          <w:rFonts w:ascii="Book Antiqua" w:hAnsi="Book Antiqua"/>
          <w:sz w:val="24"/>
          <w:szCs w:val="24"/>
        </w:rPr>
        <w:t>9.4.20</w:t>
      </w:r>
      <w:r w:rsidR="00617657" w:rsidRPr="001B798A">
        <w:rPr>
          <w:rFonts w:ascii="Book Antiqua" w:hAnsi="Book Antiqua"/>
          <w:sz w:val="24"/>
          <w:szCs w:val="24"/>
        </w:rPr>
        <w:t xml:space="preserve">, dismissing </w:t>
      </w:r>
      <w:r w:rsidR="003A004C" w:rsidRPr="001B798A">
        <w:rPr>
          <w:rFonts w:ascii="Book Antiqua" w:hAnsi="Book Antiqua"/>
          <w:sz w:val="24"/>
          <w:szCs w:val="24"/>
        </w:rPr>
        <w:t xml:space="preserve">on all grounds </w:t>
      </w:r>
      <w:r w:rsidR="00617657" w:rsidRPr="001B798A">
        <w:rPr>
          <w:rFonts w:ascii="Book Antiqua" w:hAnsi="Book Antiqua"/>
          <w:sz w:val="24"/>
          <w:szCs w:val="24"/>
        </w:rPr>
        <w:t xml:space="preserve">his appeal against the decision of the Secretary of State, dated </w:t>
      </w:r>
      <w:r w:rsidR="005307EE" w:rsidRPr="001B798A">
        <w:rPr>
          <w:rFonts w:ascii="Book Antiqua" w:hAnsi="Book Antiqua"/>
          <w:sz w:val="24"/>
          <w:szCs w:val="24"/>
        </w:rPr>
        <w:t>15.10.19</w:t>
      </w:r>
      <w:r w:rsidR="00617657" w:rsidRPr="001B798A">
        <w:rPr>
          <w:rFonts w:ascii="Book Antiqua" w:hAnsi="Book Antiqua"/>
          <w:sz w:val="24"/>
          <w:szCs w:val="24"/>
        </w:rPr>
        <w:t xml:space="preserve">, to refuse his </w:t>
      </w:r>
      <w:r w:rsidR="005307EE" w:rsidRPr="001B798A">
        <w:rPr>
          <w:rFonts w:ascii="Book Antiqua" w:hAnsi="Book Antiqua"/>
          <w:sz w:val="24"/>
          <w:szCs w:val="24"/>
        </w:rPr>
        <w:t xml:space="preserve">application made on 29.9.19 for Indefinite Leave to Remain on the basis of 10 years’ continuous lawful residence </w:t>
      </w:r>
      <w:r w:rsidR="005307EE" w:rsidRPr="001B798A">
        <w:rPr>
          <w:rFonts w:ascii="Book Antiqua" w:hAnsi="Book Antiqua"/>
          <w:sz w:val="24"/>
          <w:szCs w:val="24"/>
        </w:rPr>
        <w:lastRenderedPageBreak/>
        <w:t xml:space="preserve">pursuant to paragraph 276B of the Immigration Rules and on private life grounds pursuant to article 8 ECHR. </w:t>
      </w:r>
      <w:r w:rsidR="00881066" w:rsidRPr="001B798A">
        <w:rPr>
          <w:rFonts w:ascii="Book Antiqua" w:hAnsi="Book Antiqua"/>
          <w:sz w:val="24"/>
          <w:szCs w:val="24"/>
        </w:rPr>
        <w:t xml:space="preserve"> </w:t>
      </w:r>
      <w:r w:rsidR="00617657" w:rsidRPr="001B798A">
        <w:rPr>
          <w:rFonts w:ascii="Book Antiqua" w:hAnsi="Book Antiqua"/>
          <w:sz w:val="24"/>
          <w:szCs w:val="24"/>
        </w:rPr>
        <w:t xml:space="preserve"> </w:t>
      </w:r>
    </w:p>
    <w:p w14:paraId="4B10622D" w14:textId="14CDED81" w:rsidR="00475495" w:rsidRPr="001B798A" w:rsidRDefault="00475495" w:rsidP="00741F22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I have carefully considered the decision of the First-tier Tribunal</w:t>
      </w:r>
      <w:r w:rsidR="00643137" w:rsidRPr="001B798A">
        <w:rPr>
          <w:rFonts w:ascii="Book Antiqua" w:hAnsi="Book Antiqua"/>
          <w:sz w:val="24"/>
          <w:szCs w:val="24"/>
        </w:rPr>
        <w:t xml:space="preserve"> </w:t>
      </w:r>
      <w:r w:rsidRPr="001B798A">
        <w:rPr>
          <w:rFonts w:ascii="Book Antiqua" w:hAnsi="Book Antiqua"/>
          <w:sz w:val="24"/>
          <w:szCs w:val="24"/>
        </w:rPr>
        <w:t>in the light of the submissions</w:t>
      </w:r>
      <w:r w:rsidR="004C6B55" w:rsidRPr="001B798A">
        <w:rPr>
          <w:rFonts w:ascii="Book Antiqua" w:hAnsi="Book Antiqua"/>
          <w:sz w:val="24"/>
          <w:szCs w:val="24"/>
        </w:rPr>
        <w:t xml:space="preserve"> made to me</w:t>
      </w:r>
      <w:r w:rsidRPr="001B798A">
        <w:rPr>
          <w:rFonts w:ascii="Book Antiqua" w:hAnsi="Book Antiqua"/>
          <w:sz w:val="24"/>
          <w:szCs w:val="24"/>
        </w:rPr>
        <w:t xml:space="preserve"> and the grounds of application for permission to appeal to the Upper Tribunal.  </w:t>
      </w:r>
      <w:r w:rsidR="00892477" w:rsidRPr="001B798A">
        <w:rPr>
          <w:rFonts w:ascii="Book Antiqua" w:hAnsi="Book Antiqua"/>
          <w:sz w:val="24"/>
          <w:szCs w:val="24"/>
        </w:rPr>
        <w:t>I note that the appellant was present at the remote hearing but not called on to contribute.</w:t>
      </w:r>
    </w:p>
    <w:p w14:paraId="2EB7EC0D" w14:textId="42AABB65" w:rsidR="006767F1" w:rsidRPr="001B798A" w:rsidRDefault="006767F1" w:rsidP="00741F22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The grounds assert that the First-tier Tribunal erred in finding that the appellant failed to meet the requirements of paragraph 276B</w:t>
      </w:r>
      <w:r w:rsidR="005C7B87" w:rsidRPr="001B798A">
        <w:rPr>
          <w:rFonts w:ascii="Book Antiqua" w:hAnsi="Book Antiqua"/>
          <w:sz w:val="24"/>
          <w:szCs w:val="24"/>
        </w:rPr>
        <w:t>; that the judge erred by failing to make a finding on the appellant’s assertion that removal would be disproportionate</w:t>
      </w:r>
      <w:r w:rsidR="00227154" w:rsidRPr="001B798A">
        <w:rPr>
          <w:rFonts w:ascii="Book Antiqua" w:hAnsi="Book Antiqua"/>
          <w:sz w:val="24"/>
          <w:szCs w:val="24"/>
        </w:rPr>
        <w:t xml:space="preserve">; and that the appellant should have been put back into the position he would have been in had the allegation of cheating in an English language test not been made. </w:t>
      </w:r>
    </w:p>
    <w:p w14:paraId="429D8AE4" w14:textId="4854628B" w:rsidR="000B18DA" w:rsidRPr="001B798A" w:rsidRDefault="00364C01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Per</w:t>
      </w:r>
      <w:r w:rsidR="002E282F" w:rsidRPr="001B798A">
        <w:rPr>
          <w:rFonts w:ascii="Book Antiqua" w:hAnsi="Book Antiqua"/>
          <w:sz w:val="24"/>
          <w:szCs w:val="24"/>
        </w:rPr>
        <w:t xml:space="preserve">mission to appeal was granted </w:t>
      </w:r>
      <w:r w:rsidR="004C6B55" w:rsidRPr="001B798A">
        <w:rPr>
          <w:rFonts w:ascii="Book Antiqua" w:hAnsi="Book Antiqua"/>
          <w:sz w:val="24"/>
          <w:szCs w:val="24"/>
        </w:rPr>
        <w:t xml:space="preserve">by First-tier Tribunal Judge </w:t>
      </w:r>
      <w:proofErr w:type="spellStart"/>
      <w:r w:rsidR="004C6B55" w:rsidRPr="001B798A">
        <w:rPr>
          <w:rFonts w:ascii="Book Antiqua" w:hAnsi="Book Antiqua"/>
          <w:sz w:val="24"/>
          <w:szCs w:val="24"/>
        </w:rPr>
        <w:t>Bulpitt</w:t>
      </w:r>
      <w:proofErr w:type="spellEnd"/>
      <w:r w:rsidR="004C6B55" w:rsidRPr="001B798A">
        <w:rPr>
          <w:rFonts w:ascii="Book Antiqua" w:hAnsi="Book Antiqua"/>
          <w:sz w:val="24"/>
          <w:szCs w:val="24"/>
        </w:rPr>
        <w:t xml:space="preserve"> on 6.5.20</w:t>
      </w:r>
      <w:r w:rsidR="00EB70C5" w:rsidRPr="001B798A">
        <w:rPr>
          <w:rFonts w:ascii="Book Antiqua" w:hAnsi="Book Antiqua"/>
          <w:sz w:val="24"/>
          <w:szCs w:val="24"/>
        </w:rPr>
        <w:t xml:space="preserve">, finding the second ground only arguable. </w:t>
      </w:r>
    </w:p>
    <w:p w14:paraId="6C78A7FE" w14:textId="6F134B02" w:rsidR="005F3CCF" w:rsidRPr="001B798A" w:rsidRDefault="00227154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 xml:space="preserve">Judge </w:t>
      </w:r>
      <w:proofErr w:type="spellStart"/>
      <w:r w:rsidRPr="001B798A">
        <w:rPr>
          <w:rFonts w:ascii="Book Antiqua" w:hAnsi="Book Antiqua"/>
          <w:sz w:val="24"/>
          <w:szCs w:val="24"/>
        </w:rPr>
        <w:t>Bulpitt</w:t>
      </w:r>
      <w:proofErr w:type="spellEnd"/>
      <w:r w:rsidRPr="001B798A">
        <w:rPr>
          <w:rFonts w:ascii="Book Antiqua" w:hAnsi="Book Antiqua"/>
          <w:sz w:val="24"/>
          <w:szCs w:val="24"/>
        </w:rPr>
        <w:t xml:space="preserve"> considered that there was little merit in the first ground. The evidence before the First-tier Tribunal was that the appellant’s continuous lawful residence in the UK was less than 10 years and accordingly, following </w:t>
      </w:r>
      <w:r w:rsidRPr="001B798A">
        <w:rPr>
          <w:rFonts w:ascii="Book Antiqua" w:hAnsi="Book Antiqua"/>
          <w:sz w:val="24"/>
          <w:szCs w:val="24"/>
          <w:u w:val="single"/>
        </w:rPr>
        <w:t>R (Ahmed v SSHD)</w:t>
      </w:r>
      <w:r w:rsidR="00833A3C" w:rsidRPr="001B798A">
        <w:rPr>
          <w:rFonts w:ascii="Book Antiqua" w:hAnsi="Book Antiqua"/>
          <w:sz w:val="24"/>
          <w:szCs w:val="24"/>
        </w:rPr>
        <w:t xml:space="preserve"> [2019] EWCA Civ 1070, he could not meet the requirements of paragraph 276B. </w:t>
      </w:r>
    </w:p>
    <w:p w14:paraId="52316F61" w14:textId="5EBB8639" w:rsidR="00833A3C" w:rsidRPr="001B798A" w:rsidRDefault="00833A3C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 xml:space="preserve">In relation to the second ground, Judge </w:t>
      </w:r>
      <w:proofErr w:type="spellStart"/>
      <w:r w:rsidRPr="001B798A">
        <w:rPr>
          <w:rFonts w:ascii="Book Antiqua" w:hAnsi="Book Antiqua"/>
          <w:sz w:val="24"/>
          <w:szCs w:val="24"/>
        </w:rPr>
        <w:t>Bulpitt</w:t>
      </w:r>
      <w:proofErr w:type="spellEnd"/>
      <w:r w:rsidRPr="001B798A">
        <w:rPr>
          <w:rFonts w:ascii="Book Antiqua" w:hAnsi="Book Antiqua"/>
          <w:sz w:val="24"/>
          <w:szCs w:val="24"/>
        </w:rPr>
        <w:t xml:space="preserve"> considered it arguable that </w:t>
      </w:r>
      <w:r w:rsidR="009C729B" w:rsidRPr="001B798A">
        <w:rPr>
          <w:rFonts w:ascii="Book Antiqua" w:hAnsi="Book Antiqua"/>
          <w:sz w:val="24"/>
          <w:szCs w:val="24"/>
        </w:rPr>
        <w:t>the appellant’s case that it would be proportionate for him to be put back</w:t>
      </w:r>
      <w:r w:rsidR="00574238" w:rsidRPr="001B798A">
        <w:rPr>
          <w:rFonts w:ascii="Book Antiqua" w:hAnsi="Book Antiqua"/>
          <w:sz w:val="24"/>
          <w:szCs w:val="24"/>
        </w:rPr>
        <w:t xml:space="preserve"> in the position he would have been had the allegation of cheating not been made was not engaged with by the First-tier Tribunal</w:t>
      </w:r>
      <w:r w:rsidR="00152FBB" w:rsidRPr="001B798A">
        <w:rPr>
          <w:rFonts w:ascii="Book Antiqua" w:hAnsi="Book Antiqua"/>
          <w:sz w:val="24"/>
          <w:szCs w:val="24"/>
        </w:rPr>
        <w:t xml:space="preserve"> and no reasoned findings made in respect of it. </w:t>
      </w:r>
    </w:p>
    <w:p w14:paraId="5B1912D8" w14:textId="41B348EB" w:rsidR="00152FBB" w:rsidRPr="001B798A" w:rsidRDefault="00152FBB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 xml:space="preserve">I was assisted by Mr </w:t>
      </w:r>
      <w:r w:rsidR="00BA4EAE" w:rsidRPr="001B798A">
        <w:rPr>
          <w:rFonts w:ascii="Book Antiqua" w:hAnsi="Book Antiqua"/>
          <w:sz w:val="24"/>
          <w:szCs w:val="24"/>
        </w:rPr>
        <w:t xml:space="preserve">Sharma’s helpful and detailed grounds of application for permission to appeal. Mr Bates explained that the appellant had sought </w:t>
      </w:r>
      <w:r w:rsidR="00297FF4" w:rsidRPr="001B798A">
        <w:rPr>
          <w:rFonts w:ascii="Book Antiqua" w:hAnsi="Book Antiqua"/>
          <w:sz w:val="24"/>
          <w:szCs w:val="24"/>
        </w:rPr>
        <w:t>judicial review permission and the respondent had replied on 22.5.20 to the Pre-action Protocol. A copy of that res</w:t>
      </w:r>
      <w:r w:rsidR="004A06AF" w:rsidRPr="001B798A">
        <w:rPr>
          <w:rFonts w:ascii="Book Antiqua" w:hAnsi="Book Antiqua"/>
          <w:sz w:val="24"/>
          <w:szCs w:val="24"/>
        </w:rPr>
        <w:t>ponse</w:t>
      </w:r>
      <w:r w:rsidR="00297FF4" w:rsidRPr="001B798A">
        <w:rPr>
          <w:rFonts w:ascii="Book Antiqua" w:hAnsi="Book Antiqua"/>
          <w:sz w:val="24"/>
          <w:szCs w:val="24"/>
        </w:rPr>
        <w:t xml:space="preserve"> was emailed to me and to Mr Sharma. </w:t>
      </w:r>
    </w:p>
    <w:p w14:paraId="6C99072B" w14:textId="45409295" w:rsidR="00152FBB" w:rsidRPr="001B798A" w:rsidRDefault="00152FBB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In</w:t>
      </w:r>
      <w:r w:rsidR="004A06AF" w:rsidRPr="001B798A">
        <w:rPr>
          <w:rFonts w:ascii="Book Antiqua" w:hAnsi="Book Antiqua"/>
          <w:sz w:val="24"/>
          <w:szCs w:val="24"/>
        </w:rPr>
        <w:t xml:space="preserve"> his submissions</w:t>
      </w:r>
      <w:r w:rsidRPr="001B798A">
        <w:rPr>
          <w:rFonts w:ascii="Book Antiqua" w:hAnsi="Book Antiqua"/>
          <w:sz w:val="24"/>
          <w:szCs w:val="24"/>
        </w:rPr>
        <w:t xml:space="preserve"> Mr Sharma </w:t>
      </w:r>
      <w:r w:rsidR="004A06AF" w:rsidRPr="001B798A">
        <w:rPr>
          <w:rFonts w:ascii="Book Antiqua" w:hAnsi="Book Antiqua"/>
          <w:sz w:val="24"/>
          <w:szCs w:val="24"/>
        </w:rPr>
        <w:t>largely relied on his helpful grounds</w:t>
      </w:r>
      <w:r w:rsidR="00AA1522" w:rsidRPr="001B798A">
        <w:rPr>
          <w:rFonts w:ascii="Book Antiqua" w:hAnsi="Book Antiqua"/>
          <w:sz w:val="24"/>
          <w:szCs w:val="24"/>
        </w:rPr>
        <w:t xml:space="preserve"> and made further submissions in response to my queries and Mr Bates’s submissions, as noted below.</w:t>
      </w:r>
    </w:p>
    <w:p w14:paraId="59443605" w14:textId="7780D61E" w:rsidR="00AA1522" w:rsidRPr="001B798A" w:rsidRDefault="00AA1522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In respect of the first gro</w:t>
      </w:r>
      <w:r w:rsidR="00F5101C" w:rsidRPr="001B798A">
        <w:rPr>
          <w:rFonts w:ascii="Book Antiqua" w:hAnsi="Book Antiqua"/>
          <w:sz w:val="24"/>
          <w:szCs w:val="24"/>
        </w:rPr>
        <w:t xml:space="preserve">und, Mr Sharma accepted that </w:t>
      </w:r>
      <w:proofErr w:type="gramStart"/>
      <w:r w:rsidR="00F5101C" w:rsidRPr="001B798A">
        <w:rPr>
          <w:rFonts w:ascii="Book Antiqua" w:hAnsi="Book Antiqua"/>
          <w:sz w:val="24"/>
          <w:szCs w:val="24"/>
        </w:rPr>
        <w:t>on the basis of</w:t>
      </w:r>
      <w:proofErr w:type="gramEnd"/>
      <w:r w:rsidR="00F5101C" w:rsidRPr="001B798A">
        <w:rPr>
          <w:rFonts w:ascii="Book Antiqua" w:hAnsi="Book Antiqua"/>
          <w:sz w:val="24"/>
          <w:szCs w:val="24"/>
        </w:rPr>
        <w:t xml:space="preserve"> the law as it stands, the appellant is not able to take advantage of paragraph 39E to extend the period </w:t>
      </w:r>
      <w:r w:rsidR="000146AF" w:rsidRPr="001B798A">
        <w:rPr>
          <w:rFonts w:ascii="Book Antiqua" w:hAnsi="Book Antiqua"/>
          <w:sz w:val="24"/>
          <w:szCs w:val="24"/>
        </w:rPr>
        <w:t>of his lawful leave. Mr Sharma did not concede the point, telling me that there is a pending case on the same</w:t>
      </w:r>
      <w:r w:rsidR="003B7934" w:rsidRPr="001B798A">
        <w:rPr>
          <w:rFonts w:ascii="Book Antiqua" w:hAnsi="Book Antiqua"/>
          <w:sz w:val="24"/>
          <w:szCs w:val="24"/>
        </w:rPr>
        <w:t xml:space="preserve"> subject before the Court of Appeal, but reserved his position. It follows that for the reasons outlined by Judge </w:t>
      </w:r>
      <w:proofErr w:type="spellStart"/>
      <w:r w:rsidR="003B7934" w:rsidRPr="001B798A">
        <w:rPr>
          <w:rFonts w:ascii="Book Antiqua" w:hAnsi="Book Antiqua"/>
          <w:sz w:val="24"/>
          <w:szCs w:val="24"/>
        </w:rPr>
        <w:t>B</w:t>
      </w:r>
      <w:r w:rsidR="00322D4B" w:rsidRPr="001B798A">
        <w:rPr>
          <w:rFonts w:ascii="Book Antiqua" w:hAnsi="Book Antiqua"/>
          <w:sz w:val="24"/>
          <w:szCs w:val="24"/>
        </w:rPr>
        <w:t>ulpitt</w:t>
      </w:r>
      <w:proofErr w:type="spellEnd"/>
      <w:r w:rsidR="00322D4B" w:rsidRPr="001B798A">
        <w:rPr>
          <w:rFonts w:ascii="Book Antiqua" w:hAnsi="Book Antiqua"/>
          <w:sz w:val="24"/>
          <w:szCs w:val="24"/>
        </w:rPr>
        <w:t xml:space="preserve">, no error of law is disclosed by the first ground. </w:t>
      </w:r>
    </w:p>
    <w:p w14:paraId="745686AE" w14:textId="6F7AA5B6" w:rsidR="00C51CF8" w:rsidRPr="001B798A" w:rsidRDefault="005749EB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 xml:space="preserve">In respect of the second ground, Mr Sharma relied on </w:t>
      </w:r>
      <w:r w:rsidR="00013B67" w:rsidRPr="001B798A">
        <w:rPr>
          <w:rFonts w:ascii="Book Antiqua" w:hAnsi="Book Antiqua"/>
          <w:sz w:val="24"/>
          <w:szCs w:val="24"/>
        </w:rPr>
        <w:t>the finding of the Upper Tribunal decision in 2017 at [9] that it was reasonably likely to have been because of the unfounded allegation that</w:t>
      </w:r>
      <w:r w:rsidR="00297DB5" w:rsidRPr="001B798A">
        <w:rPr>
          <w:rFonts w:ascii="Book Antiqua" w:hAnsi="Book Antiqua"/>
          <w:sz w:val="24"/>
          <w:szCs w:val="24"/>
        </w:rPr>
        <w:t xml:space="preserve"> the appellant was unable to provide a</w:t>
      </w:r>
      <w:r w:rsidR="00F37F5D" w:rsidRPr="001B798A">
        <w:rPr>
          <w:rFonts w:ascii="Book Antiqua" w:hAnsi="Book Antiqua"/>
          <w:sz w:val="24"/>
          <w:szCs w:val="24"/>
        </w:rPr>
        <w:t xml:space="preserve"> CAS. </w:t>
      </w:r>
      <w:r w:rsidR="00C51CF8" w:rsidRPr="001B798A">
        <w:rPr>
          <w:rFonts w:ascii="Book Antiqua" w:hAnsi="Book Antiqua"/>
          <w:sz w:val="24"/>
          <w:szCs w:val="24"/>
        </w:rPr>
        <w:t xml:space="preserve">Mr Sharma’s submissions and grounds do not in fact demonstrate that to be even likely. </w:t>
      </w:r>
      <w:r w:rsidR="007E62CB" w:rsidRPr="001B798A">
        <w:rPr>
          <w:rFonts w:ascii="Book Antiqua" w:hAnsi="Book Antiqua"/>
          <w:sz w:val="24"/>
          <w:szCs w:val="24"/>
        </w:rPr>
        <w:t>For the reasons set out below, e</w:t>
      </w:r>
      <w:r w:rsidR="00312F82" w:rsidRPr="001B798A">
        <w:rPr>
          <w:rFonts w:ascii="Book Antiqua" w:hAnsi="Book Antiqua"/>
          <w:sz w:val="24"/>
          <w:szCs w:val="24"/>
        </w:rPr>
        <w:t xml:space="preserve">ven </w:t>
      </w:r>
      <w:r w:rsidR="009D08A7" w:rsidRPr="001B798A">
        <w:rPr>
          <w:rFonts w:ascii="Book Antiqua" w:hAnsi="Book Antiqua"/>
          <w:sz w:val="24"/>
          <w:szCs w:val="24"/>
        </w:rPr>
        <w:t xml:space="preserve">without the ETS fraud allegation </w:t>
      </w:r>
      <w:r w:rsidR="00CA740A" w:rsidRPr="001B798A">
        <w:rPr>
          <w:rFonts w:ascii="Book Antiqua" w:hAnsi="Book Antiqua"/>
          <w:sz w:val="24"/>
          <w:szCs w:val="24"/>
        </w:rPr>
        <w:t>the application would have failed for want of a CAS.</w:t>
      </w:r>
      <w:bookmarkStart w:id="0" w:name="_GoBack"/>
      <w:bookmarkEnd w:id="0"/>
      <w:r w:rsidR="00CA740A" w:rsidRPr="001B798A">
        <w:rPr>
          <w:rFonts w:ascii="Book Antiqua" w:hAnsi="Book Antiqua"/>
          <w:sz w:val="24"/>
          <w:szCs w:val="24"/>
        </w:rPr>
        <w:t xml:space="preserve"> The</w:t>
      </w:r>
      <w:r w:rsidR="00632E4C" w:rsidRPr="001B798A">
        <w:rPr>
          <w:rFonts w:ascii="Book Antiqua" w:hAnsi="Book Antiqua"/>
          <w:sz w:val="24"/>
          <w:szCs w:val="24"/>
        </w:rPr>
        <w:t xml:space="preserve"> submissions and the grounds do not </w:t>
      </w:r>
      <w:r w:rsidR="00632E4C" w:rsidRPr="001B798A">
        <w:rPr>
          <w:rFonts w:ascii="Book Antiqua" w:hAnsi="Book Antiqua"/>
          <w:sz w:val="24"/>
          <w:szCs w:val="24"/>
        </w:rPr>
        <w:lastRenderedPageBreak/>
        <w:t>adequately grapple with this point</w:t>
      </w:r>
      <w:r w:rsidR="00031A2C" w:rsidRPr="001B798A">
        <w:rPr>
          <w:rFonts w:ascii="Book Antiqua" w:hAnsi="Book Antiqua"/>
          <w:sz w:val="24"/>
          <w:szCs w:val="24"/>
        </w:rPr>
        <w:t xml:space="preserve"> and </w:t>
      </w:r>
      <w:r w:rsidR="00F969B2" w:rsidRPr="001B798A">
        <w:rPr>
          <w:rFonts w:ascii="Book Antiqua" w:hAnsi="Book Antiqua"/>
          <w:sz w:val="24"/>
          <w:szCs w:val="24"/>
        </w:rPr>
        <w:t>reliance on case law where the sole reason for refusal was the ETS point does n</w:t>
      </w:r>
      <w:r w:rsidR="0029440A" w:rsidRPr="001B798A">
        <w:rPr>
          <w:rFonts w:ascii="Book Antiqua" w:hAnsi="Book Antiqua"/>
          <w:sz w:val="24"/>
          <w:szCs w:val="24"/>
        </w:rPr>
        <w:t xml:space="preserve">ot help the appellant. </w:t>
      </w:r>
      <w:r w:rsidR="00031A2C" w:rsidRPr="001B798A">
        <w:rPr>
          <w:rFonts w:ascii="Book Antiqua" w:hAnsi="Book Antiqua"/>
          <w:sz w:val="24"/>
          <w:szCs w:val="24"/>
        </w:rPr>
        <w:t xml:space="preserve"> </w:t>
      </w:r>
    </w:p>
    <w:p w14:paraId="24A32BB8" w14:textId="74060961" w:rsidR="005749EB" w:rsidRPr="001B798A" w:rsidRDefault="00F37F5D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 xml:space="preserve">It was submitted to me that the </w:t>
      </w:r>
      <w:r w:rsidR="0029440A" w:rsidRPr="001B798A">
        <w:rPr>
          <w:rFonts w:ascii="Book Antiqua" w:hAnsi="Book Antiqua"/>
          <w:sz w:val="24"/>
          <w:szCs w:val="24"/>
        </w:rPr>
        <w:t xml:space="preserve">more particular </w:t>
      </w:r>
      <w:r w:rsidRPr="001B798A">
        <w:rPr>
          <w:rFonts w:ascii="Book Antiqua" w:hAnsi="Book Antiqua"/>
          <w:sz w:val="24"/>
          <w:szCs w:val="24"/>
        </w:rPr>
        <w:t xml:space="preserve">point made to the First-tier Tribunal, and which was not the subject of any previous decision, </w:t>
      </w:r>
      <w:r w:rsidR="00EC673F" w:rsidRPr="001B798A">
        <w:rPr>
          <w:rFonts w:ascii="Book Antiqua" w:hAnsi="Book Antiqua"/>
          <w:sz w:val="24"/>
          <w:szCs w:val="24"/>
        </w:rPr>
        <w:t xml:space="preserve">was that success on the ETS allegation ought to have afforded the appellant an opportunity to resolve his </w:t>
      </w:r>
      <w:r w:rsidR="000B39B6" w:rsidRPr="001B798A">
        <w:rPr>
          <w:rFonts w:ascii="Book Antiqua" w:hAnsi="Book Antiqua"/>
          <w:sz w:val="24"/>
          <w:szCs w:val="24"/>
        </w:rPr>
        <w:t xml:space="preserve">immigration status and, therefore, the respondent’s decision was disproportionate. The complaint is that the </w:t>
      </w:r>
      <w:r w:rsidR="00C768CB" w:rsidRPr="001B798A">
        <w:rPr>
          <w:rFonts w:ascii="Book Antiqua" w:hAnsi="Book Antiqua"/>
          <w:sz w:val="24"/>
          <w:szCs w:val="24"/>
        </w:rPr>
        <w:t xml:space="preserve">impugned First-tier Tribunal decision did not address this argument at all. </w:t>
      </w:r>
    </w:p>
    <w:p w14:paraId="76A3AF6C" w14:textId="5D6D1014" w:rsidR="004325C5" w:rsidRPr="001B798A" w:rsidRDefault="00037403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I</w:t>
      </w:r>
      <w:r w:rsidR="005F3598" w:rsidRPr="001B798A">
        <w:rPr>
          <w:rFonts w:ascii="Book Antiqua" w:hAnsi="Book Antiqua"/>
          <w:sz w:val="24"/>
          <w:szCs w:val="24"/>
        </w:rPr>
        <w:t>n respect of th</w:t>
      </w:r>
      <w:r w:rsidR="007E62CB" w:rsidRPr="001B798A">
        <w:rPr>
          <w:rFonts w:ascii="Book Antiqua" w:hAnsi="Book Antiqua"/>
          <w:sz w:val="24"/>
          <w:szCs w:val="24"/>
        </w:rPr>
        <w:t>is</w:t>
      </w:r>
      <w:r w:rsidR="005F3598" w:rsidRPr="001B798A">
        <w:rPr>
          <w:rFonts w:ascii="Book Antiqua" w:hAnsi="Book Antiqua"/>
          <w:sz w:val="24"/>
          <w:szCs w:val="24"/>
        </w:rPr>
        <w:t xml:space="preserve"> second ground, Mr Bates referred me to the PAP response of 22.5.20, where it was pointed out that the appellant’s 2014 stud</w:t>
      </w:r>
      <w:r w:rsidR="008E55D0" w:rsidRPr="001B798A">
        <w:rPr>
          <w:rFonts w:ascii="Book Antiqua" w:hAnsi="Book Antiqua"/>
          <w:sz w:val="24"/>
          <w:szCs w:val="24"/>
        </w:rPr>
        <w:t xml:space="preserve">ent leave application was refused in 2015 for both the ETS point and because no CAS had been submitted, whether valid or not. </w:t>
      </w:r>
      <w:r w:rsidR="00D719A2" w:rsidRPr="001B798A">
        <w:rPr>
          <w:rFonts w:ascii="Book Antiqua" w:hAnsi="Book Antiqua"/>
          <w:sz w:val="24"/>
          <w:szCs w:val="24"/>
        </w:rPr>
        <w:t xml:space="preserve">In respect of the point made in </w:t>
      </w:r>
      <w:proofErr w:type="spellStart"/>
      <w:r w:rsidR="00D719A2" w:rsidRPr="001B798A">
        <w:rPr>
          <w:rFonts w:ascii="Book Antiqua" w:hAnsi="Book Antiqua"/>
          <w:sz w:val="24"/>
          <w:szCs w:val="24"/>
          <w:u w:val="single"/>
        </w:rPr>
        <w:t>Absan</w:t>
      </w:r>
      <w:proofErr w:type="spellEnd"/>
      <w:r w:rsidR="00D719A2" w:rsidRPr="001B798A">
        <w:rPr>
          <w:rFonts w:ascii="Book Antiqua" w:hAnsi="Book Antiqua"/>
          <w:sz w:val="24"/>
          <w:szCs w:val="24"/>
        </w:rPr>
        <w:t xml:space="preserve"> </w:t>
      </w:r>
      <w:r w:rsidR="00CD1244" w:rsidRPr="001B798A">
        <w:rPr>
          <w:rFonts w:ascii="Book Antiqua" w:hAnsi="Book Antiqua"/>
          <w:sz w:val="24"/>
          <w:szCs w:val="24"/>
        </w:rPr>
        <w:t>that if an appe</w:t>
      </w:r>
      <w:r w:rsidR="00B528BD" w:rsidRPr="001B798A">
        <w:rPr>
          <w:rFonts w:ascii="Book Antiqua" w:hAnsi="Book Antiqua"/>
          <w:sz w:val="24"/>
          <w:szCs w:val="24"/>
        </w:rPr>
        <w:t>llant is found not to have cheated, “the Secretary of State would be obliged to deal with him or her thereafter so far as</w:t>
      </w:r>
      <w:r w:rsidR="00236B3A" w:rsidRPr="001B798A">
        <w:rPr>
          <w:rFonts w:ascii="Book Antiqua" w:hAnsi="Book Antiqua"/>
          <w:sz w:val="24"/>
          <w:szCs w:val="24"/>
        </w:rPr>
        <w:t xml:space="preserve"> possible as if that error had not been made, i.e. as if their leave to remain had not been invalidated</w:t>
      </w:r>
      <w:r w:rsidR="007619D2" w:rsidRPr="001B798A">
        <w:rPr>
          <w:rFonts w:ascii="Book Antiqua" w:hAnsi="Book Antiqua"/>
          <w:sz w:val="24"/>
          <w:szCs w:val="24"/>
        </w:rPr>
        <w:t>,</w:t>
      </w:r>
      <w:r w:rsidR="00236B3A" w:rsidRPr="001B798A">
        <w:rPr>
          <w:rFonts w:ascii="Book Antiqua" w:hAnsi="Book Antiqua"/>
          <w:sz w:val="24"/>
          <w:szCs w:val="24"/>
        </w:rPr>
        <w:t xml:space="preserve">” </w:t>
      </w:r>
      <w:r w:rsidR="007619D2" w:rsidRPr="001B798A">
        <w:rPr>
          <w:rFonts w:ascii="Book Antiqua" w:hAnsi="Book Antiqua"/>
          <w:sz w:val="24"/>
          <w:szCs w:val="24"/>
        </w:rPr>
        <w:t>the respondent</w:t>
      </w:r>
      <w:r w:rsidR="00C768CB" w:rsidRPr="001B798A">
        <w:rPr>
          <w:rFonts w:ascii="Book Antiqua" w:hAnsi="Book Antiqua"/>
          <w:sz w:val="24"/>
          <w:szCs w:val="24"/>
        </w:rPr>
        <w:t>’s c</w:t>
      </w:r>
      <w:r w:rsidR="00186B9B" w:rsidRPr="001B798A">
        <w:rPr>
          <w:rFonts w:ascii="Book Antiqua" w:hAnsi="Book Antiqua"/>
          <w:sz w:val="24"/>
          <w:szCs w:val="24"/>
        </w:rPr>
        <w:t>ase was that because the application had been refused in 2015 for an additional reason</w:t>
      </w:r>
      <w:r w:rsidR="00D37671" w:rsidRPr="001B798A">
        <w:rPr>
          <w:rFonts w:ascii="Book Antiqua" w:hAnsi="Book Antiqua"/>
          <w:sz w:val="24"/>
          <w:szCs w:val="24"/>
        </w:rPr>
        <w:t xml:space="preserve">, the appellant was not entitled to the 60 days’ grace period within which to find an educational sponsor and obtain a CAS. </w:t>
      </w:r>
      <w:r w:rsidR="005A08AC" w:rsidRPr="001B798A">
        <w:rPr>
          <w:rFonts w:ascii="Book Antiqua" w:hAnsi="Book Antiqua"/>
          <w:sz w:val="24"/>
          <w:szCs w:val="24"/>
        </w:rPr>
        <w:t xml:space="preserve">The 60 days discretion only applied where </w:t>
      </w:r>
      <w:r w:rsidR="0014288B" w:rsidRPr="001B798A">
        <w:rPr>
          <w:rFonts w:ascii="Book Antiqua" w:hAnsi="Book Antiqua"/>
          <w:sz w:val="24"/>
          <w:szCs w:val="24"/>
        </w:rPr>
        <w:t>the sponsor loses its licence whilst the application was being considered</w:t>
      </w:r>
      <w:r w:rsidR="00A30525" w:rsidRPr="001B798A">
        <w:rPr>
          <w:rFonts w:ascii="Book Antiqua" w:hAnsi="Book Antiqua"/>
          <w:sz w:val="24"/>
          <w:szCs w:val="24"/>
        </w:rPr>
        <w:t>; which was not this case</w:t>
      </w:r>
      <w:r w:rsidR="0014288B" w:rsidRPr="001B798A">
        <w:rPr>
          <w:rFonts w:ascii="Book Antiqua" w:hAnsi="Book Antiqua"/>
          <w:sz w:val="24"/>
          <w:szCs w:val="24"/>
        </w:rPr>
        <w:t xml:space="preserve">. It follows that the appellant could not have used this period to add </w:t>
      </w:r>
      <w:r w:rsidR="004325C5" w:rsidRPr="001B798A">
        <w:rPr>
          <w:rFonts w:ascii="Book Antiqua" w:hAnsi="Book Antiqua"/>
          <w:sz w:val="24"/>
          <w:szCs w:val="24"/>
        </w:rPr>
        <w:t xml:space="preserve">to his lawful leave or make a fresh application in time. </w:t>
      </w:r>
    </w:p>
    <w:p w14:paraId="6E6B2BE5" w14:textId="77777777" w:rsidR="002F5B96" w:rsidRPr="001B798A" w:rsidRDefault="003C661E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At the First-tier Tribunal appeal hearing, the judge at [48] accepted that the appellant had successfu</w:t>
      </w:r>
      <w:r w:rsidR="00D64D9D" w:rsidRPr="001B798A">
        <w:rPr>
          <w:rFonts w:ascii="Book Antiqua" w:hAnsi="Book Antiqua"/>
          <w:sz w:val="24"/>
          <w:szCs w:val="24"/>
        </w:rPr>
        <w:t xml:space="preserve">lly established that he had not previously obtained an English language certificate by fraud. </w:t>
      </w:r>
      <w:r w:rsidR="00FC0096" w:rsidRPr="001B798A">
        <w:rPr>
          <w:rFonts w:ascii="Book Antiqua" w:hAnsi="Book Antiqua"/>
          <w:sz w:val="24"/>
          <w:szCs w:val="24"/>
        </w:rPr>
        <w:t>“However, it was also found that he did not submit a valid CAS certificate and therefore has not discharged the burden on him. The Appellant a</w:t>
      </w:r>
      <w:r w:rsidR="00DB3868" w:rsidRPr="001B798A">
        <w:rPr>
          <w:rFonts w:ascii="Book Antiqua" w:hAnsi="Book Antiqua"/>
          <w:sz w:val="24"/>
          <w:szCs w:val="24"/>
        </w:rPr>
        <w:t xml:space="preserve">ppealed to the Upper </w:t>
      </w:r>
      <w:proofErr w:type="gramStart"/>
      <w:r w:rsidR="00DB3868" w:rsidRPr="001B798A">
        <w:rPr>
          <w:rFonts w:ascii="Book Antiqua" w:hAnsi="Book Antiqua"/>
          <w:sz w:val="24"/>
          <w:szCs w:val="24"/>
        </w:rPr>
        <w:t>Tribunal</w:t>
      </w:r>
      <w:proofErr w:type="gramEnd"/>
      <w:r w:rsidR="00DB3868" w:rsidRPr="001B798A">
        <w:rPr>
          <w:rFonts w:ascii="Book Antiqua" w:hAnsi="Book Antiqua"/>
          <w:sz w:val="24"/>
          <w:szCs w:val="24"/>
        </w:rPr>
        <w:t xml:space="preserve"> but the appeal was dismissed. I am not satisfied as suggested on behalf of the Appellant that he would be remedied which shou</w:t>
      </w:r>
      <w:r w:rsidR="002F5B96" w:rsidRPr="001B798A">
        <w:rPr>
          <w:rFonts w:ascii="Book Antiqua" w:hAnsi="Book Antiqua"/>
          <w:sz w:val="24"/>
          <w:szCs w:val="24"/>
        </w:rPr>
        <w:t xml:space="preserve">ld result in the grant of leave.” </w:t>
      </w:r>
    </w:p>
    <w:p w14:paraId="0E8169CD" w14:textId="35DFD3A5" w:rsidR="00FD7E70" w:rsidRPr="001B798A" w:rsidRDefault="002F5B96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As Mr Bates submit</w:t>
      </w:r>
      <w:r w:rsidR="00215DAE" w:rsidRPr="001B798A">
        <w:rPr>
          <w:rFonts w:ascii="Book Antiqua" w:hAnsi="Book Antiqua"/>
          <w:sz w:val="24"/>
          <w:szCs w:val="24"/>
        </w:rPr>
        <w:t xml:space="preserve">ted, </w:t>
      </w:r>
      <w:r w:rsidR="00F722E1" w:rsidRPr="001B798A">
        <w:rPr>
          <w:rFonts w:ascii="Book Antiqua" w:hAnsi="Book Antiqua"/>
          <w:sz w:val="24"/>
          <w:szCs w:val="24"/>
        </w:rPr>
        <w:t xml:space="preserve">even if </w:t>
      </w:r>
      <w:r w:rsidR="00053030" w:rsidRPr="001B798A">
        <w:rPr>
          <w:rFonts w:ascii="Book Antiqua" w:hAnsi="Book Antiqua"/>
          <w:sz w:val="24"/>
          <w:szCs w:val="24"/>
        </w:rPr>
        <w:t xml:space="preserve">put back to the position he would have been in, </w:t>
      </w:r>
      <w:r w:rsidR="00215DAE" w:rsidRPr="001B798A">
        <w:rPr>
          <w:rFonts w:ascii="Book Antiqua" w:hAnsi="Book Antiqua"/>
          <w:sz w:val="24"/>
          <w:szCs w:val="24"/>
        </w:rPr>
        <w:t>the appellant could never have succeeded under the Rules in his 2014 student application. He would not have qualified for an</w:t>
      </w:r>
      <w:r w:rsidR="00E15F9A" w:rsidRPr="001B798A">
        <w:rPr>
          <w:rFonts w:ascii="Book Antiqua" w:hAnsi="Book Antiqua"/>
          <w:sz w:val="24"/>
          <w:szCs w:val="24"/>
        </w:rPr>
        <w:t xml:space="preserve">y </w:t>
      </w:r>
      <w:proofErr w:type="gramStart"/>
      <w:r w:rsidR="00E15F9A" w:rsidRPr="001B798A">
        <w:rPr>
          <w:rFonts w:ascii="Book Antiqua" w:hAnsi="Book Antiqua"/>
          <w:sz w:val="24"/>
          <w:szCs w:val="24"/>
        </w:rPr>
        <w:t>60 day</w:t>
      </w:r>
      <w:proofErr w:type="gramEnd"/>
      <w:r w:rsidR="00E15F9A" w:rsidRPr="001B798A">
        <w:rPr>
          <w:rFonts w:ascii="Book Antiqua" w:hAnsi="Book Antiqua"/>
          <w:sz w:val="24"/>
          <w:szCs w:val="24"/>
        </w:rPr>
        <w:t xml:space="preserve"> period of grace and it must follow that his valid leave expired on 19.</w:t>
      </w:r>
      <w:r w:rsidR="00663CED" w:rsidRPr="001B798A">
        <w:rPr>
          <w:rFonts w:ascii="Book Antiqua" w:hAnsi="Book Antiqua"/>
          <w:sz w:val="24"/>
          <w:szCs w:val="24"/>
        </w:rPr>
        <w:t xml:space="preserve">11.18 </w:t>
      </w:r>
      <w:r w:rsidR="00C954B8" w:rsidRPr="001B798A">
        <w:rPr>
          <w:rFonts w:ascii="Book Antiqua" w:hAnsi="Book Antiqua"/>
          <w:sz w:val="24"/>
          <w:szCs w:val="24"/>
        </w:rPr>
        <w:t xml:space="preserve">(extended by his various attempts to appeal) </w:t>
      </w:r>
      <w:r w:rsidR="00663CED" w:rsidRPr="001B798A">
        <w:rPr>
          <w:rFonts w:ascii="Book Antiqua" w:hAnsi="Book Antiqua"/>
          <w:sz w:val="24"/>
          <w:szCs w:val="24"/>
        </w:rPr>
        <w:t>and, therefore, that he cannot meet the 10 year</w:t>
      </w:r>
      <w:r w:rsidR="006C6863" w:rsidRPr="001B798A">
        <w:rPr>
          <w:rFonts w:ascii="Book Antiqua" w:hAnsi="Book Antiqua"/>
          <w:sz w:val="24"/>
          <w:szCs w:val="24"/>
        </w:rPr>
        <w:t>s’</w:t>
      </w:r>
      <w:r w:rsidR="00663CED" w:rsidRPr="001B798A">
        <w:rPr>
          <w:rFonts w:ascii="Book Antiqua" w:hAnsi="Book Antiqua"/>
          <w:sz w:val="24"/>
          <w:szCs w:val="24"/>
        </w:rPr>
        <w:t xml:space="preserve"> continuous lawful residenc</w:t>
      </w:r>
      <w:r w:rsidR="006C6863" w:rsidRPr="001B798A">
        <w:rPr>
          <w:rFonts w:ascii="Book Antiqua" w:hAnsi="Book Antiqua"/>
          <w:sz w:val="24"/>
          <w:szCs w:val="24"/>
        </w:rPr>
        <w:t xml:space="preserve">e requirement. </w:t>
      </w:r>
      <w:r w:rsidR="007619D2" w:rsidRPr="001B798A">
        <w:rPr>
          <w:rFonts w:ascii="Book Antiqua" w:hAnsi="Book Antiqua"/>
          <w:sz w:val="24"/>
          <w:szCs w:val="24"/>
        </w:rPr>
        <w:t xml:space="preserve"> </w:t>
      </w:r>
      <w:r w:rsidR="006C6863" w:rsidRPr="001B798A">
        <w:rPr>
          <w:rFonts w:ascii="Book Antiqua" w:hAnsi="Book Antiqua"/>
          <w:sz w:val="24"/>
          <w:szCs w:val="24"/>
        </w:rPr>
        <w:t xml:space="preserve">Mr Bates submitted that on that basis and without any evidence of compelling circumstances </w:t>
      </w:r>
      <w:r w:rsidR="00356E4B" w:rsidRPr="001B798A">
        <w:rPr>
          <w:rFonts w:ascii="Book Antiqua" w:hAnsi="Book Antiqua"/>
          <w:sz w:val="24"/>
          <w:szCs w:val="24"/>
        </w:rPr>
        <w:t>sufficient to justify granting leave outside the Rules</w:t>
      </w:r>
      <w:r w:rsidR="009337EF" w:rsidRPr="001B798A">
        <w:rPr>
          <w:rFonts w:ascii="Book Antiqua" w:hAnsi="Book Antiqua"/>
          <w:sz w:val="24"/>
          <w:szCs w:val="24"/>
        </w:rPr>
        <w:t xml:space="preserve"> </w:t>
      </w:r>
      <w:r w:rsidR="00356E4B" w:rsidRPr="001B798A">
        <w:rPr>
          <w:rFonts w:ascii="Book Antiqua" w:hAnsi="Book Antiqua"/>
          <w:sz w:val="24"/>
          <w:szCs w:val="24"/>
        </w:rPr>
        <w:t>so that the refusal decision would be unjustifiably harsh</w:t>
      </w:r>
      <w:r w:rsidR="00D80400" w:rsidRPr="001B798A">
        <w:rPr>
          <w:rFonts w:ascii="Book Antiqua" w:hAnsi="Book Antiqua"/>
          <w:sz w:val="24"/>
          <w:szCs w:val="24"/>
        </w:rPr>
        <w:t xml:space="preserve"> (as was found by the judge at  [54] </w:t>
      </w:r>
      <w:r w:rsidR="00635847" w:rsidRPr="001B798A">
        <w:rPr>
          <w:rFonts w:ascii="Book Antiqua" w:hAnsi="Book Antiqua"/>
          <w:sz w:val="24"/>
          <w:szCs w:val="24"/>
        </w:rPr>
        <w:t xml:space="preserve">and [64] </w:t>
      </w:r>
      <w:r w:rsidR="00D80400" w:rsidRPr="001B798A">
        <w:rPr>
          <w:rFonts w:ascii="Book Antiqua" w:hAnsi="Book Antiqua"/>
          <w:sz w:val="24"/>
          <w:szCs w:val="24"/>
        </w:rPr>
        <w:t>of the decision)</w:t>
      </w:r>
      <w:r w:rsidR="0092733E" w:rsidRPr="001B798A">
        <w:rPr>
          <w:rFonts w:ascii="Book Antiqua" w:hAnsi="Book Antiqua"/>
          <w:sz w:val="24"/>
          <w:szCs w:val="24"/>
        </w:rPr>
        <w:t>, there was no basis for the judge to consider the public interest of immigration control outweighed by th</w:t>
      </w:r>
      <w:r w:rsidR="002F7939" w:rsidRPr="001B798A">
        <w:rPr>
          <w:rFonts w:ascii="Book Antiqua" w:hAnsi="Book Antiqua"/>
          <w:sz w:val="24"/>
          <w:szCs w:val="24"/>
        </w:rPr>
        <w:t xml:space="preserve">e appellant’s history, </w:t>
      </w:r>
      <w:r w:rsidR="00BE29EC" w:rsidRPr="001B798A">
        <w:rPr>
          <w:rFonts w:ascii="Book Antiqua" w:hAnsi="Book Antiqua"/>
          <w:sz w:val="24"/>
          <w:szCs w:val="24"/>
        </w:rPr>
        <w:t xml:space="preserve">even </w:t>
      </w:r>
      <w:r w:rsidR="002F7939" w:rsidRPr="001B798A">
        <w:rPr>
          <w:rFonts w:ascii="Book Antiqua" w:hAnsi="Book Antiqua"/>
          <w:sz w:val="24"/>
          <w:szCs w:val="24"/>
        </w:rPr>
        <w:t>including the unfounded ETS deception allegation</w:t>
      </w:r>
      <w:r w:rsidR="00BE29EC" w:rsidRPr="001B798A">
        <w:rPr>
          <w:rFonts w:ascii="Book Antiqua" w:hAnsi="Book Antiqua"/>
          <w:sz w:val="24"/>
          <w:szCs w:val="24"/>
        </w:rPr>
        <w:t xml:space="preserve">. </w:t>
      </w:r>
      <w:r w:rsidR="00D80400" w:rsidRPr="001B798A">
        <w:rPr>
          <w:rFonts w:ascii="Book Antiqua" w:hAnsi="Book Antiqua"/>
          <w:sz w:val="24"/>
          <w:szCs w:val="24"/>
        </w:rPr>
        <w:t>The judge followed the Razgar</w:t>
      </w:r>
      <w:r w:rsidR="00635847" w:rsidRPr="001B798A">
        <w:rPr>
          <w:rFonts w:ascii="Book Antiqua" w:hAnsi="Book Antiqua"/>
          <w:sz w:val="24"/>
          <w:szCs w:val="24"/>
        </w:rPr>
        <w:t xml:space="preserve"> stepped approach</w:t>
      </w:r>
      <w:r w:rsidR="00F97553" w:rsidRPr="001B798A">
        <w:rPr>
          <w:rFonts w:ascii="Book Antiqua" w:hAnsi="Book Antiqua"/>
          <w:sz w:val="24"/>
          <w:szCs w:val="24"/>
        </w:rPr>
        <w:t>,</w:t>
      </w:r>
      <w:r w:rsidR="00635847" w:rsidRPr="001B798A">
        <w:rPr>
          <w:rFonts w:ascii="Book Antiqua" w:hAnsi="Book Antiqua"/>
          <w:sz w:val="24"/>
          <w:szCs w:val="24"/>
        </w:rPr>
        <w:t xml:space="preserve"> asked the correct questions</w:t>
      </w:r>
      <w:r w:rsidR="00F97553" w:rsidRPr="001B798A">
        <w:rPr>
          <w:rFonts w:ascii="Book Antiqua" w:hAnsi="Book Antiqua"/>
          <w:sz w:val="24"/>
          <w:szCs w:val="24"/>
        </w:rPr>
        <w:t>, and applied section 117B of the Nationality, Immigration and Asylum Act 2002 in respect of the appellant’s private life</w:t>
      </w:r>
      <w:r w:rsidR="00FD7E70" w:rsidRPr="001B798A">
        <w:rPr>
          <w:rFonts w:ascii="Book Antiqua" w:hAnsi="Book Antiqua"/>
          <w:sz w:val="24"/>
          <w:szCs w:val="24"/>
        </w:rPr>
        <w:t xml:space="preserve"> developed in the UK</w:t>
      </w:r>
      <w:r w:rsidR="00F97553" w:rsidRPr="001B798A">
        <w:rPr>
          <w:rFonts w:ascii="Book Antiqua" w:hAnsi="Book Antiqua"/>
          <w:sz w:val="24"/>
          <w:szCs w:val="24"/>
        </w:rPr>
        <w:t>, to which little w</w:t>
      </w:r>
      <w:r w:rsidR="00FD7E70" w:rsidRPr="001B798A">
        <w:rPr>
          <w:rFonts w:ascii="Book Antiqua" w:hAnsi="Book Antiqua"/>
          <w:sz w:val="24"/>
          <w:szCs w:val="24"/>
        </w:rPr>
        <w:t>eight was to be accorded</w:t>
      </w:r>
      <w:r w:rsidR="00635847" w:rsidRPr="001B798A">
        <w:rPr>
          <w:rFonts w:ascii="Book Antiqua" w:hAnsi="Book Antiqua"/>
          <w:sz w:val="24"/>
          <w:szCs w:val="24"/>
        </w:rPr>
        <w:t xml:space="preserve">. </w:t>
      </w:r>
      <w:r w:rsidR="00FD7E70" w:rsidRPr="001B798A">
        <w:rPr>
          <w:rFonts w:ascii="Book Antiqua" w:hAnsi="Book Antiqua"/>
          <w:sz w:val="24"/>
          <w:szCs w:val="24"/>
        </w:rPr>
        <w:t xml:space="preserve">I can see no basis upon which the </w:t>
      </w:r>
      <w:r w:rsidR="00FD7E70" w:rsidRPr="001B798A">
        <w:rPr>
          <w:rFonts w:ascii="Book Antiqua" w:hAnsi="Book Antiqua"/>
          <w:sz w:val="24"/>
          <w:szCs w:val="24"/>
        </w:rPr>
        <w:lastRenderedPageBreak/>
        <w:t>appellant could ever even arguabl</w:t>
      </w:r>
      <w:r w:rsidR="003B2455" w:rsidRPr="001B798A">
        <w:rPr>
          <w:rFonts w:ascii="Book Antiqua" w:hAnsi="Book Antiqua"/>
          <w:sz w:val="24"/>
          <w:szCs w:val="24"/>
        </w:rPr>
        <w:t xml:space="preserve">y have succeeded on article 8 grounds outside the Rules. </w:t>
      </w:r>
      <w:r w:rsidR="006A5592" w:rsidRPr="001B798A">
        <w:rPr>
          <w:rFonts w:ascii="Book Antiqua" w:hAnsi="Book Antiqua"/>
          <w:sz w:val="24"/>
          <w:szCs w:val="24"/>
        </w:rPr>
        <w:t xml:space="preserve">In the circumstances, if there was any error in this regard by the First-tier Tribunal, which I do not accept, it could not have been material to the outcome of the appeal. </w:t>
      </w:r>
    </w:p>
    <w:p w14:paraId="6284717A" w14:textId="5D2306A1" w:rsidR="00037403" w:rsidRPr="001B798A" w:rsidRDefault="00BE29EC" w:rsidP="003D4C06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gramStart"/>
      <w:r w:rsidRPr="001B798A">
        <w:rPr>
          <w:rFonts w:ascii="Book Antiqua" w:hAnsi="Book Antiqua"/>
          <w:sz w:val="24"/>
          <w:szCs w:val="24"/>
        </w:rPr>
        <w:t>In essence, it</w:t>
      </w:r>
      <w:proofErr w:type="gramEnd"/>
      <w:r w:rsidRPr="001B798A">
        <w:rPr>
          <w:rFonts w:ascii="Book Antiqua" w:hAnsi="Book Antiqua"/>
          <w:sz w:val="24"/>
          <w:szCs w:val="24"/>
        </w:rPr>
        <w:t xml:space="preserve"> seems to me that Mr Sharma was inviting the First-tier Tribunal and me to forgive </w:t>
      </w:r>
      <w:r w:rsidR="003B2455" w:rsidRPr="001B798A">
        <w:rPr>
          <w:rFonts w:ascii="Book Antiqua" w:hAnsi="Book Antiqua"/>
          <w:sz w:val="24"/>
          <w:szCs w:val="24"/>
        </w:rPr>
        <w:t xml:space="preserve">and overlook </w:t>
      </w:r>
      <w:r w:rsidRPr="001B798A">
        <w:rPr>
          <w:rFonts w:ascii="Book Antiqua" w:hAnsi="Book Antiqua"/>
          <w:sz w:val="24"/>
          <w:szCs w:val="24"/>
        </w:rPr>
        <w:t>the appellant</w:t>
      </w:r>
      <w:r w:rsidR="003B2455" w:rsidRPr="001B798A">
        <w:rPr>
          <w:rFonts w:ascii="Book Antiqua" w:hAnsi="Book Antiqua"/>
          <w:sz w:val="24"/>
          <w:szCs w:val="24"/>
        </w:rPr>
        <w:t>’s</w:t>
      </w:r>
      <w:r w:rsidRPr="001B798A">
        <w:rPr>
          <w:rFonts w:ascii="Book Antiqua" w:hAnsi="Book Antiqua"/>
          <w:sz w:val="24"/>
          <w:szCs w:val="24"/>
        </w:rPr>
        <w:t xml:space="preserve"> </w:t>
      </w:r>
      <w:r w:rsidR="00B00779" w:rsidRPr="001B798A">
        <w:rPr>
          <w:rFonts w:ascii="Book Antiqua" w:hAnsi="Book Antiqua"/>
          <w:sz w:val="24"/>
          <w:szCs w:val="24"/>
        </w:rPr>
        <w:t xml:space="preserve">failure to produce a CAS certificate. </w:t>
      </w:r>
      <w:r w:rsidR="00AF4EF4" w:rsidRPr="001B798A">
        <w:rPr>
          <w:rFonts w:ascii="Book Antiqua" w:hAnsi="Book Antiqua"/>
          <w:sz w:val="24"/>
          <w:szCs w:val="24"/>
        </w:rPr>
        <w:t xml:space="preserve">In reply to Mr </w:t>
      </w:r>
      <w:r w:rsidR="00DD1F99" w:rsidRPr="001B798A">
        <w:rPr>
          <w:rFonts w:ascii="Book Antiqua" w:hAnsi="Book Antiqua"/>
          <w:sz w:val="24"/>
          <w:szCs w:val="24"/>
        </w:rPr>
        <w:t>Bates he submitted that it was not clear whether the appellant was in possession of his passport, which would have been necessary in order to take a further English lang</w:t>
      </w:r>
      <w:r w:rsidR="00F009AB" w:rsidRPr="001B798A">
        <w:rPr>
          <w:rFonts w:ascii="Book Antiqua" w:hAnsi="Book Antiqua"/>
          <w:sz w:val="24"/>
          <w:szCs w:val="24"/>
        </w:rPr>
        <w:t xml:space="preserve">uage test. However, he could have asked for its return or forwarding to the test centre. </w:t>
      </w:r>
      <w:r w:rsidR="00B00779" w:rsidRPr="001B798A">
        <w:rPr>
          <w:rFonts w:ascii="Book Antiqua" w:hAnsi="Book Antiqua"/>
          <w:sz w:val="24"/>
          <w:szCs w:val="24"/>
        </w:rPr>
        <w:t xml:space="preserve">As Mr Bates pointed out, </w:t>
      </w:r>
      <w:r w:rsidR="00F009AB" w:rsidRPr="001B798A">
        <w:rPr>
          <w:rFonts w:ascii="Book Antiqua" w:hAnsi="Book Antiqua"/>
          <w:sz w:val="24"/>
          <w:szCs w:val="24"/>
        </w:rPr>
        <w:t xml:space="preserve">I am satisfied that </w:t>
      </w:r>
      <w:r w:rsidR="00B00779" w:rsidRPr="001B798A">
        <w:rPr>
          <w:rFonts w:ascii="Book Antiqua" w:hAnsi="Book Antiqua"/>
          <w:sz w:val="24"/>
          <w:szCs w:val="24"/>
        </w:rPr>
        <w:t xml:space="preserve">it </w:t>
      </w:r>
      <w:r w:rsidR="00FA4F11" w:rsidRPr="001B798A">
        <w:rPr>
          <w:rFonts w:ascii="Book Antiqua" w:hAnsi="Book Antiqua"/>
          <w:sz w:val="24"/>
          <w:szCs w:val="24"/>
        </w:rPr>
        <w:t xml:space="preserve">was open to the appellant in the intervening period to take a different English language test and apply for a CAS. </w:t>
      </w:r>
      <w:r w:rsidR="00D13EAC" w:rsidRPr="001B798A">
        <w:rPr>
          <w:rFonts w:ascii="Book Antiqua" w:hAnsi="Book Antiqua"/>
          <w:sz w:val="24"/>
          <w:szCs w:val="24"/>
        </w:rPr>
        <w:t xml:space="preserve">This he has not done. </w:t>
      </w:r>
    </w:p>
    <w:p w14:paraId="468DB09A" w14:textId="6E4EA406" w:rsidR="00AE767F" w:rsidRPr="001B798A" w:rsidRDefault="00AE767F" w:rsidP="0054333C">
      <w:pPr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 xml:space="preserve">In the circumstances and for the reasons set out above, I find no </w:t>
      </w:r>
      <w:r w:rsidR="007C3C30" w:rsidRPr="001B798A">
        <w:rPr>
          <w:rFonts w:ascii="Book Antiqua" w:hAnsi="Book Antiqua"/>
          <w:sz w:val="24"/>
          <w:szCs w:val="24"/>
        </w:rPr>
        <w:t xml:space="preserve">material </w:t>
      </w:r>
      <w:r w:rsidRPr="001B798A">
        <w:rPr>
          <w:rFonts w:ascii="Book Antiqua" w:hAnsi="Book Antiqua"/>
          <w:sz w:val="24"/>
          <w:szCs w:val="24"/>
        </w:rPr>
        <w:t xml:space="preserve">error of law in the decision of the First-tier Tribunal so that it must be set aside. </w:t>
      </w:r>
    </w:p>
    <w:p w14:paraId="70338235" w14:textId="4F183E72" w:rsidR="00AE767F" w:rsidRPr="001B798A" w:rsidRDefault="00AE767F" w:rsidP="00AE767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1B798A">
        <w:rPr>
          <w:rFonts w:ascii="Book Antiqua" w:hAnsi="Book Antiqua"/>
          <w:b/>
          <w:bCs/>
          <w:sz w:val="24"/>
          <w:szCs w:val="24"/>
        </w:rPr>
        <w:t>Decision</w:t>
      </w:r>
    </w:p>
    <w:p w14:paraId="0E8DCDD2" w14:textId="76C0914C" w:rsidR="00475495" w:rsidRPr="001B798A" w:rsidRDefault="00475495" w:rsidP="00881DA6">
      <w:pPr>
        <w:ind w:left="720"/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 xml:space="preserve">The appeal </w:t>
      </w:r>
      <w:r w:rsidR="00F009AB" w:rsidRPr="001B798A">
        <w:rPr>
          <w:rFonts w:ascii="Book Antiqua" w:hAnsi="Book Antiqua"/>
          <w:sz w:val="24"/>
          <w:szCs w:val="24"/>
        </w:rPr>
        <w:t xml:space="preserve">to the </w:t>
      </w:r>
      <w:r w:rsidR="006200CC" w:rsidRPr="001B798A">
        <w:rPr>
          <w:rFonts w:ascii="Book Antiqua" w:hAnsi="Book Antiqua"/>
          <w:sz w:val="24"/>
          <w:szCs w:val="24"/>
        </w:rPr>
        <w:t>Upper Tribunal is dismissed.</w:t>
      </w:r>
    </w:p>
    <w:p w14:paraId="549316BB" w14:textId="24CECCB0" w:rsidR="006200CC" w:rsidRPr="001B798A" w:rsidRDefault="006200CC" w:rsidP="00881DA6">
      <w:pPr>
        <w:ind w:left="720"/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 xml:space="preserve">The decision of the First-tier Tribunal </w:t>
      </w:r>
      <w:proofErr w:type="gramStart"/>
      <w:r w:rsidRPr="001B798A">
        <w:rPr>
          <w:rFonts w:ascii="Book Antiqua" w:hAnsi="Book Antiqua"/>
          <w:sz w:val="24"/>
          <w:szCs w:val="24"/>
        </w:rPr>
        <w:t>stands</w:t>
      </w:r>
      <w:proofErr w:type="gramEnd"/>
      <w:r w:rsidRPr="001B798A">
        <w:rPr>
          <w:rFonts w:ascii="Book Antiqua" w:hAnsi="Book Antiqua"/>
          <w:sz w:val="24"/>
          <w:szCs w:val="24"/>
        </w:rPr>
        <w:t xml:space="preserve"> and the appellant’s appeal remains dismissed. </w:t>
      </w:r>
    </w:p>
    <w:p w14:paraId="2C779A13" w14:textId="143B5AFD" w:rsidR="00D61B8E" w:rsidRPr="001B798A" w:rsidRDefault="00D61B8E" w:rsidP="00881DA6">
      <w:pPr>
        <w:ind w:left="720"/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 xml:space="preserve">I make no order for costs. </w:t>
      </w:r>
    </w:p>
    <w:p w14:paraId="441E47BE" w14:textId="72287ADE" w:rsidR="006200CC" w:rsidRPr="001B798A" w:rsidRDefault="006200CC" w:rsidP="00881DA6">
      <w:pPr>
        <w:ind w:left="720"/>
        <w:jc w:val="both"/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I make n</w:t>
      </w:r>
      <w:r w:rsidR="0017749D" w:rsidRPr="001B798A">
        <w:rPr>
          <w:rFonts w:ascii="Book Antiqua" w:hAnsi="Book Antiqua"/>
          <w:sz w:val="24"/>
          <w:szCs w:val="24"/>
        </w:rPr>
        <w:t>o anonymity direction.</w:t>
      </w:r>
    </w:p>
    <w:p w14:paraId="12909218" w14:textId="6974E646" w:rsidR="00BE703F" w:rsidRPr="001B798A" w:rsidRDefault="00166AAD" w:rsidP="008006E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1B798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5E390CC" wp14:editId="5FB30C33">
            <wp:simplePos x="0" y="0"/>
            <wp:positionH relativeFrom="column">
              <wp:posOffset>2781300</wp:posOffset>
            </wp:positionH>
            <wp:positionV relativeFrom="paragraph">
              <wp:posOffset>137795</wp:posOffset>
            </wp:positionV>
            <wp:extent cx="1520190" cy="1508125"/>
            <wp:effectExtent l="0" t="0" r="3810" b="0"/>
            <wp:wrapNone/>
            <wp:docPr id="11" name="Picture 11" descr="C:\Users\kie19a\AppData\Local\Microsoft\Windows\INetCache\Content.Word\cropped Upper Tribunal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ie19a\AppData\Local\Microsoft\Windows\INetCache\Content.Word\cropped Upper Tribunal sta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D77F1" w14:textId="1DBCA78F" w:rsidR="00BE703F" w:rsidRPr="001B798A" w:rsidRDefault="00BE703F" w:rsidP="006B4A21">
      <w:pPr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 xml:space="preserve">Signed: </w:t>
      </w:r>
      <w:r w:rsidRPr="001B798A">
        <w:rPr>
          <w:rFonts w:ascii="Lucida Handwriting" w:hAnsi="Lucida Handwriting"/>
          <w:sz w:val="24"/>
          <w:szCs w:val="24"/>
        </w:rPr>
        <w:t>DMW Pickup</w:t>
      </w:r>
    </w:p>
    <w:p w14:paraId="6CCF24AD" w14:textId="77777777" w:rsidR="00BE703F" w:rsidRPr="001B798A" w:rsidRDefault="00BE703F" w:rsidP="006B4A21">
      <w:pPr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>Upper Tribunal Judge Pickup</w:t>
      </w:r>
    </w:p>
    <w:p w14:paraId="61BEEFAA" w14:textId="15A91FF3" w:rsidR="00BE703F" w:rsidRPr="001B798A" w:rsidRDefault="00BE703F" w:rsidP="006B4A21">
      <w:pPr>
        <w:rPr>
          <w:rFonts w:ascii="Book Antiqua" w:hAnsi="Book Antiqua"/>
          <w:sz w:val="24"/>
          <w:szCs w:val="24"/>
        </w:rPr>
      </w:pPr>
      <w:r w:rsidRPr="001B798A">
        <w:rPr>
          <w:rFonts w:ascii="Book Antiqua" w:hAnsi="Book Antiqua"/>
          <w:sz w:val="24"/>
          <w:szCs w:val="24"/>
        </w:rPr>
        <w:t xml:space="preserve">Date: </w:t>
      </w:r>
      <w:r w:rsidRPr="001B798A">
        <w:rPr>
          <w:rFonts w:ascii="Book Antiqua" w:hAnsi="Book Antiqua"/>
          <w:sz w:val="24"/>
          <w:szCs w:val="24"/>
        </w:rPr>
        <w:tab/>
      </w:r>
      <w:r w:rsidR="006200CC" w:rsidRPr="001B798A">
        <w:rPr>
          <w:rFonts w:ascii="Book Antiqua" w:hAnsi="Book Antiqua"/>
          <w:sz w:val="24"/>
          <w:szCs w:val="24"/>
        </w:rPr>
        <w:t>21 August 2020</w:t>
      </w:r>
    </w:p>
    <w:p w14:paraId="175E1BCE" w14:textId="77777777" w:rsidR="00BE703F" w:rsidRPr="001B798A" w:rsidRDefault="00BE703F" w:rsidP="008006E3">
      <w:pPr>
        <w:jc w:val="both"/>
        <w:rPr>
          <w:rFonts w:ascii="Book Antiqua" w:hAnsi="Book Antiqua"/>
          <w:b/>
          <w:bCs/>
          <w:sz w:val="24"/>
          <w:szCs w:val="24"/>
        </w:rPr>
      </w:pPr>
    </w:p>
    <w:p w14:paraId="5D69EF17" w14:textId="77777777" w:rsidR="00C508DF" w:rsidRPr="001B798A" w:rsidRDefault="00C508DF" w:rsidP="00C508DF">
      <w:pPr>
        <w:tabs>
          <w:tab w:val="left" w:pos="2520"/>
        </w:tabs>
        <w:spacing w:after="0" w:line="240" w:lineRule="auto"/>
        <w:ind w:left="540" w:hanging="540"/>
        <w:jc w:val="center"/>
        <w:rPr>
          <w:rFonts w:ascii="Book Antiqua" w:eastAsia="Times New Roman" w:hAnsi="Book Antiqua" w:cs="Arial"/>
          <w:sz w:val="24"/>
          <w:szCs w:val="24"/>
          <w:lang w:eastAsia="en-GB"/>
        </w:rPr>
      </w:pPr>
    </w:p>
    <w:p w14:paraId="16ECCD55" w14:textId="1361B071" w:rsidR="008344E5" w:rsidRPr="001B798A" w:rsidRDefault="008344E5" w:rsidP="008344E5">
      <w:pPr>
        <w:rPr>
          <w:rFonts w:ascii="Book Antiqua" w:hAnsi="Book Antiqua" w:cs="Arial"/>
          <w:sz w:val="24"/>
          <w:szCs w:val="24"/>
        </w:rPr>
      </w:pPr>
      <w:r w:rsidRPr="001B798A">
        <w:rPr>
          <w:rFonts w:ascii="Book Antiqua" w:hAnsi="Book Antiqua" w:cs="Arial"/>
          <w:sz w:val="24"/>
          <w:szCs w:val="24"/>
        </w:rPr>
        <w:t xml:space="preserve">     </w:t>
      </w:r>
    </w:p>
    <w:sectPr w:rsidR="008344E5" w:rsidRPr="001B798A" w:rsidSect="001B798A">
      <w:headerReference w:type="default" r:id="rId9"/>
      <w:footerReference w:type="default" r:id="rId10"/>
      <w:footerReference w:type="first" r:id="rId11"/>
      <w:pgSz w:w="11906" w:h="16838"/>
      <w:pgMar w:top="1135" w:right="1247" w:bottom="1440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74CB1" w14:textId="77777777" w:rsidR="004846AD" w:rsidRDefault="004846AD" w:rsidP="004846AD">
      <w:pPr>
        <w:spacing w:after="0" w:line="240" w:lineRule="auto"/>
      </w:pPr>
      <w:r>
        <w:separator/>
      </w:r>
    </w:p>
  </w:endnote>
  <w:endnote w:type="continuationSeparator" w:id="0">
    <w:p w14:paraId="1FDC49E4" w14:textId="77777777" w:rsidR="004846AD" w:rsidRDefault="004846AD" w:rsidP="0048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9386762"/>
      <w:docPartObj>
        <w:docPartGallery w:val="Page Numbers (Bottom of Page)"/>
        <w:docPartUnique/>
      </w:docPartObj>
    </w:sdtPr>
    <w:sdtEndPr>
      <w:rPr>
        <w:rFonts w:ascii="Book Antiqua" w:hAnsi="Book Antiqua"/>
        <w:noProof/>
        <w:sz w:val="24"/>
        <w:szCs w:val="24"/>
      </w:rPr>
    </w:sdtEndPr>
    <w:sdtContent>
      <w:p w14:paraId="22A8FAC2" w14:textId="1392A45E" w:rsidR="004846AD" w:rsidRPr="001B798A" w:rsidRDefault="004846AD">
        <w:pPr>
          <w:pStyle w:val="Footer"/>
          <w:jc w:val="center"/>
          <w:rPr>
            <w:rFonts w:ascii="Book Antiqua" w:hAnsi="Book Antiqua"/>
            <w:sz w:val="24"/>
            <w:szCs w:val="24"/>
          </w:rPr>
        </w:pPr>
        <w:r w:rsidRPr="001B798A">
          <w:rPr>
            <w:rFonts w:ascii="Book Antiqua" w:hAnsi="Book Antiqua"/>
            <w:sz w:val="24"/>
            <w:szCs w:val="24"/>
          </w:rPr>
          <w:fldChar w:fldCharType="begin"/>
        </w:r>
        <w:r w:rsidRPr="001B798A">
          <w:rPr>
            <w:rFonts w:ascii="Book Antiqua" w:hAnsi="Book Antiqua"/>
            <w:sz w:val="24"/>
            <w:szCs w:val="24"/>
          </w:rPr>
          <w:instrText xml:space="preserve"> PAGE   \* MERGEFORMAT </w:instrText>
        </w:r>
        <w:r w:rsidRPr="001B798A">
          <w:rPr>
            <w:rFonts w:ascii="Book Antiqua" w:hAnsi="Book Antiqua"/>
            <w:sz w:val="24"/>
            <w:szCs w:val="24"/>
          </w:rPr>
          <w:fldChar w:fldCharType="separate"/>
        </w:r>
        <w:r w:rsidR="00427879" w:rsidRPr="001B798A">
          <w:rPr>
            <w:rFonts w:ascii="Book Antiqua" w:hAnsi="Book Antiqua"/>
            <w:noProof/>
            <w:sz w:val="24"/>
            <w:szCs w:val="24"/>
          </w:rPr>
          <w:t>4</w:t>
        </w:r>
        <w:r w:rsidRPr="001B798A">
          <w:rPr>
            <w:rFonts w:ascii="Book Antiqua" w:hAnsi="Book Antiqua"/>
            <w:noProof/>
            <w:sz w:val="24"/>
            <w:szCs w:val="24"/>
          </w:rPr>
          <w:fldChar w:fldCharType="end"/>
        </w:r>
      </w:p>
    </w:sdtContent>
  </w:sdt>
  <w:p w14:paraId="4C6A1AB4" w14:textId="77777777" w:rsidR="004846AD" w:rsidRDefault="00484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F8FC7" w14:textId="15688610" w:rsidR="004846AD" w:rsidRPr="001B798A" w:rsidRDefault="004846AD" w:rsidP="004846AD">
    <w:pPr>
      <w:pStyle w:val="Footer"/>
      <w:jc w:val="center"/>
      <w:rPr>
        <w:sz w:val="24"/>
        <w:szCs w:val="24"/>
      </w:rPr>
    </w:pPr>
    <w:r w:rsidRPr="001B798A">
      <w:rPr>
        <w:rFonts w:ascii="Book Antiqua" w:hAnsi="Book Antiqua" w:cs="Arial"/>
        <w:b/>
        <w:spacing w:val="-6"/>
        <w:sz w:val="24"/>
        <w:szCs w:val="24"/>
      </w:rPr>
      <w:t>©</w:t>
    </w:r>
    <w:r w:rsidRPr="001B798A">
      <w:rPr>
        <w:rFonts w:ascii="Book Antiqua" w:hAnsi="Book Antiqua" w:cs="Arial"/>
        <w:b/>
        <w:sz w:val="24"/>
        <w:szCs w:val="24"/>
      </w:rPr>
      <w:t xml:space="preserve"> CROWN COPYRIGHT 20</w:t>
    </w:r>
    <w:r w:rsidR="001B798A">
      <w:rPr>
        <w:rFonts w:ascii="Book Antiqua" w:hAnsi="Book Antiqua" w:cs="Arial"/>
        <w:b/>
        <w:sz w:val="24"/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6ABCF" w14:textId="77777777" w:rsidR="004846AD" w:rsidRDefault="004846AD" w:rsidP="004846AD">
      <w:pPr>
        <w:spacing w:after="0" w:line="240" w:lineRule="auto"/>
      </w:pPr>
      <w:r>
        <w:separator/>
      </w:r>
    </w:p>
  </w:footnote>
  <w:footnote w:type="continuationSeparator" w:id="0">
    <w:p w14:paraId="197BB5AB" w14:textId="77777777" w:rsidR="004846AD" w:rsidRDefault="004846AD" w:rsidP="00484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DA5E5" w14:textId="4441F1A9" w:rsidR="004846AD" w:rsidRPr="001B798A" w:rsidRDefault="004846AD" w:rsidP="001B798A">
    <w:pPr>
      <w:pStyle w:val="Header"/>
      <w:jc w:val="right"/>
      <w:rPr>
        <w:sz w:val="16"/>
        <w:szCs w:val="16"/>
      </w:rPr>
    </w:pPr>
    <w:r w:rsidRPr="001B798A">
      <w:rPr>
        <w:rFonts w:ascii="Book Antiqua" w:hAnsi="Book Antiqua" w:cs="Arial"/>
        <w:color w:val="000000"/>
        <w:sz w:val="16"/>
        <w:szCs w:val="16"/>
      </w:rPr>
      <w:t xml:space="preserve">                                                                                                     Appeal number: HU/17771/2019(P)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B05E8"/>
    <w:multiLevelType w:val="hybridMultilevel"/>
    <w:tmpl w:val="87FA2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E4358"/>
    <w:multiLevelType w:val="hybridMultilevel"/>
    <w:tmpl w:val="1EDC46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C4"/>
    <w:rsid w:val="00007352"/>
    <w:rsid w:val="00013879"/>
    <w:rsid w:val="00013A90"/>
    <w:rsid w:val="00013B67"/>
    <w:rsid w:val="000146AF"/>
    <w:rsid w:val="00015E5B"/>
    <w:rsid w:val="0003044F"/>
    <w:rsid w:val="00031A2C"/>
    <w:rsid w:val="00032087"/>
    <w:rsid w:val="00032F0B"/>
    <w:rsid w:val="00037403"/>
    <w:rsid w:val="00045693"/>
    <w:rsid w:val="00053030"/>
    <w:rsid w:val="0006726B"/>
    <w:rsid w:val="00067964"/>
    <w:rsid w:val="00072C7D"/>
    <w:rsid w:val="000A20EF"/>
    <w:rsid w:val="000B0072"/>
    <w:rsid w:val="000B18DA"/>
    <w:rsid w:val="000B39B6"/>
    <w:rsid w:val="000D5987"/>
    <w:rsid w:val="000D7DC7"/>
    <w:rsid w:val="000E0EC3"/>
    <w:rsid w:val="000F5FCA"/>
    <w:rsid w:val="00112FC7"/>
    <w:rsid w:val="001134F8"/>
    <w:rsid w:val="00116BEB"/>
    <w:rsid w:val="00124BC9"/>
    <w:rsid w:val="0013275F"/>
    <w:rsid w:val="0014288B"/>
    <w:rsid w:val="00146EDE"/>
    <w:rsid w:val="00152FBB"/>
    <w:rsid w:val="00166AAD"/>
    <w:rsid w:val="00175BE0"/>
    <w:rsid w:val="0017749D"/>
    <w:rsid w:val="00186B9B"/>
    <w:rsid w:val="00190C9B"/>
    <w:rsid w:val="001A3379"/>
    <w:rsid w:val="001B1086"/>
    <w:rsid w:val="001B798A"/>
    <w:rsid w:val="001B7E2B"/>
    <w:rsid w:val="001C22BE"/>
    <w:rsid w:val="001C46C7"/>
    <w:rsid w:val="001F3DE5"/>
    <w:rsid w:val="001F40AB"/>
    <w:rsid w:val="00204C4E"/>
    <w:rsid w:val="00214B52"/>
    <w:rsid w:val="00215DAE"/>
    <w:rsid w:val="00216910"/>
    <w:rsid w:val="00221DCF"/>
    <w:rsid w:val="00227154"/>
    <w:rsid w:val="0023211E"/>
    <w:rsid w:val="0023384E"/>
    <w:rsid w:val="002342C2"/>
    <w:rsid w:val="00236B3A"/>
    <w:rsid w:val="00242354"/>
    <w:rsid w:val="00245388"/>
    <w:rsid w:val="0029440A"/>
    <w:rsid w:val="00297DB5"/>
    <w:rsid w:val="00297FF4"/>
    <w:rsid w:val="002A1ED2"/>
    <w:rsid w:val="002A2276"/>
    <w:rsid w:val="002A7079"/>
    <w:rsid w:val="002B0297"/>
    <w:rsid w:val="002B31F4"/>
    <w:rsid w:val="002B4BFC"/>
    <w:rsid w:val="002E282F"/>
    <w:rsid w:val="002F4B64"/>
    <w:rsid w:val="002F5B96"/>
    <w:rsid w:val="002F7939"/>
    <w:rsid w:val="00300755"/>
    <w:rsid w:val="00301876"/>
    <w:rsid w:val="00301C45"/>
    <w:rsid w:val="00304CAE"/>
    <w:rsid w:val="00305573"/>
    <w:rsid w:val="003067A3"/>
    <w:rsid w:val="00307574"/>
    <w:rsid w:val="00310371"/>
    <w:rsid w:val="00312F82"/>
    <w:rsid w:val="00313D8E"/>
    <w:rsid w:val="00322D4B"/>
    <w:rsid w:val="00324095"/>
    <w:rsid w:val="0033103E"/>
    <w:rsid w:val="00356E4B"/>
    <w:rsid w:val="00364C01"/>
    <w:rsid w:val="0036518E"/>
    <w:rsid w:val="003670EC"/>
    <w:rsid w:val="00370C0F"/>
    <w:rsid w:val="00370E51"/>
    <w:rsid w:val="003740AB"/>
    <w:rsid w:val="003770ED"/>
    <w:rsid w:val="0037782A"/>
    <w:rsid w:val="003A004C"/>
    <w:rsid w:val="003B2455"/>
    <w:rsid w:val="003B7934"/>
    <w:rsid w:val="003C661E"/>
    <w:rsid w:val="003D15E8"/>
    <w:rsid w:val="003D4C06"/>
    <w:rsid w:val="003E0CBA"/>
    <w:rsid w:val="003E5F94"/>
    <w:rsid w:val="003E71E0"/>
    <w:rsid w:val="003F4D6B"/>
    <w:rsid w:val="003F540A"/>
    <w:rsid w:val="00403F08"/>
    <w:rsid w:val="00406DD5"/>
    <w:rsid w:val="00416D77"/>
    <w:rsid w:val="00422C7A"/>
    <w:rsid w:val="00424402"/>
    <w:rsid w:val="00424F84"/>
    <w:rsid w:val="00427879"/>
    <w:rsid w:val="00431FF8"/>
    <w:rsid w:val="004325C5"/>
    <w:rsid w:val="00444B27"/>
    <w:rsid w:val="00463C55"/>
    <w:rsid w:val="00472928"/>
    <w:rsid w:val="00475495"/>
    <w:rsid w:val="00477028"/>
    <w:rsid w:val="004846AD"/>
    <w:rsid w:val="004908F4"/>
    <w:rsid w:val="00492953"/>
    <w:rsid w:val="00497B97"/>
    <w:rsid w:val="004A003C"/>
    <w:rsid w:val="004A06AF"/>
    <w:rsid w:val="004A473B"/>
    <w:rsid w:val="004A4F1B"/>
    <w:rsid w:val="004B146F"/>
    <w:rsid w:val="004B1679"/>
    <w:rsid w:val="004B7734"/>
    <w:rsid w:val="004C51FE"/>
    <w:rsid w:val="004C6B55"/>
    <w:rsid w:val="004D6449"/>
    <w:rsid w:val="004E4364"/>
    <w:rsid w:val="004F5E28"/>
    <w:rsid w:val="004F739B"/>
    <w:rsid w:val="00501C6F"/>
    <w:rsid w:val="00517D7A"/>
    <w:rsid w:val="00520A63"/>
    <w:rsid w:val="00525110"/>
    <w:rsid w:val="005307EE"/>
    <w:rsid w:val="00531749"/>
    <w:rsid w:val="0053231A"/>
    <w:rsid w:val="00537159"/>
    <w:rsid w:val="0054333C"/>
    <w:rsid w:val="0055692C"/>
    <w:rsid w:val="00557C10"/>
    <w:rsid w:val="005605FD"/>
    <w:rsid w:val="00560820"/>
    <w:rsid w:val="00562099"/>
    <w:rsid w:val="00574238"/>
    <w:rsid w:val="005749EB"/>
    <w:rsid w:val="0058334E"/>
    <w:rsid w:val="00590C78"/>
    <w:rsid w:val="00594483"/>
    <w:rsid w:val="005A08AC"/>
    <w:rsid w:val="005B0749"/>
    <w:rsid w:val="005B173D"/>
    <w:rsid w:val="005C1D83"/>
    <w:rsid w:val="005C7B87"/>
    <w:rsid w:val="005D1618"/>
    <w:rsid w:val="005D24E6"/>
    <w:rsid w:val="005D7BD6"/>
    <w:rsid w:val="005F3598"/>
    <w:rsid w:val="005F3CCF"/>
    <w:rsid w:val="006052E7"/>
    <w:rsid w:val="006074F9"/>
    <w:rsid w:val="006119C1"/>
    <w:rsid w:val="00617657"/>
    <w:rsid w:val="006200CC"/>
    <w:rsid w:val="0062297D"/>
    <w:rsid w:val="0062432B"/>
    <w:rsid w:val="00626F97"/>
    <w:rsid w:val="006301AF"/>
    <w:rsid w:val="00632450"/>
    <w:rsid w:val="00632E4C"/>
    <w:rsid w:val="00635847"/>
    <w:rsid w:val="0064282D"/>
    <w:rsid w:val="00643137"/>
    <w:rsid w:val="00662D4B"/>
    <w:rsid w:val="00663CED"/>
    <w:rsid w:val="00670B11"/>
    <w:rsid w:val="006767F1"/>
    <w:rsid w:val="006A1A31"/>
    <w:rsid w:val="006A5592"/>
    <w:rsid w:val="006A63B3"/>
    <w:rsid w:val="006C6863"/>
    <w:rsid w:val="006C7481"/>
    <w:rsid w:val="006E5EAC"/>
    <w:rsid w:val="006F49C6"/>
    <w:rsid w:val="00704BFA"/>
    <w:rsid w:val="00734691"/>
    <w:rsid w:val="0075054F"/>
    <w:rsid w:val="007539E5"/>
    <w:rsid w:val="007619D2"/>
    <w:rsid w:val="00773012"/>
    <w:rsid w:val="0078510E"/>
    <w:rsid w:val="00790316"/>
    <w:rsid w:val="007905AE"/>
    <w:rsid w:val="00790616"/>
    <w:rsid w:val="00792572"/>
    <w:rsid w:val="007C3C30"/>
    <w:rsid w:val="007E2A21"/>
    <w:rsid w:val="007E62CB"/>
    <w:rsid w:val="007F1E83"/>
    <w:rsid w:val="007F2B88"/>
    <w:rsid w:val="008006E3"/>
    <w:rsid w:val="00802363"/>
    <w:rsid w:val="008035C1"/>
    <w:rsid w:val="00814947"/>
    <w:rsid w:val="00816A92"/>
    <w:rsid w:val="00833A3C"/>
    <w:rsid w:val="008344E5"/>
    <w:rsid w:val="00836F5F"/>
    <w:rsid w:val="00854961"/>
    <w:rsid w:val="00881066"/>
    <w:rsid w:val="0088159D"/>
    <w:rsid w:val="00881DA6"/>
    <w:rsid w:val="00892477"/>
    <w:rsid w:val="008A31FA"/>
    <w:rsid w:val="008C051B"/>
    <w:rsid w:val="008E285E"/>
    <w:rsid w:val="008E55D0"/>
    <w:rsid w:val="0090201F"/>
    <w:rsid w:val="00903C48"/>
    <w:rsid w:val="0090679F"/>
    <w:rsid w:val="009119AF"/>
    <w:rsid w:val="00914D00"/>
    <w:rsid w:val="00914EB5"/>
    <w:rsid w:val="00922841"/>
    <w:rsid w:val="00924EFB"/>
    <w:rsid w:val="0092733E"/>
    <w:rsid w:val="0093160D"/>
    <w:rsid w:val="009337EF"/>
    <w:rsid w:val="0093406A"/>
    <w:rsid w:val="00940C70"/>
    <w:rsid w:val="009455C3"/>
    <w:rsid w:val="00952A82"/>
    <w:rsid w:val="0097335A"/>
    <w:rsid w:val="00982C0C"/>
    <w:rsid w:val="0099260B"/>
    <w:rsid w:val="00996DC5"/>
    <w:rsid w:val="009B4F6A"/>
    <w:rsid w:val="009B5D78"/>
    <w:rsid w:val="009C729B"/>
    <w:rsid w:val="009D08A7"/>
    <w:rsid w:val="009D2B85"/>
    <w:rsid w:val="009D325E"/>
    <w:rsid w:val="009D3576"/>
    <w:rsid w:val="009E207A"/>
    <w:rsid w:val="009E3E60"/>
    <w:rsid w:val="009E4658"/>
    <w:rsid w:val="009F3AF8"/>
    <w:rsid w:val="00A30525"/>
    <w:rsid w:val="00A3196D"/>
    <w:rsid w:val="00A46658"/>
    <w:rsid w:val="00A47B16"/>
    <w:rsid w:val="00A578C8"/>
    <w:rsid w:val="00A61CA2"/>
    <w:rsid w:val="00A6232D"/>
    <w:rsid w:val="00A81976"/>
    <w:rsid w:val="00A83977"/>
    <w:rsid w:val="00A84043"/>
    <w:rsid w:val="00A847D1"/>
    <w:rsid w:val="00A91C9C"/>
    <w:rsid w:val="00AA1522"/>
    <w:rsid w:val="00AB3BC1"/>
    <w:rsid w:val="00AE5710"/>
    <w:rsid w:val="00AE767F"/>
    <w:rsid w:val="00AF4EF4"/>
    <w:rsid w:val="00B00779"/>
    <w:rsid w:val="00B15F54"/>
    <w:rsid w:val="00B25D4F"/>
    <w:rsid w:val="00B379D6"/>
    <w:rsid w:val="00B47632"/>
    <w:rsid w:val="00B528BD"/>
    <w:rsid w:val="00B602AD"/>
    <w:rsid w:val="00B76458"/>
    <w:rsid w:val="00B82D9E"/>
    <w:rsid w:val="00B92287"/>
    <w:rsid w:val="00B938F6"/>
    <w:rsid w:val="00BA4EAE"/>
    <w:rsid w:val="00BA68B7"/>
    <w:rsid w:val="00BC387D"/>
    <w:rsid w:val="00BC6C2D"/>
    <w:rsid w:val="00BC7544"/>
    <w:rsid w:val="00BD48DE"/>
    <w:rsid w:val="00BD6AD2"/>
    <w:rsid w:val="00BE29EC"/>
    <w:rsid w:val="00BE703F"/>
    <w:rsid w:val="00C204D1"/>
    <w:rsid w:val="00C2303A"/>
    <w:rsid w:val="00C43600"/>
    <w:rsid w:val="00C508DF"/>
    <w:rsid w:val="00C51CF8"/>
    <w:rsid w:val="00C55E0E"/>
    <w:rsid w:val="00C768CB"/>
    <w:rsid w:val="00C91547"/>
    <w:rsid w:val="00C954B8"/>
    <w:rsid w:val="00CA740A"/>
    <w:rsid w:val="00CB624E"/>
    <w:rsid w:val="00CC40DF"/>
    <w:rsid w:val="00CC6465"/>
    <w:rsid w:val="00CD1244"/>
    <w:rsid w:val="00CD49B6"/>
    <w:rsid w:val="00CD676B"/>
    <w:rsid w:val="00D0038A"/>
    <w:rsid w:val="00D05B7F"/>
    <w:rsid w:val="00D13EAC"/>
    <w:rsid w:val="00D37671"/>
    <w:rsid w:val="00D46F59"/>
    <w:rsid w:val="00D57B33"/>
    <w:rsid w:val="00D61B8E"/>
    <w:rsid w:val="00D64D9D"/>
    <w:rsid w:val="00D65EC0"/>
    <w:rsid w:val="00D7015A"/>
    <w:rsid w:val="00D719A2"/>
    <w:rsid w:val="00D80400"/>
    <w:rsid w:val="00D858EA"/>
    <w:rsid w:val="00DA0DC9"/>
    <w:rsid w:val="00DB3868"/>
    <w:rsid w:val="00DC566F"/>
    <w:rsid w:val="00DD1F99"/>
    <w:rsid w:val="00DE1CD1"/>
    <w:rsid w:val="00DE4DBF"/>
    <w:rsid w:val="00DE5D05"/>
    <w:rsid w:val="00DF377C"/>
    <w:rsid w:val="00E04160"/>
    <w:rsid w:val="00E1564C"/>
    <w:rsid w:val="00E15F9A"/>
    <w:rsid w:val="00E234A1"/>
    <w:rsid w:val="00E36EC9"/>
    <w:rsid w:val="00E505C3"/>
    <w:rsid w:val="00E573EB"/>
    <w:rsid w:val="00E613DE"/>
    <w:rsid w:val="00E65F56"/>
    <w:rsid w:val="00E7214E"/>
    <w:rsid w:val="00E73154"/>
    <w:rsid w:val="00E73851"/>
    <w:rsid w:val="00E742C3"/>
    <w:rsid w:val="00E773B7"/>
    <w:rsid w:val="00E83510"/>
    <w:rsid w:val="00E947A3"/>
    <w:rsid w:val="00EB70C5"/>
    <w:rsid w:val="00EC0509"/>
    <w:rsid w:val="00EC6071"/>
    <w:rsid w:val="00EC673F"/>
    <w:rsid w:val="00ED5524"/>
    <w:rsid w:val="00EE647A"/>
    <w:rsid w:val="00EE6DCE"/>
    <w:rsid w:val="00EF6339"/>
    <w:rsid w:val="00F009AB"/>
    <w:rsid w:val="00F023EA"/>
    <w:rsid w:val="00F05037"/>
    <w:rsid w:val="00F104C8"/>
    <w:rsid w:val="00F1628F"/>
    <w:rsid w:val="00F2459F"/>
    <w:rsid w:val="00F26FE7"/>
    <w:rsid w:val="00F30254"/>
    <w:rsid w:val="00F35BC4"/>
    <w:rsid w:val="00F37F5D"/>
    <w:rsid w:val="00F40B90"/>
    <w:rsid w:val="00F5101C"/>
    <w:rsid w:val="00F5536C"/>
    <w:rsid w:val="00F672D4"/>
    <w:rsid w:val="00F70C5F"/>
    <w:rsid w:val="00F71E5A"/>
    <w:rsid w:val="00F722E1"/>
    <w:rsid w:val="00F75427"/>
    <w:rsid w:val="00F91076"/>
    <w:rsid w:val="00F91BEA"/>
    <w:rsid w:val="00F969B2"/>
    <w:rsid w:val="00F97553"/>
    <w:rsid w:val="00FA4F11"/>
    <w:rsid w:val="00FA5A00"/>
    <w:rsid w:val="00FA5A2F"/>
    <w:rsid w:val="00FA6098"/>
    <w:rsid w:val="00FB29D9"/>
    <w:rsid w:val="00FB41E3"/>
    <w:rsid w:val="00FC0096"/>
    <w:rsid w:val="00FC03DC"/>
    <w:rsid w:val="00FC478A"/>
    <w:rsid w:val="00FC6244"/>
    <w:rsid w:val="00FD7E70"/>
    <w:rsid w:val="00F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A3A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0B0072"/>
  </w:style>
  <w:style w:type="character" w:customStyle="1" w:styleId="apple-converted-space">
    <w:name w:val="apple-converted-space"/>
    <w:basedOn w:val="DefaultParagraphFont"/>
    <w:rsid w:val="000B0072"/>
  </w:style>
  <w:style w:type="paragraph" w:styleId="ListParagraph">
    <w:name w:val="List Paragraph"/>
    <w:basedOn w:val="Normal"/>
    <w:uiPriority w:val="34"/>
    <w:qFormat/>
    <w:rsid w:val="000B0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6A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6AD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87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2020-09-11T13:37:00Z</dcterms:created>
  <dcterms:modified xsi:type="dcterms:W3CDTF">2020-09-11T13:37:00Z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