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3D7F43" w:rsidP="00C321B5">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Default="00C321B5" w:rsidP="00B626FA">
      <w:pPr>
        <w:tabs>
          <w:tab w:val="right" w:pos="9639"/>
        </w:tabs>
        <w:rPr>
          <w:rFonts w:ascii="Book Antiqua" w:hAnsi="Book Antiqua" w:cs="Arial"/>
          <w:b/>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2E2D93">
        <w:rPr>
          <w:rFonts w:ascii="Book Antiqua" w:hAnsi="Book Antiqua" w:cs="Arial"/>
          <w:b/>
        </w:rPr>
        <w:t xml:space="preserve">   </w:t>
      </w:r>
      <w:proofErr w:type="gramEnd"/>
      <w:r w:rsidR="002E2D93">
        <w:rPr>
          <w:rFonts w:ascii="Book Antiqua" w:hAnsi="Book Antiqua" w:cs="Arial"/>
          <w:b/>
        </w:rPr>
        <w:t xml:space="preserve">                   </w:t>
      </w:r>
      <w:r w:rsidR="00B3524D" w:rsidRPr="00490CFA">
        <w:rPr>
          <w:rFonts w:ascii="Book Antiqua" w:hAnsi="Book Antiqua" w:cs="Arial"/>
          <w:b/>
        </w:rPr>
        <w:t>Appeal Number</w:t>
      </w:r>
      <w:r w:rsidR="00D53769" w:rsidRPr="00490CFA">
        <w:rPr>
          <w:rFonts w:ascii="Book Antiqua" w:hAnsi="Book Antiqua" w:cs="Arial"/>
          <w:b/>
        </w:rPr>
        <w:t>:</w:t>
      </w:r>
      <w:r w:rsidR="00B3524D" w:rsidRPr="00490CFA">
        <w:rPr>
          <w:rFonts w:ascii="Book Antiqua" w:hAnsi="Book Antiqua" w:cs="Arial"/>
          <w:b/>
        </w:rPr>
        <w:t xml:space="preserve"> </w:t>
      </w:r>
      <w:r w:rsidR="00117F86">
        <w:rPr>
          <w:rFonts w:ascii="Book Antiqua" w:hAnsi="Book Antiqua" w:cs="Arial"/>
          <w:b/>
          <w:caps/>
        </w:rPr>
        <w:t>HU</w:t>
      </w:r>
      <w:r w:rsidR="001B67F3" w:rsidRPr="00490CFA">
        <w:rPr>
          <w:rFonts w:ascii="Book Antiqua" w:hAnsi="Book Antiqua" w:cs="Arial"/>
          <w:b/>
          <w:caps/>
        </w:rPr>
        <w:t>/</w:t>
      </w:r>
      <w:r w:rsidR="003A64F4">
        <w:rPr>
          <w:rFonts w:ascii="Book Antiqua" w:hAnsi="Book Antiqua" w:cs="Arial"/>
          <w:b/>
          <w:caps/>
        </w:rPr>
        <w:t>17919</w:t>
      </w:r>
      <w:r w:rsidR="00FB050B" w:rsidRPr="00490CFA">
        <w:rPr>
          <w:rFonts w:ascii="Book Antiqua" w:hAnsi="Book Antiqua" w:cs="Arial"/>
          <w:b/>
          <w:caps/>
        </w:rPr>
        <w:t>/</w:t>
      </w:r>
      <w:r w:rsidR="0035753A">
        <w:rPr>
          <w:rFonts w:ascii="Book Antiqua" w:hAnsi="Book Antiqua" w:cs="Arial"/>
          <w:b/>
          <w:caps/>
        </w:rPr>
        <w:t>201</w:t>
      </w:r>
      <w:r w:rsidR="005C6EC4">
        <w:rPr>
          <w:rFonts w:ascii="Book Antiqua" w:hAnsi="Book Antiqua" w:cs="Arial"/>
          <w:b/>
          <w:caps/>
        </w:rPr>
        <w:t>6</w:t>
      </w:r>
    </w:p>
    <w:p w:rsidR="003A64F4" w:rsidRDefault="002E2D93" w:rsidP="00B626FA">
      <w:pPr>
        <w:tabs>
          <w:tab w:val="right" w:pos="9639"/>
        </w:tabs>
        <w:rPr>
          <w:rFonts w:ascii="Book Antiqua" w:hAnsi="Book Antiqua" w:cs="Arial"/>
          <w:b/>
          <w:caps/>
        </w:rPr>
      </w:pPr>
      <w:r>
        <w:rPr>
          <w:rFonts w:ascii="Book Antiqua" w:hAnsi="Book Antiqua" w:cs="Arial"/>
          <w:caps/>
        </w:rPr>
        <w:t xml:space="preserve">                                                                                                                         </w:t>
      </w:r>
      <w:r w:rsidR="003A64F4" w:rsidRPr="003A64F4">
        <w:rPr>
          <w:rFonts w:ascii="Book Antiqua" w:hAnsi="Book Antiqua" w:cs="Arial"/>
          <w:b/>
          <w:caps/>
        </w:rPr>
        <w:t>HU/17921/2016</w:t>
      </w:r>
    </w:p>
    <w:p w:rsidR="003A64F4" w:rsidRPr="003A64F4" w:rsidRDefault="002E2D93" w:rsidP="00B626FA">
      <w:pPr>
        <w:tabs>
          <w:tab w:val="right" w:pos="9639"/>
        </w:tabs>
        <w:rPr>
          <w:rFonts w:ascii="Book Antiqua" w:hAnsi="Book Antiqua" w:cs="Arial"/>
          <w:b/>
          <w:caps/>
        </w:rPr>
      </w:pPr>
      <w:r>
        <w:rPr>
          <w:rFonts w:ascii="Book Antiqua" w:hAnsi="Book Antiqua" w:cs="Arial"/>
          <w:b/>
          <w:caps/>
        </w:rPr>
        <w:t xml:space="preserve">                                                                                                                         </w:t>
      </w:r>
      <w:r w:rsidR="003A64F4">
        <w:rPr>
          <w:rFonts w:ascii="Book Antiqua" w:hAnsi="Book Antiqua" w:cs="Arial"/>
          <w:b/>
          <w:caps/>
        </w:rPr>
        <w:t>HU/17925/2016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968"/>
        <w:gridCol w:w="785"/>
        <w:gridCol w:w="3885"/>
      </w:tblGrid>
      <w:tr w:rsidR="00D22636" w:rsidRPr="00337EBB" w:rsidTr="002E2D93">
        <w:tc>
          <w:tcPr>
            <w:tcW w:w="4968"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3A64F4">
              <w:rPr>
                <w:rFonts w:ascii="Book Antiqua" w:hAnsi="Book Antiqua" w:cs="Arial"/>
                <w:b/>
              </w:rPr>
              <w:t>Manchester</w:t>
            </w:r>
            <w:r w:rsidR="001B67F3" w:rsidRPr="00337EBB">
              <w:rPr>
                <w:rFonts w:ascii="Book Antiqua" w:hAnsi="Book Antiqua" w:cs="Arial"/>
                <w:b/>
              </w:rPr>
              <w:t xml:space="preserve"> </w:t>
            </w:r>
          </w:p>
        </w:tc>
        <w:tc>
          <w:tcPr>
            <w:tcW w:w="4670" w:type="dxa"/>
            <w:gridSpan w:val="2"/>
            <w:shd w:val="clear" w:color="auto" w:fill="auto"/>
          </w:tcPr>
          <w:p w:rsidR="00D22636" w:rsidRPr="00337EBB" w:rsidRDefault="002E2D93" w:rsidP="00337EBB">
            <w:pPr>
              <w:jc w:val="both"/>
              <w:rPr>
                <w:rFonts w:ascii="Book Antiqua" w:hAnsi="Book Antiqua" w:cs="Arial"/>
                <w:b/>
              </w:rPr>
            </w:pPr>
            <w:r>
              <w:rPr>
                <w:rFonts w:ascii="Book Antiqua" w:hAnsi="Book Antiqua" w:cs="Arial"/>
                <w:b/>
              </w:rPr>
              <w:t xml:space="preserve">   </w:t>
            </w:r>
            <w:r w:rsidR="00283659" w:rsidRPr="00337EBB">
              <w:rPr>
                <w:rFonts w:ascii="Book Antiqua" w:hAnsi="Book Antiqua" w:cs="Arial"/>
                <w:b/>
              </w:rPr>
              <w:t>De</w:t>
            </w:r>
            <w:r w:rsidR="00864126" w:rsidRPr="00337EBB">
              <w:rPr>
                <w:rFonts w:ascii="Book Antiqua" w:hAnsi="Book Antiqua" w:cs="Arial"/>
                <w:b/>
              </w:rPr>
              <w:t>cision &amp; Reasons</w:t>
            </w:r>
            <w:r w:rsidR="00283659" w:rsidRPr="00337EBB">
              <w:rPr>
                <w:rFonts w:ascii="Book Antiqua" w:hAnsi="Book Antiqua" w:cs="Arial"/>
                <w:b/>
              </w:rPr>
              <w:t xml:space="preserve"> Promulgated</w:t>
            </w:r>
          </w:p>
        </w:tc>
      </w:tr>
      <w:tr w:rsidR="00D22636" w:rsidRPr="00337EBB" w:rsidTr="002E2D93">
        <w:tc>
          <w:tcPr>
            <w:tcW w:w="4968"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3250FE">
              <w:rPr>
                <w:rFonts w:ascii="Book Antiqua" w:hAnsi="Book Antiqua" w:cs="Arial"/>
                <w:b/>
              </w:rPr>
              <w:t>June 27</w:t>
            </w:r>
            <w:r w:rsidR="001B67F3" w:rsidRPr="00337EBB">
              <w:rPr>
                <w:rFonts w:ascii="Book Antiqua" w:hAnsi="Book Antiqua" w:cs="Arial"/>
                <w:b/>
              </w:rPr>
              <w:t>, 201</w:t>
            </w:r>
            <w:r w:rsidR="00D44088">
              <w:rPr>
                <w:rFonts w:ascii="Book Antiqua" w:hAnsi="Book Antiqua" w:cs="Arial"/>
                <w:b/>
              </w:rPr>
              <w:t>8</w:t>
            </w:r>
            <w:r w:rsidR="001B67F3" w:rsidRPr="00337EBB">
              <w:rPr>
                <w:rFonts w:ascii="Book Antiqua" w:hAnsi="Book Antiqua" w:cs="Arial"/>
                <w:b/>
              </w:rPr>
              <w:t xml:space="preserve"> </w:t>
            </w:r>
          </w:p>
        </w:tc>
        <w:tc>
          <w:tcPr>
            <w:tcW w:w="4670" w:type="dxa"/>
            <w:gridSpan w:val="2"/>
            <w:shd w:val="clear" w:color="auto" w:fill="auto"/>
          </w:tcPr>
          <w:p w:rsidR="00D22636" w:rsidRPr="00337EBB" w:rsidRDefault="002E2D93" w:rsidP="00337EBB">
            <w:pPr>
              <w:jc w:val="both"/>
              <w:rPr>
                <w:rFonts w:ascii="Book Antiqua" w:hAnsi="Book Antiqua" w:cs="Arial"/>
                <w:b/>
              </w:rPr>
            </w:pPr>
            <w:r>
              <w:rPr>
                <w:rFonts w:ascii="Book Antiqua" w:hAnsi="Book Antiqua" w:cs="Arial"/>
                <w:b/>
              </w:rPr>
              <w:t xml:space="preserve">   </w:t>
            </w:r>
            <w:r w:rsidR="00D511E3">
              <w:rPr>
                <w:rFonts w:ascii="Book Antiqua" w:hAnsi="Book Antiqua" w:cs="Arial"/>
                <w:b/>
              </w:rPr>
              <w:t>On</w:t>
            </w:r>
            <w:r w:rsidR="000F68E5">
              <w:rPr>
                <w:rFonts w:ascii="Book Antiqua" w:hAnsi="Book Antiqua" w:cs="Arial"/>
                <w:b/>
              </w:rPr>
              <w:t xml:space="preserve"> June</w:t>
            </w:r>
            <w:r w:rsidR="00D511E3">
              <w:rPr>
                <w:rFonts w:ascii="Book Antiqua" w:hAnsi="Book Antiqua" w:cs="Arial"/>
                <w:b/>
              </w:rPr>
              <w:t xml:space="preserve"> </w:t>
            </w:r>
            <w:r w:rsidR="00D511E3" w:rsidRPr="00D511E3">
              <w:rPr>
                <w:rFonts w:ascii="Book Antiqua" w:hAnsi="Book Antiqua" w:cs="Arial"/>
                <w:b/>
              </w:rPr>
              <w:t>29</w:t>
            </w:r>
            <w:r w:rsidR="00D511E3">
              <w:rPr>
                <w:rFonts w:ascii="Book Antiqua" w:hAnsi="Book Antiqua" w:cs="Arial"/>
                <w:b/>
              </w:rPr>
              <w:t>,</w:t>
            </w:r>
            <w:r w:rsidR="000F68E5">
              <w:rPr>
                <w:rFonts w:ascii="Book Antiqua" w:hAnsi="Book Antiqua" w:cs="Arial"/>
                <w:b/>
              </w:rPr>
              <w:t xml:space="preserve"> 2018 </w:t>
            </w:r>
          </w:p>
        </w:tc>
      </w:tr>
      <w:tr w:rsidR="00D22636" w:rsidRPr="00337EBB" w:rsidTr="002E2D93">
        <w:tc>
          <w:tcPr>
            <w:tcW w:w="5753" w:type="dxa"/>
            <w:gridSpan w:val="2"/>
            <w:shd w:val="clear" w:color="auto" w:fill="auto"/>
          </w:tcPr>
          <w:p w:rsidR="00D22636" w:rsidRPr="00337EBB" w:rsidRDefault="00D22636" w:rsidP="00337EBB">
            <w:pPr>
              <w:jc w:val="both"/>
              <w:rPr>
                <w:rFonts w:ascii="Book Antiqua" w:hAnsi="Book Antiqua" w:cs="Arial"/>
                <w:b/>
              </w:rPr>
            </w:pPr>
          </w:p>
        </w:tc>
        <w:tc>
          <w:tcPr>
            <w:tcW w:w="3885" w:type="dxa"/>
            <w:shd w:val="clear" w:color="auto" w:fill="auto"/>
          </w:tcPr>
          <w:p w:rsidR="00D22636" w:rsidRPr="00337EBB" w:rsidRDefault="00D22636" w:rsidP="00337EBB">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w:t>
      </w:r>
      <w:r w:rsidR="00F90160">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1A1E2C" w:rsidRDefault="001A1E2C"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3250FE" w:rsidRDefault="003250FE" w:rsidP="003250FE">
      <w:pPr>
        <w:jc w:val="center"/>
        <w:rPr>
          <w:rFonts w:ascii="Book Antiqua" w:hAnsi="Book Antiqua" w:cs="Arial"/>
          <w:b/>
          <w:caps/>
        </w:rPr>
      </w:pPr>
      <w:r>
        <w:rPr>
          <w:rFonts w:ascii="Book Antiqua" w:hAnsi="Book Antiqua" w:cs="Arial"/>
          <w:b/>
          <w:caps/>
        </w:rPr>
        <w:t>MRS N K</w:t>
      </w:r>
    </w:p>
    <w:p w:rsidR="003250FE" w:rsidRDefault="003250FE" w:rsidP="003250FE">
      <w:pPr>
        <w:jc w:val="center"/>
        <w:rPr>
          <w:rFonts w:ascii="Book Antiqua" w:hAnsi="Book Antiqua" w:cs="Arial"/>
          <w:b/>
          <w:caps/>
        </w:rPr>
      </w:pPr>
      <w:r>
        <w:rPr>
          <w:rFonts w:ascii="Book Antiqua" w:hAnsi="Book Antiqua" w:cs="Arial"/>
          <w:b/>
          <w:caps/>
        </w:rPr>
        <w:t>MR A K</w:t>
      </w:r>
    </w:p>
    <w:p w:rsidR="003250FE" w:rsidRDefault="003250FE" w:rsidP="003250FE">
      <w:pPr>
        <w:jc w:val="center"/>
        <w:rPr>
          <w:rFonts w:ascii="Book Antiqua" w:hAnsi="Book Antiqua" w:cs="Arial"/>
          <w:b/>
          <w:caps/>
        </w:rPr>
      </w:pPr>
      <w:r>
        <w:rPr>
          <w:rFonts w:ascii="Book Antiqua" w:hAnsi="Book Antiqua" w:cs="Arial"/>
          <w:b/>
          <w:caps/>
        </w:rPr>
        <w:t xml:space="preserve">MR A </w:t>
      </w:r>
      <w:r w:rsidR="008A43EB">
        <w:rPr>
          <w:rFonts w:ascii="Book Antiqua" w:hAnsi="Book Antiqua" w:cs="Arial"/>
          <w:b/>
          <w:caps/>
        </w:rPr>
        <w:t>Z</w:t>
      </w:r>
      <w:bookmarkStart w:id="0" w:name="_GoBack"/>
      <w:bookmarkEnd w:id="0"/>
    </w:p>
    <w:p w:rsidR="003A64F4" w:rsidRPr="002E2D93" w:rsidRDefault="003250FE" w:rsidP="003250FE">
      <w:pPr>
        <w:jc w:val="center"/>
        <w:rPr>
          <w:rFonts w:ascii="Book Antiqua" w:hAnsi="Book Antiqua" w:cs="Arial"/>
        </w:rPr>
      </w:pPr>
      <w:r w:rsidRPr="002E2D93">
        <w:rPr>
          <w:rFonts w:ascii="Book Antiqua" w:hAnsi="Book Antiqua" w:cs="Arial"/>
          <w:caps/>
        </w:rPr>
        <w:t>(NO ANONYMITY DIRECTION made)</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r w:rsidR="003250FE">
        <w:rPr>
          <w:rFonts w:ascii="Book Antiqua" w:hAnsi="Book Antiqua" w:cs="Arial"/>
          <w:u w:val="single"/>
        </w:rPr>
        <w:t>s</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3250FE" w:rsidRDefault="003250FE" w:rsidP="003A64F4">
      <w:pPr>
        <w:jc w:val="center"/>
        <w:rPr>
          <w:rFonts w:ascii="Book Antiqua" w:hAnsi="Book Antiqua" w:cs="Arial"/>
          <w:b/>
        </w:rPr>
      </w:pPr>
      <w:r>
        <w:rPr>
          <w:rFonts w:ascii="Book Antiqua" w:hAnsi="Book Antiqua" w:cs="Arial"/>
          <w:b/>
          <w:caps/>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6E40CB">
      <w:pPr>
        <w:tabs>
          <w:tab w:val="left" w:pos="2520"/>
        </w:tabs>
        <w:rPr>
          <w:rFonts w:ascii="Book Antiqua" w:hAnsi="Book Antiqua" w:cs="Arial"/>
        </w:rPr>
      </w:pPr>
      <w:r w:rsidRPr="00F5664C">
        <w:rPr>
          <w:rFonts w:ascii="Book Antiqua" w:hAnsi="Book Antiqua" w:cs="Arial"/>
        </w:rPr>
        <w:t>For the Appellant:</w:t>
      </w:r>
      <w:r w:rsidR="00C139A6">
        <w:rPr>
          <w:rFonts w:ascii="Book Antiqua" w:hAnsi="Book Antiqua" w:cs="Arial"/>
        </w:rPr>
        <w:tab/>
      </w:r>
      <w:r w:rsidR="003250FE">
        <w:rPr>
          <w:rFonts w:ascii="Book Antiqua" w:hAnsi="Book Antiqua" w:cs="Arial"/>
        </w:rPr>
        <w:t xml:space="preserve">Mr Ahmed, Counsel, instructed by </w:t>
      </w:r>
      <w:proofErr w:type="spellStart"/>
      <w:r w:rsidR="003250FE">
        <w:rPr>
          <w:rFonts w:ascii="Book Antiqua" w:hAnsi="Book Antiqua" w:cs="Arial"/>
        </w:rPr>
        <w:t>Greenhall</w:t>
      </w:r>
      <w:proofErr w:type="spellEnd"/>
      <w:r w:rsidR="003250FE">
        <w:rPr>
          <w:rFonts w:ascii="Book Antiqua" w:hAnsi="Book Antiqua" w:cs="Arial"/>
        </w:rPr>
        <w:t xml:space="preserve"> Solicitors</w:t>
      </w:r>
    </w:p>
    <w:p w:rsidR="00DE7DB7"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B2434E">
        <w:rPr>
          <w:rFonts w:ascii="Book Antiqua" w:hAnsi="Book Antiqua" w:cs="Arial"/>
        </w:rPr>
        <w:t xml:space="preserve">Mr </w:t>
      </w:r>
      <w:proofErr w:type="spellStart"/>
      <w:r w:rsidR="00B2434E">
        <w:rPr>
          <w:rFonts w:ascii="Book Antiqua" w:hAnsi="Book Antiqua" w:cs="Arial"/>
        </w:rPr>
        <w:t>McVeety</w:t>
      </w:r>
      <w:proofErr w:type="spellEnd"/>
      <w:r w:rsidR="003250FE">
        <w:rPr>
          <w:rFonts w:ascii="Book Antiqua" w:hAnsi="Book Antiqua" w:cs="Arial"/>
        </w:rPr>
        <w:t xml:space="preserve">, Senior Home Office Presenting Officer </w:t>
      </w:r>
    </w:p>
    <w:p w:rsidR="00B2434E" w:rsidRPr="00F5664C" w:rsidRDefault="00B2434E" w:rsidP="00DE7DB7">
      <w:pPr>
        <w:tabs>
          <w:tab w:val="left" w:pos="2520"/>
        </w:tabs>
        <w:rPr>
          <w:rFonts w:ascii="Book Antiqua" w:hAnsi="Book Antiqua" w:cs="Arial"/>
        </w:rPr>
      </w:pPr>
      <w:r>
        <w:rPr>
          <w:rFonts w:ascii="Book Antiqua" w:hAnsi="Book Antiqua" w:cs="Arial"/>
        </w:rPr>
        <w:t>Interpreter:</w:t>
      </w:r>
      <w:r>
        <w:rPr>
          <w:rFonts w:ascii="Book Antiqua" w:hAnsi="Book Antiqua" w:cs="Arial"/>
        </w:rPr>
        <w:tab/>
        <w:t xml:space="preserve">Mrs </w:t>
      </w:r>
      <w:proofErr w:type="spellStart"/>
      <w:r>
        <w:rPr>
          <w:rFonts w:ascii="Book Antiqua" w:hAnsi="Book Antiqua" w:cs="Arial"/>
        </w:rPr>
        <w:t>Meher</w:t>
      </w:r>
      <w:proofErr w:type="spellEnd"/>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641A27" w:rsidRDefault="00490CFA" w:rsidP="00911478">
      <w:pPr>
        <w:numPr>
          <w:ilvl w:val="0"/>
          <w:numId w:val="3"/>
        </w:numPr>
        <w:spacing w:before="240"/>
        <w:jc w:val="both"/>
        <w:rPr>
          <w:rFonts w:ascii="Book Antiqua" w:hAnsi="Book Antiqua" w:cs="Arial"/>
        </w:rPr>
      </w:pPr>
      <w:r>
        <w:rPr>
          <w:rFonts w:ascii="Book Antiqua" w:hAnsi="Book Antiqua" w:cs="Arial"/>
        </w:rPr>
        <w:t xml:space="preserve">I </w:t>
      </w:r>
      <w:r w:rsidR="00B60E41">
        <w:rPr>
          <w:rFonts w:ascii="Book Antiqua" w:hAnsi="Book Antiqua" w:cs="Arial"/>
        </w:rPr>
        <w:t>do not make an anonymity direction.</w:t>
      </w:r>
    </w:p>
    <w:p w:rsidR="00471696" w:rsidRPr="00471696" w:rsidRDefault="00641A27" w:rsidP="003208D4">
      <w:pPr>
        <w:numPr>
          <w:ilvl w:val="0"/>
          <w:numId w:val="3"/>
        </w:numPr>
        <w:spacing w:before="240"/>
        <w:jc w:val="both"/>
        <w:rPr>
          <w:rFonts w:ascii="Book Antiqua" w:hAnsi="Book Antiqua" w:cs="Arial"/>
        </w:rPr>
      </w:pPr>
      <w:r w:rsidRPr="00AF21DA">
        <w:rPr>
          <w:rFonts w:ascii="Book Antiqua" w:hAnsi="Book Antiqua" w:cs="Arial"/>
        </w:rPr>
        <w:t>The appellant</w:t>
      </w:r>
      <w:r w:rsidR="00BA5944">
        <w:rPr>
          <w:rFonts w:ascii="Book Antiqua" w:hAnsi="Book Antiqua" w:cs="Arial"/>
        </w:rPr>
        <w:t>s</w:t>
      </w:r>
      <w:r w:rsidRPr="00AF21DA">
        <w:rPr>
          <w:rFonts w:ascii="Book Antiqua" w:hAnsi="Book Antiqua" w:cs="Arial"/>
        </w:rPr>
        <w:t xml:space="preserve"> </w:t>
      </w:r>
      <w:r w:rsidR="00BA5944">
        <w:rPr>
          <w:rFonts w:ascii="Book Antiqua" w:hAnsi="Book Antiqua" w:cs="Arial"/>
        </w:rPr>
        <w:t xml:space="preserve">are Pakistani </w:t>
      </w:r>
      <w:r w:rsidRPr="00AF21DA">
        <w:rPr>
          <w:rFonts w:ascii="Book Antiqua" w:hAnsi="Book Antiqua" w:cs="Arial"/>
        </w:rPr>
        <w:t>national</w:t>
      </w:r>
      <w:r w:rsidR="00BA5944">
        <w:rPr>
          <w:rFonts w:ascii="Book Antiqua" w:hAnsi="Book Antiqua" w:cs="Arial"/>
        </w:rPr>
        <w:t>s</w:t>
      </w:r>
      <w:r w:rsidRPr="00AF21DA">
        <w:rPr>
          <w:rFonts w:ascii="Book Antiqua" w:hAnsi="Book Antiqua" w:cs="Arial"/>
        </w:rPr>
        <w:t xml:space="preserve">.  </w:t>
      </w:r>
      <w:r w:rsidR="00753A55" w:rsidRPr="00AF21DA">
        <w:rPr>
          <w:rFonts w:ascii="Book Antiqua" w:hAnsi="Book Antiqua"/>
        </w:rPr>
        <w:t xml:space="preserve">The </w:t>
      </w:r>
      <w:r w:rsidR="00BA5944">
        <w:rPr>
          <w:rFonts w:ascii="Book Antiqua" w:hAnsi="Book Antiqua"/>
        </w:rPr>
        <w:t xml:space="preserve">first-named </w:t>
      </w:r>
      <w:r w:rsidR="0035753A" w:rsidRPr="00AF21DA">
        <w:rPr>
          <w:rFonts w:ascii="Book Antiqua" w:hAnsi="Book Antiqua"/>
        </w:rPr>
        <w:t xml:space="preserve">appellant </w:t>
      </w:r>
      <w:r w:rsidR="00BA5944">
        <w:rPr>
          <w:rFonts w:ascii="Book Antiqua" w:hAnsi="Book Antiqua"/>
        </w:rPr>
        <w:t xml:space="preserve">is the mother of the second and third-named appellants. They each entered the United Kingdom clandestinely on July 17, 2007 (the second and third-named appellants were aged 3 ½ </w:t>
      </w:r>
      <w:r w:rsidR="00BA5944">
        <w:rPr>
          <w:rFonts w:ascii="Book Antiqua" w:hAnsi="Book Antiqua"/>
        </w:rPr>
        <w:lastRenderedPageBreak/>
        <w:t>and 6 ½ years of age at the time)</w:t>
      </w:r>
      <w:r w:rsidR="00471696">
        <w:rPr>
          <w:rFonts w:ascii="Book Antiqua" w:hAnsi="Book Antiqua"/>
        </w:rPr>
        <w:t xml:space="preserve"> and claimed asylum. Their claims were refused on October 25, 2007</w:t>
      </w:r>
      <w:r w:rsidR="003250FE">
        <w:rPr>
          <w:rFonts w:ascii="Book Antiqua" w:hAnsi="Book Antiqua"/>
        </w:rPr>
        <w:t xml:space="preserve"> and two applications to regularise their status </w:t>
      </w:r>
      <w:r w:rsidR="00471696">
        <w:rPr>
          <w:rFonts w:ascii="Book Antiqua" w:hAnsi="Book Antiqua"/>
        </w:rPr>
        <w:t>on November 17, 2015</w:t>
      </w:r>
      <w:r w:rsidR="003250FE">
        <w:rPr>
          <w:rFonts w:ascii="Book Antiqua" w:hAnsi="Book Antiqua"/>
        </w:rPr>
        <w:t xml:space="preserve"> and </w:t>
      </w:r>
      <w:r w:rsidR="00471696">
        <w:rPr>
          <w:rFonts w:ascii="Book Antiqua" w:hAnsi="Book Antiqua"/>
        </w:rPr>
        <w:t xml:space="preserve">January 13, 2016.  </w:t>
      </w:r>
    </w:p>
    <w:p w:rsidR="00471696" w:rsidRPr="00471696" w:rsidRDefault="00471696" w:rsidP="003208D4">
      <w:pPr>
        <w:numPr>
          <w:ilvl w:val="0"/>
          <w:numId w:val="3"/>
        </w:numPr>
        <w:spacing w:before="240"/>
        <w:jc w:val="both"/>
        <w:rPr>
          <w:rFonts w:ascii="Book Antiqua" w:hAnsi="Book Antiqua" w:cs="Arial"/>
        </w:rPr>
      </w:pPr>
      <w:r>
        <w:rPr>
          <w:rFonts w:ascii="Book Antiqua" w:hAnsi="Book Antiqua"/>
        </w:rPr>
        <w:t xml:space="preserve">On February 5, 2016 they </w:t>
      </w:r>
      <w:r w:rsidR="008E01EE">
        <w:rPr>
          <w:rFonts w:ascii="Book Antiqua" w:hAnsi="Book Antiqua"/>
        </w:rPr>
        <w:t xml:space="preserve">again </w:t>
      </w:r>
      <w:r w:rsidR="00CF7E22" w:rsidRPr="00AF21DA">
        <w:rPr>
          <w:rFonts w:ascii="Book Antiqua" w:hAnsi="Book Antiqua"/>
        </w:rPr>
        <w:t xml:space="preserve">applied for </w:t>
      </w:r>
      <w:r w:rsidR="005C6EC4" w:rsidRPr="00AF21DA">
        <w:rPr>
          <w:rFonts w:ascii="Book Antiqua" w:hAnsi="Book Antiqua"/>
        </w:rPr>
        <w:t xml:space="preserve">leave to remain </w:t>
      </w:r>
      <w:r>
        <w:rPr>
          <w:rFonts w:ascii="Book Antiqua" w:hAnsi="Book Antiqua"/>
        </w:rPr>
        <w:t>on private and family life grounds</w:t>
      </w:r>
      <w:r w:rsidR="00D00F1C" w:rsidRPr="00AF21DA">
        <w:rPr>
          <w:rFonts w:ascii="Book Antiqua" w:hAnsi="Book Antiqua"/>
        </w:rPr>
        <w:t xml:space="preserve">. </w:t>
      </w:r>
      <w:r>
        <w:rPr>
          <w:rFonts w:ascii="Book Antiqua" w:hAnsi="Book Antiqua"/>
        </w:rPr>
        <w:t xml:space="preserve">Their </w:t>
      </w:r>
      <w:r w:rsidR="00D00F1C" w:rsidRPr="00AF21DA">
        <w:rPr>
          <w:rFonts w:ascii="Book Antiqua" w:hAnsi="Book Antiqua"/>
        </w:rPr>
        <w:t>application</w:t>
      </w:r>
      <w:r>
        <w:rPr>
          <w:rFonts w:ascii="Book Antiqua" w:hAnsi="Book Antiqua"/>
        </w:rPr>
        <w:t xml:space="preserve">s were </w:t>
      </w:r>
      <w:r w:rsidR="00D00F1C" w:rsidRPr="00AF21DA">
        <w:rPr>
          <w:rFonts w:ascii="Book Antiqua" w:hAnsi="Book Antiqua"/>
        </w:rPr>
        <w:t xml:space="preserve">refused by the </w:t>
      </w:r>
      <w:r w:rsidR="00CF7E22" w:rsidRPr="00AF21DA">
        <w:rPr>
          <w:rFonts w:ascii="Book Antiqua" w:hAnsi="Book Antiqua"/>
        </w:rPr>
        <w:t xml:space="preserve">respondent on </w:t>
      </w:r>
      <w:r>
        <w:rPr>
          <w:rFonts w:ascii="Book Antiqua" w:hAnsi="Book Antiqua"/>
        </w:rPr>
        <w:t>July 5</w:t>
      </w:r>
      <w:r w:rsidR="00D00F1C" w:rsidRPr="00AF21DA">
        <w:rPr>
          <w:rFonts w:ascii="Book Antiqua" w:hAnsi="Book Antiqua"/>
        </w:rPr>
        <w:t>, 2016</w:t>
      </w:r>
      <w:r w:rsidR="00CF7E22" w:rsidRPr="00AF21DA">
        <w:rPr>
          <w:rFonts w:ascii="Book Antiqua" w:hAnsi="Book Antiqua"/>
        </w:rPr>
        <w:t xml:space="preserve">. </w:t>
      </w:r>
    </w:p>
    <w:p w:rsidR="003250FE" w:rsidRDefault="00471696" w:rsidP="003250FE">
      <w:pPr>
        <w:numPr>
          <w:ilvl w:val="0"/>
          <w:numId w:val="3"/>
        </w:numPr>
        <w:spacing w:before="240"/>
        <w:jc w:val="both"/>
        <w:rPr>
          <w:rFonts w:ascii="Book Antiqua" w:hAnsi="Book Antiqua" w:cs="Arial"/>
        </w:rPr>
      </w:pPr>
      <w:r w:rsidRPr="003250FE">
        <w:rPr>
          <w:rFonts w:ascii="Book Antiqua" w:hAnsi="Book Antiqua"/>
        </w:rPr>
        <w:t xml:space="preserve">Their appeals </w:t>
      </w:r>
      <w:r w:rsidR="003250FE" w:rsidRPr="003250FE">
        <w:rPr>
          <w:rFonts w:ascii="Book Antiqua" w:hAnsi="Book Antiqua"/>
        </w:rPr>
        <w:t xml:space="preserve">originally </w:t>
      </w:r>
      <w:r w:rsidR="00AF21DA" w:rsidRPr="003250FE">
        <w:rPr>
          <w:rFonts w:ascii="Book Antiqua" w:hAnsi="Book Antiqua"/>
        </w:rPr>
        <w:t xml:space="preserve">came before </w:t>
      </w:r>
      <w:r w:rsidR="00F90160" w:rsidRPr="003250FE">
        <w:rPr>
          <w:rFonts w:ascii="Book Antiqua" w:hAnsi="Book Antiqua" w:cs="Arial"/>
        </w:rPr>
        <w:t>Judge</w:t>
      </w:r>
      <w:r w:rsidR="00E07601" w:rsidRPr="003250FE">
        <w:rPr>
          <w:rFonts w:ascii="Book Antiqua" w:hAnsi="Book Antiqua" w:cs="Arial"/>
        </w:rPr>
        <w:t xml:space="preserve"> of the First-tier Tribunal </w:t>
      </w:r>
      <w:r w:rsidRPr="003250FE">
        <w:rPr>
          <w:rFonts w:ascii="Book Antiqua" w:hAnsi="Book Antiqua" w:cs="Arial"/>
        </w:rPr>
        <w:t xml:space="preserve">Woodward </w:t>
      </w:r>
      <w:r w:rsidR="00442A49" w:rsidRPr="003250FE">
        <w:rPr>
          <w:rFonts w:ascii="Book Antiqua" w:hAnsi="Book Antiqua" w:cs="Arial"/>
        </w:rPr>
        <w:t xml:space="preserve">(hereinafter called “the Judge”) </w:t>
      </w:r>
      <w:r w:rsidR="00E07601" w:rsidRPr="003250FE">
        <w:rPr>
          <w:rFonts w:ascii="Book Antiqua" w:hAnsi="Book Antiqua" w:cs="Arial"/>
        </w:rPr>
        <w:t xml:space="preserve">on </w:t>
      </w:r>
      <w:r w:rsidRPr="003250FE">
        <w:rPr>
          <w:rFonts w:ascii="Book Antiqua" w:hAnsi="Book Antiqua" w:cs="Arial"/>
        </w:rPr>
        <w:t>June 13</w:t>
      </w:r>
      <w:r w:rsidR="00B54032" w:rsidRPr="003250FE">
        <w:rPr>
          <w:rFonts w:ascii="Book Antiqua" w:hAnsi="Book Antiqua" w:cs="Arial"/>
        </w:rPr>
        <w:t xml:space="preserve">, 2017 </w:t>
      </w:r>
      <w:r w:rsidR="00E07601" w:rsidRPr="003250FE">
        <w:rPr>
          <w:rFonts w:ascii="Book Antiqua" w:hAnsi="Book Antiqua" w:cs="Arial"/>
        </w:rPr>
        <w:t>and in a decision pro</w:t>
      </w:r>
      <w:r w:rsidR="00F90160" w:rsidRPr="003250FE">
        <w:rPr>
          <w:rFonts w:ascii="Book Antiqua" w:hAnsi="Book Antiqua" w:cs="Arial"/>
        </w:rPr>
        <w:t xml:space="preserve">mulgated on </w:t>
      </w:r>
      <w:r w:rsidRPr="003250FE">
        <w:rPr>
          <w:rFonts w:ascii="Book Antiqua" w:hAnsi="Book Antiqua" w:cs="Arial"/>
        </w:rPr>
        <w:t>July 3</w:t>
      </w:r>
      <w:r w:rsidR="00BE57DB" w:rsidRPr="003250FE">
        <w:rPr>
          <w:rFonts w:ascii="Book Antiqua" w:hAnsi="Book Antiqua" w:cs="Arial"/>
        </w:rPr>
        <w:t>, 2017</w:t>
      </w:r>
      <w:r w:rsidR="00F90160" w:rsidRPr="003250FE">
        <w:rPr>
          <w:rFonts w:ascii="Book Antiqua" w:hAnsi="Book Antiqua" w:cs="Arial"/>
        </w:rPr>
        <w:t xml:space="preserve"> the Judge</w:t>
      </w:r>
      <w:r w:rsidR="00E07601" w:rsidRPr="003250FE">
        <w:rPr>
          <w:rFonts w:ascii="Book Antiqua" w:hAnsi="Book Antiqua" w:cs="Arial"/>
        </w:rPr>
        <w:t xml:space="preserve"> </w:t>
      </w:r>
      <w:r w:rsidR="00CF7E22" w:rsidRPr="003250FE">
        <w:rPr>
          <w:rFonts w:ascii="Book Antiqua" w:hAnsi="Book Antiqua" w:cs="Arial"/>
        </w:rPr>
        <w:t xml:space="preserve">allowed </w:t>
      </w:r>
      <w:r w:rsidRPr="003250FE">
        <w:rPr>
          <w:rFonts w:ascii="Book Antiqua" w:hAnsi="Book Antiqua" w:cs="Arial"/>
        </w:rPr>
        <w:t xml:space="preserve">their </w:t>
      </w:r>
      <w:r w:rsidR="00BE57DB" w:rsidRPr="003250FE">
        <w:rPr>
          <w:rFonts w:ascii="Book Antiqua" w:hAnsi="Book Antiqua" w:cs="Arial"/>
        </w:rPr>
        <w:t>appeal</w:t>
      </w:r>
      <w:r w:rsidRPr="003250FE">
        <w:rPr>
          <w:rFonts w:ascii="Book Antiqua" w:hAnsi="Book Antiqua" w:cs="Arial"/>
        </w:rPr>
        <w:t>s</w:t>
      </w:r>
      <w:r w:rsidR="00F229EB" w:rsidRPr="003250FE">
        <w:rPr>
          <w:rFonts w:ascii="Book Antiqua" w:hAnsi="Book Antiqua" w:cs="Arial"/>
        </w:rPr>
        <w:t xml:space="preserve"> on the basis </w:t>
      </w:r>
      <w:r w:rsidRPr="003250FE">
        <w:rPr>
          <w:rFonts w:ascii="Book Antiqua" w:hAnsi="Book Antiqua" w:cs="Arial"/>
        </w:rPr>
        <w:t>it would be disproportionate to require them to leave this country</w:t>
      </w:r>
      <w:r w:rsidR="00AF21DA" w:rsidRPr="003250FE">
        <w:rPr>
          <w:rFonts w:ascii="Book Antiqua" w:hAnsi="Book Antiqua" w:cs="Arial"/>
        </w:rPr>
        <w:t>.</w:t>
      </w:r>
      <w:r w:rsidR="00D00F1C" w:rsidRPr="003250FE">
        <w:rPr>
          <w:rFonts w:ascii="Book Antiqua" w:hAnsi="Book Antiqua" w:cs="Arial"/>
        </w:rPr>
        <w:t xml:space="preserve"> </w:t>
      </w:r>
      <w:r w:rsidR="00E07601" w:rsidRPr="003250FE">
        <w:rPr>
          <w:rFonts w:ascii="Book Antiqua" w:hAnsi="Book Antiqua" w:cs="Arial"/>
        </w:rPr>
        <w:t xml:space="preserve">The </w:t>
      </w:r>
      <w:r w:rsidR="00CF7E22" w:rsidRPr="003250FE">
        <w:rPr>
          <w:rFonts w:ascii="Book Antiqua" w:hAnsi="Book Antiqua" w:cs="Arial"/>
        </w:rPr>
        <w:t xml:space="preserve">respondent </w:t>
      </w:r>
      <w:r w:rsidR="00E07601" w:rsidRPr="003250FE">
        <w:rPr>
          <w:rFonts w:ascii="Book Antiqua" w:hAnsi="Book Antiqua" w:cs="Arial"/>
        </w:rPr>
        <w:t xml:space="preserve">appealed </w:t>
      </w:r>
      <w:r w:rsidRPr="003250FE">
        <w:rPr>
          <w:rFonts w:ascii="Book Antiqua" w:hAnsi="Book Antiqua" w:cs="Arial"/>
        </w:rPr>
        <w:t xml:space="preserve">those </w:t>
      </w:r>
      <w:r w:rsidR="00F229EB" w:rsidRPr="003250FE">
        <w:rPr>
          <w:rFonts w:ascii="Book Antiqua" w:hAnsi="Book Antiqua" w:cs="Arial"/>
        </w:rPr>
        <w:t>decision</w:t>
      </w:r>
      <w:r w:rsidRPr="003250FE">
        <w:rPr>
          <w:rFonts w:ascii="Book Antiqua" w:hAnsi="Book Antiqua" w:cs="Arial"/>
        </w:rPr>
        <w:t>s</w:t>
      </w:r>
      <w:r w:rsidR="00F229EB" w:rsidRPr="003250FE">
        <w:rPr>
          <w:rFonts w:ascii="Book Antiqua" w:hAnsi="Book Antiqua" w:cs="Arial"/>
        </w:rPr>
        <w:t xml:space="preserve"> </w:t>
      </w:r>
      <w:r w:rsidR="00AF21DA" w:rsidRPr="003250FE">
        <w:rPr>
          <w:rFonts w:ascii="Book Antiqua" w:hAnsi="Book Antiqua" w:cs="Arial"/>
        </w:rPr>
        <w:t>and p</w:t>
      </w:r>
      <w:r w:rsidR="00442A49" w:rsidRPr="003250FE">
        <w:rPr>
          <w:rFonts w:ascii="Book Antiqua" w:hAnsi="Book Antiqua" w:cs="Arial"/>
        </w:rPr>
        <w:t xml:space="preserve">ermission to appeal was </w:t>
      </w:r>
      <w:r w:rsidR="00CF7E22" w:rsidRPr="003250FE">
        <w:rPr>
          <w:rFonts w:ascii="Book Antiqua" w:hAnsi="Book Antiqua" w:cs="Arial"/>
        </w:rPr>
        <w:t xml:space="preserve">granted </w:t>
      </w:r>
      <w:r w:rsidR="00ED48D9" w:rsidRPr="003250FE">
        <w:rPr>
          <w:rFonts w:ascii="Book Antiqua" w:hAnsi="Book Antiqua" w:cs="Arial"/>
        </w:rPr>
        <w:t xml:space="preserve">by </w:t>
      </w:r>
      <w:r w:rsidR="00F472AE" w:rsidRPr="003250FE">
        <w:rPr>
          <w:rFonts w:ascii="Book Antiqua" w:hAnsi="Book Antiqua" w:cs="Arial"/>
        </w:rPr>
        <w:t xml:space="preserve">Judge of the First-tier Tribunal </w:t>
      </w:r>
      <w:r w:rsidRPr="003250FE">
        <w:rPr>
          <w:rFonts w:ascii="Book Antiqua" w:hAnsi="Book Antiqua" w:cs="Arial"/>
        </w:rPr>
        <w:t>Froom</w:t>
      </w:r>
      <w:r w:rsidR="00CF7E22" w:rsidRPr="003250FE">
        <w:rPr>
          <w:rFonts w:ascii="Book Antiqua" w:hAnsi="Book Antiqua" w:cs="Arial"/>
        </w:rPr>
        <w:t xml:space="preserve"> </w:t>
      </w:r>
      <w:r w:rsidR="00BE57DB" w:rsidRPr="003250FE">
        <w:rPr>
          <w:rFonts w:ascii="Book Antiqua" w:hAnsi="Book Antiqua" w:cs="Arial"/>
        </w:rPr>
        <w:t xml:space="preserve">on </w:t>
      </w:r>
      <w:r w:rsidRPr="003250FE">
        <w:rPr>
          <w:rFonts w:ascii="Book Antiqua" w:hAnsi="Book Antiqua" w:cs="Arial"/>
        </w:rPr>
        <w:t>January 2</w:t>
      </w:r>
      <w:r w:rsidR="00BE57DB" w:rsidRPr="003250FE">
        <w:rPr>
          <w:rFonts w:ascii="Book Antiqua" w:hAnsi="Book Antiqua" w:cs="Arial"/>
        </w:rPr>
        <w:t>, 201</w:t>
      </w:r>
      <w:r w:rsidRPr="003250FE">
        <w:rPr>
          <w:rFonts w:ascii="Book Antiqua" w:hAnsi="Book Antiqua" w:cs="Arial"/>
        </w:rPr>
        <w:t>8</w:t>
      </w:r>
      <w:r w:rsidR="00D44088" w:rsidRPr="003250FE">
        <w:rPr>
          <w:rFonts w:ascii="Book Antiqua" w:hAnsi="Book Antiqua" w:cs="Arial"/>
        </w:rPr>
        <w:t xml:space="preserve">. </w:t>
      </w:r>
      <w:r w:rsidR="003250FE" w:rsidRPr="003250FE">
        <w:rPr>
          <w:rFonts w:ascii="Book Antiqua" w:hAnsi="Book Antiqua" w:cs="Arial"/>
        </w:rPr>
        <w:t xml:space="preserve">The matter came before me on March 26, 2018 and following submissions made by both parties I concluded the </w:t>
      </w:r>
      <w:r w:rsidR="003250FE">
        <w:rPr>
          <w:rFonts w:ascii="Book Antiqua" w:hAnsi="Book Antiqua" w:cs="Arial"/>
        </w:rPr>
        <w:t xml:space="preserve">Judge’s </w:t>
      </w:r>
      <w:r w:rsidR="003250FE" w:rsidRPr="003250FE">
        <w:rPr>
          <w:rFonts w:ascii="Book Antiqua" w:hAnsi="Book Antiqua" w:cs="Arial"/>
        </w:rPr>
        <w:t xml:space="preserve">proportionality </w:t>
      </w:r>
      <w:r w:rsidR="003250FE">
        <w:rPr>
          <w:rFonts w:ascii="Book Antiqua" w:hAnsi="Book Antiqua" w:cs="Arial"/>
        </w:rPr>
        <w:t>assessment was lacking because no regard had been had to the following factors:</w:t>
      </w:r>
    </w:p>
    <w:p w:rsidR="003250FE" w:rsidRDefault="003250FE" w:rsidP="003250FE">
      <w:pPr>
        <w:numPr>
          <w:ilvl w:val="2"/>
          <w:numId w:val="3"/>
        </w:numPr>
        <w:spacing w:before="240"/>
        <w:jc w:val="both"/>
        <w:rPr>
          <w:rFonts w:ascii="Book Antiqua" w:hAnsi="Book Antiqua" w:cs="Arial"/>
        </w:rPr>
      </w:pPr>
      <w:r>
        <w:rPr>
          <w:rFonts w:ascii="Book Antiqua" w:hAnsi="Book Antiqua" w:cs="Arial"/>
        </w:rPr>
        <w:t xml:space="preserve">The appellants have family living in Pakistan including the first named appellant’s mother and brother albeit they claimed not to have any contact. </w:t>
      </w:r>
    </w:p>
    <w:p w:rsidR="003250FE" w:rsidRDefault="003250FE" w:rsidP="003250FE">
      <w:pPr>
        <w:numPr>
          <w:ilvl w:val="2"/>
          <w:numId w:val="3"/>
        </w:numPr>
        <w:spacing w:before="240"/>
        <w:jc w:val="both"/>
        <w:rPr>
          <w:rFonts w:ascii="Book Antiqua" w:hAnsi="Book Antiqua" w:cs="Arial"/>
        </w:rPr>
      </w:pPr>
      <w:r>
        <w:rPr>
          <w:rFonts w:ascii="Book Antiqua" w:hAnsi="Book Antiqua" w:cs="Arial"/>
        </w:rPr>
        <w:t xml:space="preserve">Their private life was formed whilst here unlawfully and this should attract little weight according to section 117B of the 2002 Act. </w:t>
      </w:r>
    </w:p>
    <w:p w:rsidR="003250FE" w:rsidRPr="003250FE" w:rsidRDefault="003250FE" w:rsidP="003250FE">
      <w:pPr>
        <w:numPr>
          <w:ilvl w:val="2"/>
          <w:numId w:val="3"/>
        </w:numPr>
        <w:spacing w:before="240"/>
        <w:jc w:val="both"/>
        <w:rPr>
          <w:rFonts w:ascii="Book Antiqua" w:hAnsi="Book Antiqua" w:cs="Arial"/>
        </w:rPr>
      </w:pPr>
      <w:r>
        <w:rPr>
          <w:rFonts w:ascii="Book Antiqua" w:hAnsi="Book Antiqua" w:cs="Arial"/>
        </w:rPr>
        <w:t>There had also been a huge cost to the public purse because the two younger appellants had been educated in circumstances where normally they would not have been entitled to free education in the United Kingdom and no doubt there were other public expenses that had been incurred.</w:t>
      </w:r>
    </w:p>
    <w:p w:rsidR="003250FE" w:rsidRDefault="003250FE" w:rsidP="003208D4">
      <w:pPr>
        <w:numPr>
          <w:ilvl w:val="0"/>
          <w:numId w:val="3"/>
        </w:numPr>
        <w:spacing w:before="240"/>
        <w:jc w:val="both"/>
        <w:rPr>
          <w:rFonts w:ascii="Book Antiqua" w:hAnsi="Book Antiqua" w:cs="Arial"/>
        </w:rPr>
      </w:pPr>
      <w:r>
        <w:rPr>
          <w:rFonts w:ascii="Book Antiqua" w:hAnsi="Book Antiqua" w:cs="Arial"/>
        </w:rPr>
        <w:t xml:space="preserve">I concluded that this issue should be re-visited and in view of the fact the last hearing had been on June 13, 2017 I adjourned the hearing </w:t>
      </w:r>
      <w:r w:rsidR="00B2434E">
        <w:rPr>
          <w:rFonts w:ascii="Book Antiqua" w:hAnsi="Book Antiqua" w:cs="Arial"/>
        </w:rPr>
        <w:t>for</w:t>
      </w:r>
      <w:r>
        <w:rPr>
          <w:rFonts w:ascii="Book Antiqua" w:hAnsi="Book Antiqua" w:cs="Arial"/>
        </w:rPr>
        <w:t xml:space="preserve"> additional oral evidence and/or submissions. </w:t>
      </w:r>
    </w:p>
    <w:p w:rsidR="00B2434E" w:rsidRDefault="003250FE" w:rsidP="003208D4">
      <w:pPr>
        <w:numPr>
          <w:ilvl w:val="0"/>
          <w:numId w:val="3"/>
        </w:numPr>
        <w:spacing w:before="240"/>
        <w:jc w:val="both"/>
        <w:rPr>
          <w:rFonts w:ascii="Book Antiqua" w:hAnsi="Book Antiqua" w:cs="Arial"/>
        </w:rPr>
      </w:pPr>
      <w:r>
        <w:rPr>
          <w:rFonts w:ascii="Book Antiqua" w:hAnsi="Book Antiqua" w:cs="Arial"/>
        </w:rPr>
        <w:t xml:space="preserve">The matter came before </w:t>
      </w:r>
      <w:r w:rsidR="003D4496">
        <w:rPr>
          <w:rFonts w:ascii="Book Antiqua" w:hAnsi="Book Antiqua" w:cs="Arial"/>
        </w:rPr>
        <w:t xml:space="preserve">me </w:t>
      </w:r>
      <w:r>
        <w:rPr>
          <w:rFonts w:ascii="Book Antiqua" w:hAnsi="Book Antiqua" w:cs="Arial"/>
        </w:rPr>
        <w:t>today and the parties were represented as set out above</w:t>
      </w:r>
      <w:r w:rsidR="0079344D">
        <w:rPr>
          <w:rFonts w:ascii="Book Antiqua" w:hAnsi="Book Antiqua" w:cs="Arial"/>
        </w:rPr>
        <w:t xml:space="preserve">. </w:t>
      </w:r>
    </w:p>
    <w:p w:rsidR="003250FE" w:rsidRDefault="0079344D" w:rsidP="003208D4">
      <w:pPr>
        <w:numPr>
          <w:ilvl w:val="0"/>
          <w:numId w:val="3"/>
        </w:numPr>
        <w:spacing w:before="240"/>
        <w:jc w:val="both"/>
        <w:rPr>
          <w:rFonts w:ascii="Book Antiqua" w:hAnsi="Book Antiqua" w:cs="Arial"/>
        </w:rPr>
      </w:pPr>
      <w:r>
        <w:rPr>
          <w:rFonts w:ascii="Book Antiqua" w:hAnsi="Book Antiqua" w:cs="Arial"/>
        </w:rPr>
        <w:t xml:space="preserve">In considering proportionality I indicated </w:t>
      </w:r>
      <w:r w:rsidR="00B2434E">
        <w:rPr>
          <w:rFonts w:ascii="Book Antiqua" w:hAnsi="Book Antiqua" w:cs="Arial"/>
        </w:rPr>
        <w:t xml:space="preserve">to the representatives </w:t>
      </w:r>
      <w:r>
        <w:rPr>
          <w:rFonts w:ascii="Book Antiqua" w:hAnsi="Book Antiqua" w:cs="Arial"/>
        </w:rPr>
        <w:t>that as a starting point I would have regard to the following:</w:t>
      </w:r>
    </w:p>
    <w:p w:rsidR="00B2434E" w:rsidRDefault="0079344D" w:rsidP="0079344D">
      <w:pPr>
        <w:numPr>
          <w:ilvl w:val="1"/>
          <w:numId w:val="3"/>
        </w:numPr>
        <w:spacing w:before="240"/>
        <w:jc w:val="both"/>
        <w:rPr>
          <w:rFonts w:ascii="Book Antiqua" w:hAnsi="Book Antiqua" w:cs="Arial"/>
        </w:rPr>
      </w:pPr>
      <w:r>
        <w:rPr>
          <w:rFonts w:ascii="Book Antiqua" w:hAnsi="Book Antiqua" w:cs="Arial"/>
        </w:rPr>
        <w:t xml:space="preserve">Both children were born in Pakistan and came to this country aged 3½ and 6½ years of age. </w:t>
      </w:r>
    </w:p>
    <w:p w:rsidR="0079344D" w:rsidRDefault="00B2434E" w:rsidP="0079344D">
      <w:pPr>
        <w:numPr>
          <w:ilvl w:val="1"/>
          <w:numId w:val="3"/>
        </w:numPr>
        <w:spacing w:before="240"/>
        <w:jc w:val="both"/>
        <w:rPr>
          <w:rFonts w:ascii="Book Antiqua" w:hAnsi="Book Antiqua" w:cs="Arial"/>
        </w:rPr>
      </w:pPr>
      <w:r>
        <w:rPr>
          <w:rFonts w:ascii="Book Antiqua" w:hAnsi="Book Antiqua" w:cs="Arial"/>
        </w:rPr>
        <w:t xml:space="preserve">The children </w:t>
      </w:r>
      <w:r w:rsidR="0079344D">
        <w:rPr>
          <w:rFonts w:ascii="Book Antiqua" w:hAnsi="Book Antiqua" w:cs="Arial"/>
        </w:rPr>
        <w:t xml:space="preserve">were now aged 14½ and 17½ years of age and they had therefore spent a substantial period in this country. </w:t>
      </w:r>
    </w:p>
    <w:p w:rsidR="0079344D" w:rsidRDefault="0079344D" w:rsidP="0079344D">
      <w:pPr>
        <w:numPr>
          <w:ilvl w:val="1"/>
          <w:numId w:val="3"/>
        </w:numPr>
        <w:spacing w:before="240"/>
        <w:jc w:val="both"/>
        <w:rPr>
          <w:rFonts w:ascii="Book Antiqua" w:hAnsi="Book Antiqua" w:cs="Arial"/>
        </w:rPr>
      </w:pPr>
      <w:r>
        <w:rPr>
          <w:rFonts w:ascii="Book Antiqua" w:hAnsi="Book Antiqua" w:cs="Arial"/>
        </w:rPr>
        <w:t xml:space="preserve">The children should not be blamed for the actions of their mother especially as they were still minors. </w:t>
      </w:r>
    </w:p>
    <w:p w:rsidR="0079344D" w:rsidRDefault="0079344D" w:rsidP="0079344D">
      <w:pPr>
        <w:numPr>
          <w:ilvl w:val="1"/>
          <w:numId w:val="3"/>
        </w:numPr>
        <w:spacing w:before="240"/>
        <w:jc w:val="both"/>
        <w:rPr>
          <w:rFonts w:ascii="Book Antiqua" w:hAnsi="Book Antiqua" w:cs="Arial"/>
        </w:rPr>
      </w:pPr>
      <w:r>
        <w:rPr>
          <w:rFonts w:ascii="Book Antiqua" w:hAnsi="Book Antiqua" w:cs="Arial"/>
        </w:rPr>
        <w:t xml:space="preserve">The children both spoke English. </w:t>
      </w:r>
    </w:p>
    <w:p w:rsidR="00B2434E" w:rsidRDefault="00B2434E" w:rsidP="0079344D">
      <w:pPr>
        <w:numPr>
          <w:ilvl w:val="1"/>
          <w:numId w:val="3"/>
        </w:numPr>
        <w:spacing w:before="240"/>
        <w:jc w:val="both"/>
        <w:rPr>
          <w:rFonts w:ascii="Book Antiqua" w:hAnsi="Book Antiqua" w:cs="Arial"/>
        </w:rPr>
      </w:pPr>
      <w:r>
        <w:rPr>
          <w:rFonts w:ascii="Book Antiqua" w:hAnsi="Book Antiqua" w:cs="Arial"/>
        </w:rPr>
        <w:t>The respondent’s own February 2018 policy on Family Migration</w:t>
      </w:r>
      <w:r w:rsidRPr="00B2434E">
        <w:rPr>
          <w:rFonts w:ascii="Book Antiqua" w:hAnsi="Book Antiqua" w:cs="Arial"/>
        </w:rPr>
        <w:t xml:space="preserve"> suggests that </w:t>
      </w:r>
      <w:r w:rsidRPr="00B2434E">
        <w:rPr>
          <w:rFonts w:ascii="Book Antiqua" w:hAnsi="Book Antiqua"/>
        </w:rPr>
        <w:t xml:space="preserve">strong reasons will be required </w:t>
      </w:r>
      <w:proofErr w:type="gramStart"/>
      <w:r w:rsidRPr="00B2434E">
        <w:rPr>
          <w:rFonts w:ascii="Book Antiqua" w:hAnsi="Book Antiqua"/>
        </w:rPr>
        <w:t>in order to</w:t>
      </w:r>
      <w:proofErr w:type="gramEnd"/>
      <w:r w:rsidRPr="00B2434E">
        <w:rPr>
          <w:rFonts w:ascii="Book Antiqua" w:hAnsi="Book Antiqua"/>
        </w:rPr>
        <w:t xml:space="preserve"> refuse a case where the outcome will be removal of a child with continuous UK residence of seven years or more.</w:t>
      </w:r>
    </w:p>
    <w:p w:rsidR="0079344D" w:rsidRDefault="0079344D" w:rsidP="0079344D">
      <w:pPr>
        <w:numPr>
          <w:ilvl w:val="1"/>
          <w:numId w:val="3"/>
        </w:numPr>
        <w:spacing w:before="240"/>
        <w:jc w:val="both"/>
        <w:rPr>
          <w:rFonts w:ascii="Book Antiqua" w:hAnsi="Book Antiqua" w:cs="Arial"/>
        </w:rPr>
      </w:pPr>
      <w:r>
        <w:rPr>
          <w:rFonts w:ascii="Book Antiqua" w:hAnsi="Book Antiqua" w:cs="Arial"/>
        </w:rPr>
        <w:lastRenderedPageBreak/>
        <w:t>The First-named appellant entered the country clandestinely and any private life had been formed whilst here unlawfully.</w:t>
      </w:r>
    </w:p>
    <w:p w:rsidR="0079344D" w:rsidRDefault="0079344D" w:rsidP="0079344D">
      <w:pPr>
        <w:numPr>
          <w:ilvl w:val="1"/>
          <w:numId w:val="3"/>
        </w:numPr>
        <w:spacing w:before="240"/>
        <w:jc w:val="both"/>
        <w:rPr>
          <w:rFonts w:ascii="Book Antiqua" w:hAnsi="Book Antiqua" w:cs="Arial"/>
        </w:rPr>
      </w:pPr>
      <w:r>
        <w:rPr>
          <w:rFonts w:ascii="Book Antiqua" w:hAnsi="Book Antiqua" w:cs="Arial"/>
        </w:rPr>
        <w:t>There had been a significant reliance placed on the public purse.</w:t>
      </w:r>
    </w:p>
    <w:p w:rsidR="0079344D" w:rsidRDefault="00B2434E" w:rsidP="0079344D">
      <w:pPr>
        <w:numPr>
          <w:ilvl w:val="1"/>
          <w:numId w:val="3"/>
        </w:numPr>
        <w:spacing w:before="240"/>
        <w:jc w:val="both"/>
        <w:rPr>
          <w:rFonts w:ascii="Book Antiqua" w:hAnsi="Book Antiqua" w:cs="Arial"/>
        </w:rPr>
      </w:pPr>
      <w:r>
        <w:rPr>
          <w:rFonts w:ascii="Book Antiqua" w:hAnsi="Book Antiqua" w:cs="Arial"/>
        </w:rPr>
        <w:t xml:space="preserve">It was arguable they had </w:t>
      </w:r>
      <w:r w:rsidR="0079344D">
        <w:rPr>
          <w:rFonts w:ascii="Book Antiqua" w:hAnsi="Book Antiqua" w:cs="Arial"/>
        </w:rPr>
        <w:t xml:space="preserve">family in Pakistan. </w:t>
      </w:r>
    </w:p>
    <w:p w:rsidR="003250FE" w:rsidRDefault="00B2434E" w:rsidP="003208D4">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McVeety</w:t>
      </w:r>
      <w:proofErr w:type="spellEnd"/>
      <w:r>
        <w:rPr>
          <w:rFonts w:ascii="Book Antiqua" w:hAnsi="Book Antiqua" w:cs="Arial"/>
        </w:rPr>
        <w:t xml:space="preserve"> accepted that the matters highlighted in paragraph 7(a)-(e) above </w:t>
      </w:r>
      <w:r w:rsidR="003D4496">
        <w:rPr>
          <w:rFonts w:ascii="Book Antiqua" w:hAnsi="Book Antiqua" w:cs="Arial"/>
        </w:rPr>
        <w:t>were</w:t>
      </w:r>
      <w:r>
        <w:rPr>
          <w:rFonts w:ascii="Book Antiqua" w:hAnsi="Book Antiqua" w:cs="Arial"/>
        </w:rPr>
        <w:t xml:space="preserve"> strong factors in support of the second and third appellants’ claims and the only basis in which he could invite the Tribunal to dismiss all </w:t>
      </w:r>
      <w:r w:rsidR="003D4496">
        <w:rPr>
          <w:rFonts w:ascii="Book Antiqua" w:hAnsi="Book Antiqua" w:cs="Arial"/>
        </w:rPr>
        <w:t xml:space="preserve">three </w:t>
      </w:r>
      <w:r>
        <w:rPr>
          <w:rFonts w:ascii="Book Antiqua" w:hAnsi="Book Antiqua" w:cs="Arial"/>
        </w:rPr>
        <w:t xml:space="preserve">appeals would be if the factors outlined in paragraph 7 (f) to (h) </w:t>
      </w:r>
      <w:r w:rsidR="003D4496">
        <w:rPr>
          <w:rFonts w:ascii="Book Antiqua" w:hAnsi="Book Antiqua" w:cs="Arial"/>
        </w:rPr>
        <w:t xml:space="preserve">were </w:t>
      </w:r>
      <w:r>
        <w:rPr>
          <w:rFonts w:ascii="Book Antiqua" w:hAnsi="Book Antiqua" w:cs="Arial"/>
        </w:rPr>
        <w:t xml:space="preserve">strong enough to outweigh </w:t>
      </w:r>
      <w:r w:rsidR="003D4496">
        <w:rPr>
          <w:rFonts w:ascii="Book Antiqua" w:hAnsi="Book Antiqua" w:cs="Arial"/>
        </w:rPr>
        <w:t>7(a) to (e)</w:t>
      </w:r>
      <w:r>
        <w:rPr>
          <w:rFonts w:ascii="Book Antiqua" w:hAnsi="Book Antiqua" w:cs="Arial"/>
        </w:rPr>
        <w:t>. He accepted the second and third-named appellant</w:t>
      </w:r>
      <w:r w:rsidR="001D4B62">
        <w:rPr>
          <w:rFonts w:ascii="Book Antiqua" w:hAnsi="Book Antiqua" w:cs="Arial"/>
        </w:rPr>
        <w:t>s</w:t>
      </w:r>
      <w:r>
        <w:rPr>
          <w:rFonts w:ascii="Book Antiqua" w:hAnsi="Book Antiqua" w:cs="Arial"/>
        </w:rPr>
        <w:t xml:space="preserve"> had been in this country for 11 years and had spent the formative years of their life in the United Kingdom. He also accepted that they had been educated in this country and had no experience of education in Pakistan and that their private life would have been formed here. He argued that the </w:t>
      </w:r>
      <w:r w:rsidR="001D4B62">
        <w:rPr>
          <w:rFonts w:ascii="Book Antiqua" w:hAnsi="Book Antiqua" w:cs="Arial"/>
        </w:rPr>
        <w:t>F</w:t>
      </w:r>
      <w:r>
        <w:rPr>
          <w:rFonts w:ascii="Book Antiqua" w:hAnsi="Book Antiqua" w:cs="Arial"/>
        </w:rPr>
        <w:t>irst-named appellant could not succeed in her own right reminding me that section 117</w:t>
      </w:r>
      <w:proofErr w:type="gramStart"/>
      <w:r>
        <w:rPr>
          <w:rFonts w:ascii="Book Antiqua" w:hAnsi="Book Antiqua" w:cs="Arial"/>
        </w:rPr>
        <w:t>B</w:t>
      </w:r>
      <w:r w:rsidR="001D4B62">
        <w:rPr>
          <w:rFonts w:ascii="Book Antiqua" w:hAnsi="Book Antiqua" w:cs="Arial"/>
        </w:rPr>
        <w:t>(</w:t>
      </w:r>
      <w:proofErr w:type="gramEnd"/>
      <w:r w:rsidR="001D4B62">
        <w:rPr>
          <w:rFonts w:ascii="Book Antiqua" w:hAnsi="Book Antiqua" w:cs="Arial"/>
        </w:rPr>
        <w:t>1)</w:t>
      </w:r>
      <w:r>
        <w:rPr>
          <w:rFonts w:ascii="Book Antiqua" w:hAnsi="Book Antiqua" w:cs="Arial"/>
        </w:rPr>
        <w:t xml:space="preserve"> of the 2002 Act made clear that immigration control was in the public interest and the fact her </w:t>
      </w:r>
      <w:r w:rsidR="001D4B62">
        <w:rPr>
          <w:rFonts w:ascii="Book Antiqua" w:hAnsi="Book Antiqua" w:cs="Arial"/>
        </w:rPr>
        <w:t xml:space="preserve">private </w:t>
      </w:r>
      <w:r>
        <w:rPr>
          <w:rFonts w:ascii="Book Antiqua" w:hAnsi="Book Antiqua" w:cs="Arial"/>
        </w:rPr>
        <w:t>life had been formed here unlawfully and at the public expense together with the fact she did not speak English were all reasons to refuse her claim. However, if the Tribunal allow</w:t>
      </w:r>
      <w:r w:rsidR="001D4B62">
        <w:rPr>
          <w:rFonts w:ascii="Book Antiqua" w:hAnsi="Book Antiqua" w:cs="Arial"/>
        </w:rPr>
        <w:t>ed</w:t>
      </w:r>
      <w:r>
        <w:rPr>
          <w:rFonts w:ascii="Book Antiqua" w:hAnsi="Book Antiqua" w:cs="Arial"/>
        </w:rPr>
        <w:t xml:space="preserve"> the appeals of the remaining appellants then he accepted the </w:t>
      </w:r>
      <w:r w:rsidR="001D4B62">
        <w:rPr>
          <w:rFonts w:ascii="Book Antiqua" w:hAnsi="Book Antiqua" w:cs="Arial"/>
        </w:rPr>
        <w:t>F</w:t>
      </w:r>
      <w:r>
        <w:rPr>
          <w:rFonts w:ascii="Book Antiqua" w:hAnsi="Book Antiqua" w:cs="Arial"/>
        </w:rPr>
        <w:t>irst-named appellant would also succeed as she is their primary carer.</w:t>
      </w:r>
    </w:p>
    <w:p w:rsidR="00B2434E" w:rsidRPr="007A01B3" w:rsidRDefault="00B2434E" w:rsidP="003208D4">
      <w:pPr>
        <w:numPr>
          <w:ilvl w:val="0"/>
          <w:numId w:val="3"/>
        </w:numPr>
        <w:spacing w:before="240"/>
        <w:jc w:val="both"/>
        <w:rPr>
          <w:rFonts w:ascii="Book Antiqua" w:hAnsi="Book Antiqua" w:cs="Arial"/>
        </w:rPr>
      </w:pPr>
      <w:r>
        <w:rPr>
          <w:rFonts w:ascii="Book Antiqua" w:hAnsi="Book Antiqua" w:cs="Arial"/>
        </w:rPr>
        <w:t xml:space="preserve">Mr Ahmed relied on the matters I </w:t>
      </w:r>
      <w:r w:rsidR="001D4B62">
        <w:rPr>
          <w:rFonts w:ascii="Book Antiqua" w:hAnsi="Book Antiqua" w:cs="Arial"/>
        </w:rPr>
        <w:t>set out in paragraph 7 (a) to (e) above</w:t>
      </w:r>
      <w:r>
        <w:rPr>
          <w:rFonts w:ascii="Book Antiqua" w:hAnsi="Book Antiqua" w:cs="Arial"/>
        </w:rPr>
        <w:t>. He pointed to the fact that the</w:t>
      </w:r>
      <w:r w:rsidR="007A01B3">
        <w:rPr>
          <w:rFonts w:ascii="Book Antiqua" w:hAnsi="Book Antiqua" w:cs="Arial"/>
        </w:rPr>
        <w:t xml:space="preserve"> second and third-named appellants spoke English and had lived </w:t>
      </w:r>
      <w:proofErr w:type="gramStart"/>
      <w:r w:rsidR="007A01B3">
        <w:rPr>
          <w:rFonts w:ascii="Book Antiqua" w:hAnsi="Book Antiqua" w:cs="Arial"/>
        </w:rPr>
        <w:t>the majority of</w:t>
      </w:r>
      <w:proofErr w:type="gramEnd"/>
      <w:r w:rsidR="007A01B3">
        <w:rPr>
          <w:rFonts w:ascii="Book Antiqua" w:hAnsi="Book Antiqua" w:cs="Arial"/>
        </w:rPr>
        <w:t xml:space="preserve"> their lives in this country. He submitted there were no strong reasons</w:t>
      </w:r>
      <w:r w:rsidR="001D4B62">
        <w:rPr>
          <w:rFonts w:ascii="Book Antiqua" w:hAnsi="Book Antiqua" w:cs="Arial"/>
        </w:rPr>
        <w:t xml:space="preserve">, </w:t>
      </w:r>
      <w:r w:rsidR="007A01B3">
        <w:rPr>
          <w:rFonts w:ascii="Book Antiqua" w:hAnsi="Book Antiqua" w:cs="Arial"/>
        </w:rPr>
        <w:t xml:space="preserve">as suggested in </w:t>
      </w:r>
      <w:r w:rsidR="007A01B3" w:rsidRPr="007A01B3">
        <w:rPr>
          <w:rFonts w:ascii="Book Antiqua" w:hAnsi="Book Antiqua" w:cs="Arial"/>
          <w:color w:val="0B0C0C"/>
          <w:u w:val="single"/>
          <w:shd w:val="clear" w:color="auto" w:fill="FFFFFF"/>
        </w:rPr>
        <w:t>MA (Pakistan)</w:t>
      </w:r>
      <w:r w:rsidR="007A01B3" w:rsidRPr="007A01B3">
        <w:rPr>
          <w:rFonts w:ascii="Book Antiqua" w:hAnsi="Book Antiqua" w:cs="Arial"/>
          <w:color w:val="0B0C0C"/>
          <w:shd w:val="clear" w:color="auto" w:fill="FFFFFF"/>
        </w:rPr>
        <w:t xml:space="preserve"> [2016] EWCA </w:t>
      </w:r>
      <w:proofErr w:type="spellStart"/>
      <w:r w:rsidR="007A01B3" w:rsidRPr="007A01B3">
        <w:rPr>
          <w:rFonts w:ascii="Book Antiqua" w:hAnsi="Book Antiqua" w:cs="Arial"/>
          <w:color w:val="0B0C0C"/>
          <w:shd w:val="clear" w:color="auto" w:fill="FFFFFF"/>
        </w:rPr>
        <w:t>Civ</w:t>
      </w:r>
      <w:proofErr w:type="spellEnd"/>
      <w:r w:rsidR="007A01B3" w:rsidRPr="007A01B3">
        <w:rPr>
          <w:rFonts w:ascii="Book Antiqua" w:hAnsi="Book Antiqua" w:cs="Arial"/>
          <w:color w:val="0B0C0C"/>
          <w:shd w:val="clear" w:color="auto" w:fill="FFFFFF"/>
        </w:rPr>
        <w:t xml:space="preserve"> 705</w:t>
      </w:r>
      <w:r w:rsidR="001D4B62">
        <w:rPr>
          <w:rFonts w:ascii="Book Antiqua" w:hAnsi="Book Antiqua" w:cs="Arial"/>
          <w:color w:val="0B0C0C"/>
          <w:shd w:val="clear" w:color="auto" w:fill="FFFFFF"/>
        </w:rPr>
        <w:t>, to require them to leave</w:t>
      </w:r>
      <w:r w:rsidR="007A01B3">
        <w:rPr>
          <w:rFonts w:ascii="Book Antiqua" w:hAnsi="Book Antiqua" w:cs="Arial"/>
          <w:color w:val="0B0C0C"/>
          <w:shd w:val="clear" w:color="auto" w:fill="FFFFFF"/>
        </w:rPr>
        <w:t>. Whilst there were negative factors</w:t>
      </w:r>
      <w:r w:rsidR="001D4B62">
        <w:rPr>
          <w:rFonts w:ascii="Book Antiqua" w:hAnsi="Book Antiqua" w:cs="Arial"/>
          <w:color w:val="0B0C0C"/>
          <w:shd w:val="clear" w:color="auto" w:fill="FFFFFF"/>
        </w:rPr>
        <w:t xml:space="preserve">, </w:t>
      </w:r>
      <w:r w:rsidR="007A01B3">
        <w:rPr>
          <w:rFonts w:ascii="Book Antiqua" w:hAnsi="Book Antiqua" w:cs="Arial"/>
          <w:color w:val="0B0C0C"/>
          <w:shd w:val="clear" w:color="auto" w:fill="FFFFFF"/>
        </w:rPr>
        <w:t>he submitted the positive factors outweighed those negative factors and in the absence of strong reasons he submitted it would be disproportionate to remove the appellants. He conceded that</w:t>
      </w:r>
      <w:r w:rsidR="001D4B62">
        <w:rPr>
          <w:rFonts w:ascii="Book Antiqua" w:hAnsi="Book Antiqua" w:cs="Arial"/>
          <w:color w:val="0B0C0C"/>
          <w:shd w:val="clear" w:color="auto" w:fill="FFFFFF"/>
        </w:rPr>
        <w:t xml:space="preserve"> </w:t>
      </w:r>
      <w:r w:rsidR="007A01B3">
        <w:rPr>
          <w:rFonts w:ascii="Book Antiqua" w:hAnsi="Book Antiqua" w:cs="Arial"/>
          <w:color w:val="0B0C0C"/>
          <w:shd w:val="clear" w:color="auto" w:fill="FFFFFF"/>
        </w:rPr>
        <w:t>the first-named appellant</w:t>
      </w:r>
      <w:r w:rsidR="001D4B62">
        <w:rPr>
          <w:rFonts w:ascii="Book Antiqua" w:hAnsi="Book Antiqua" w:cs="Arial"/>
          <w:color w:val="0B0C0C"/>
          <w:shd w:val="clear" w:color="auto" w:fill="FFFFFF"/>
        </w:rPr>
        <w:t>’s appeal</w:t>
      </w:r>
      <w:r w:rsidR="007A01B3">
        <w:rPr>
          <w:rFonts w:ascii="Book Antiqua" w:hAnsi="Book Antiqua" w:cs="Arial"/>
          <w:color w:val="0B0C0C"/>
          <w:shd w:val="clear" w:color="auto" w:fill="FFFFFF"/>
        </w:rPr>
        <w:t xml:space="preserve"> would fail</w:t>
      </w:r>
      <w:r w:rsidR="001D4B62">
        <w:rPr>
          <w:rFonts w:ascii="Book Antiqua" w:hAnsi="Book Antiqua" w:cs="Arial"/>
          <w:color w:val="0B0C0C"/>
          <w:shd w:val="clear" w:color="auto" w:fill="FFFFFF"/>
        </w:rPr>
        <w:t xml:space="preserve"> without the second and third appellants’ appeals. </w:t>
      </w:r>
    </w:p>
    <w:p w:rsidR="007A01B3" w:rsidRPr="007A01B3" w:rsidRDefault="007A01B3" w:rsidP="007A01B3">
      <w:pPr>
        <w:spacing w:before="240"/>
        <w:ind w:left="567"/>
        <w:jc w:val="both"/>
        <w:rPr>
          <w:rFonts w:ascii="Book Antiqua" w:hAnsi="Book Antiqua" w:cs="Arial"/>
          <w:b/>
          <w:u w:val="single"/>
        </w:rPr>
      </w:pPr>
      <w:r>
        <w:rPr>
          <w:rFonts w:ascii="Book Antiqua" w:hAnsi="Book Antiqua" w:cs="Arial"/>
          <w:b/>
          <w:u w:val="single"/>
        </w:rPr>
        <w:t>FINDINGS</w:t>
      </w:r>
    </w:p>
    <w:p w:rsidR="007A01B3" w:rsidRDefault="007A01B3" w:rsidP="003208D4">
      <w:pPr>
        <w:numPr>
          <w:ilvl w:val="0"/>
          <w:numId w:val="3"/>
        </w:numPr>
        <w:spacing w:before="240"/>
        <w:jc w:val="both"/>
        <w:rPr>
          <w:rFonts w:ascii="Book Antiqua" w:hAnsi="Book Antiqua" w:cs="Arial"/>
        </w:rPr>
      </w:pPr>
      <w:r>
        <w:rPr>
          <w:rFonts w:ascii="Book Antiqua" w:hAnsi="Book Antiqua" w:cs="Arial"/>
        </w:rPr>
        <w:t xml:space="preserve">I am dealing with appeals by mother and two children. Both children came to this country with their mother when they were both under the age of seven and they have lived here continuously for 11 years. During </w:t>
      </w:r>
      <w:r w:rsidR="001D4B62">
        <w:rPr>
          <w:rFonts w:ascii="Book Antiqua" w:hAnsi="Book Antiqua" w:cs="Arial"/>
        </w:rPr>
        <w:t>this</w:t>
      </w:r>
      <w:r>
        <w:rPr>
          <w:rFonts w:ascii="Book Antiqua" w:hAnsi="Book Antiqua" w:cs="Arial"/>
        </w:rPr>
        <w:t xml:space="preserve"> period neither </w:t>
      </w:r>
      <w:r w:rsidR="001D4B62">
        <w:rPr>
          <w:rFonts w:ascii="Book Antiqua" w:hAnsi="Book Antiqua" w:cs="Arial"/>
        </w:rPr>
        <w:t xml:space="preserve">child </w:t>
      </w:r>
      <w:r>
        <w:rPr>
          <w:rFonts w:ascii="Book Antiqua" w:hAnsi="Book Antiqua" w:cs="Arial"/>
        </w:rPr>
        <w:t xml:space="preserve">has committed any criminal offence and </w:t>
      </w:r>
      <w:r w:rsidR="001D4B62">
        <w:rPr>
          <w:rFonts w:ascii="Book Antiqua" w:hAnsi="Book Antiqua" w:cs="Arial"/>
        </w:rPr>
        <w:t xml:space="preserve">they have </w:t>
      </w:r>
      <w:r>
        <w:rPr>
          <w:rFonts w:ascii="Book Antiqua" w:hAnsi="Book Antiqua" w:cs="Arial"/>
        </w:rPr>
        <w:t>progressed through state education. Both children spoke English and evidence had been provided to the First-tier Tribunal of their private life and achievements.</w:t>
      </w:r>
    </w:p>
    <w:p w:rsidR="007A01B3" w:rsidRDefault="007A01B3" w:rsidP="003208D4">
      <w:pPr>
        <w:numPr>
          <w:ilvl w:val="0"/>
          <w:numId w:val="3"/>
        </w:numPr>
        <w:spacing w:before="240"/>
        <w:jc w:val="both"/>
        <w:rPr>
          <w:rFonts w:ascii="Book Antiqua" w:hAnsi="Book Antiqua" w:cs="Arial"/>
        </w:rPr>
      </w:pPr>
      <w:r>
        <w:rPr>
          <w:rFonts w:ascii="Book Antiqua" w:hAnsi="Book Antiqua" w:cs="Arial"/>
        </w:rPr>
        <w:t>I had previously found there had been an error in law and I did so because when considering the appeal in the First-tier Tribunal</w:t>
      </w:r>
      <w:r w:rsidR="001D4B62">
        <w:rPr>
          <w:rFonts w:ascii="Book Antiqua" w:hAnsi="Book Antiqua" w:cs="Arial"/>
        </w:rPr>
        <w:t>,</w:t>
      </w:r>
      <w:r>
        <w:rPr>
          <w:rFonts w:ascii="Book Antiqua" w:hAnsi="Book Antiqua" w:cs="Arial"/>
        </w:rPr>
        <w:t xml:space="preserve"> the Judge concentrated on the positive points only so far as the children were concerned and did not place sufficient weight on those matters set out in paragraph 4 above.</w:t>
      </w:r>
    </w:p>
    <w:p w:rsidR="00F93D58" w:rsidRDefault="007A01B3" w:rsidP="006F5314">
      <w:pPr>
        <w:numPr>
          <w:ilvl w:val="0"/>
          <w:numId w:val="3"/>
        </w:numPr>
        <w:spacing w:before="240"/>
        <w:jc w:val="both"/>
        <w:rPr>
          <w:rFonts w:ascii="Book Antiqua" w:hAnsi="Book Antiqua" w:cs="Arial"/>
        </w:rPr>
      </w:pPr>
      <w:r>
        <w:rPr>
          <w:rFonts w:ascii="Book Antiqua" w:hAnsi="Book Antiqua" w:cs="Arial"/>
        </w:rPr>
        <w:t xml:space="preserve">It took 12 months for this matter to progress from </w:t>
      </w:r>
      <w:r w:rsidR="001D4B62">
        <w:rPr>
          <w:rFonts w:ascii="Book Antiqua" w:hAnsi="Book Antiqua" w:cs="Arial"/>
        </w:rPr>
        <w:t xml:space="preserve">that decision </w:t>
      </w:r>
      <w:r>
        <w:rPr>
          <w:rFonts w:ascii="Book Antiqua" w:hAnsi="Book Antiqua" w:cs="Arial"/>
        </w:rPr>
        <w:t xml:space="preserve">to today’s hearing. All the points referred to above in paragraph 7 are matters that I have </w:t>
      </w:r>
      <w:proofErr w:type="gramStart"/>
      <w:r>
        <w:rPr>
          <w:rFonts w:ascii="Book Antiqua" w:hAnsi="Book Antiqua" w:cs="Arial"/>
        </w:rPr>
        <w:t>taken into account</w:t>
      </w:r>
      <w:proofErr w:type="gramEnd"/>
      <w:r>
        <w:rPr>
          <w:rFonts w:ascii="Book Antiqua" w:hAnsi="Book Antiqua" w:cs="Arial"/>
        </w:rPr>
        <w:t xml:space="preserve"> when I have considered these appeals.</w:t>
      </w:r>
    </w:p>
    <w:p w:rsidR="007A01B3" w:rsidRPr="007A01B3" w:rsidRDefault="007A01B3" w:rsidP="006F5314">
      <w:pPr>
        <w:numPr>
          <w:ilvl w:val="0"/>
          <w:numId w:val="3"/>
        </w:numPr>
        <w:spacing w:before="240"/>
        <w:jc w:val="both"/>
        <w:rPr>
          <w:rFonts w:ascii="Book Antiqua" w:hAnsi="Book Antiqua" w:cs="Arial"/>
        </w:rPr>
      </w:pPr>
      <w:r>
        <w:rPr>
          <w:rFonts w:ascii="Book Antiqua" w:hAnsi="Book Antiqua" w:cs="Arial"/>
        </w:rPr>
        <w:lastRenderedPageBreak/>
        <w:t xml:space="preserve">The respondent’s own policy is a significant </w:t>
      </w:r>
      <w:r w:rsidRPr="007A01B3">
        <w:rPr>
          <w:rFonts w:ascii="Book Antiqua" w:hAnsi="Book Antiqua" w:cs="Arial"/>
        </w:rPr>
        <w:t xml:space="preserve">document in this case as it </w:t>
      </w:r>
      <w:r w:rsidRPr="007A01B3">
        <w:rPr>
          <w:rFonts w:ascii="Book Antiqua" w:hAnsi="Book Antiqua"/>
        </w:rPr>
        <w:t xml:space="preserve">recognises that over time children start to put down roots and to integrate into life in the UK, to the extent that it may be unreasonable to require the child to leave the UK. Significant weight must be given to such a period of continuous residence. The longer the child has resided in the UK, and the older the age at which they have done so, the more the balance will begin to shift towards it being unreasonable to expect the child to leave the UK, and strong reasons will be required </w:t>
      </w:r>
      <w:proofErr w:type="gramStart"/>
      <w:r w:rsidRPr="007A01B3">
        <w:rPr>
          <w:rFonts w:ascii="Book Antiqua" w:hAnsi="Book Antiqua"/>
        </w:rPr>
        <w:t>in order to</w:t>
      </w:r>
      <w:proofErr w:type="gramEnd"/>
      <w:r w:rsidRPr="007A01B3">
        <w:rPr>
          <w:rFonts w:ascii="Book Antiqua" w:hAnsi="Book Antiqua"/>
        </w:rPr>
        <w:t xml:space="preserve"> refuse a case where the outcome will be removal of a child with continuous UK residence of seven years or more.</w:t>
      </w:r>
      <w:r>
        <w:rPr>
          <w:rFonts w:ascii="Book Antiqua" w:hAnsi="Book Antiqua"/>
        </w:rPr>
        <w:t xml:space="preserve"> </w:t>
      </w:r>
    </w:p>
    <w:p w:rsidR="00C33BA9" w:rsidRPr="00C33BA9" w:rsidRDefault="007A01B3" w:rsidP="006F5314">
      <w:pPr>
        <w:numPr>
          <w:ilvl w:val="0"/>
          <w:numId w:val="3"/>
        </w:numPr>
        <w:spacing w:before="240"/>
        <w:jc w:val="both"/>
        <w:rPr>
          <w:rFonts w:ascii="Book Antiqua" w:hAnsi="Book Antiqua" w:cs="Arial"/>
        </w:rPr>
      </w:pPr>
      <w:r w:rsidRPr="007A01B3">
        <w:rPr>
          <w:rFonts w:ascii="Book Antiqua" w:hAnsi="Book Antiqua"/>
        </w:rPr>
        <w:t xml:space="preserve">Such strong reasons may arise where, for example, the child will be returning with the family unit to the family’s country of nationality, and the parents have deliberately sought to circumvent immigration control or abuse the immigration process – for example, by entering or remaining in the UK illegally or by using deception in an application for leave to enter or remain. </w:t>
      </w:r>
      <w:r w:rsidR="00C33BA9">
        <w:rPr>
          <w:rFonts w:ascii="Book Antiqua" w:hAnsi="Book Antiqua"/>
        </w:rPr>
        <w:t>In these appeals the children accompanied their mother who claimed asylum on arrival and whilst there has been an extension of their unlawful stay in this country it cannot be argued that deception has been used in any of the failed applications.</w:t>
      </w:r>
    </w:p>
    <w:p w:rsidR="007A01B3" w:rsidRPr="00C33BA9" w:rsidRDefault="007A01B3" w:rsidP="006F5314">
      <w:pPr>
        <w:numPr>
          <w:ilvl w:val="0"/>
          <w:numId w:val="3"/>
        </w:numPr>
        <w:spacing w:before="240"/>
        <w:jc w:val="both"/>
        <w:rPr>
          <w:rFonts w:ascii="Book Antiqua" w:hAnsi="Book Antiqua" w:cs="Arial"/>
        </w:rPr>
      </w:pPr>
      <w:r w:rsidRPr="007A01B3">
        <w:rPr>
          <w:rFonts w:ascii="Book Antiqua" w:hAnsi="Book Antiqua"/>
        </w:rPr>
        <w:t xml:space="preserve">The consideration of the </w:t>
      </w:r>
      <w:r w:rsidR="00C33BA9">
        <w:rPr>
          <w:rFonts w:ascii="Book Antiqua" w:hAnsi="Book Antiqua"/>
        </w:rPr>
        <w:t xml:space="preserve">children’s </w:t>
      </w:r>
      <w:r w:rsidRPr="007A01B3">
        <w:rPr>
          <w:rFonts w:ascii="Book Antiqua" w:hAnsi="Book Antiqua"/>
        </w:rPr>
        <w:t>best interests must not be affected by the conduct or immigration history of the</w:t>
      </w:r>
      <w:r w:rsidR="00C33BA9">
        <w:rPr>
          <w:rFonts w:ascii="Book Antiqua" w:hAnsi="Book Antiqua"/>
        </w:rPr>
        <w:t xml:space="preserve"> </w:t>
      </w:r>
      <w:r w:rsidR="001D4B62">
        <w:rPr>
          <w:rFonts w:ascii="Book Antiqua" w:hAnsi="Book Antiqua"/>
        </w:rPr>
        <w:t>F</w:t>
      </w:r>
      <w:r w:rsidR="00C33BA9">
        <w:rPr>
          <w:rFonts w:ascii="Book Antiqua" w:hAnsi="Book Antiqua"/>
        </w:rPr>
        <w:t>irst-named appellant</w:t>
      </w:r>
      <w:r w:rsidRPr="007A01B3">
        <w:rPr>
          <w:rFonts w:ascii="Book Antiqua" w:hAnsi="Book Antiqua"/>
        </w:rPr>
        <w:t>, but these will be relevant to the assessment of the public interest, including in maintaining effective immigration control; whether this outweighs the child’s best interests; and whether, in the round, it is reasonable to expect the child to leave the UK</w:t>
      </w:r>
      <w:r w:rsidR="00C33BA9">
        <w:rPr>
          <w:rFonts w:ascii="Book Antiqua" w:hAnsi="Book Antiqua"/>
        </w:rPr>
        <w:t>.</w:t>
      </w:r>
    </w:p>
    <w:p w:rsidR="00C33BA9" w:rsidRPr="00C33BA9" w:rsidRDefault="00C33BA9" w:rsidP="006F5314">
      <w:pPr>
        <w:numPr>
          <w:ilvl w:val="0"/>
          <w:numId w:val="3"/>
        </w:numPr>
        <w:spacing w:before="240"/>
        <w:jc w:val="both"/>
        <w:rPr>
          <w:rFonts w:ascii="Book Antiqua" w:hAnsi="Book Antiqua" w:cs="Arial"/>
        </w:rPr>
      </w:pPr>
      <w:r w:rsidRPr="00C33BA9">
        <w:rPr>
          <w:rFonts w:ascii="Book Antiqua" w:hAnsi="Book Antiqua" w:cs="Arial"/>
          <w:color w:val="0B0C0C"/>
          <w:shd w:val="clear" w:color="auto" w:fill="FFFFFF"/>
        </w:rPr>
        <w:t xml:space="preserve">In </w:t>
      </w:r>
      <w:r w:rsidRPr="00C33BA9">
        <w:rPr>
          <w:rFonts w:ascii="Book Antiqua" w:hAnsi="Book Antiqua" w:cs="Arial"/>
          <w:color w:val="0B0C0C"/>
          <w:u w:val="single"/>
          <w:shd w:val="clear" w:color="auto" w:fill="FFFFFF"/>
        </w:rPr>
        <w:t>MA (Pakistan)</w:t>
      </w:r>
      <w:r w:rsidRPr="00C33BA9">
        <w:rPr>
          <w:rFonts w:ascii="Book Antiqua" w:hAnsi="Book Antiqua" w:cs="Arial"/>
          <w:color w:val="0B0C0C"/>
          <w:shd w:val="clear" w:color="auto" w:fill="FFFFFF"/>
        </w:rPr>
        <w:t xml:space="preserve"> the Court of Appeal held, </w:t>
      </w:r>
      <w:r>
        <w:rPr>
          <w:rFonts w:ascii="Book Antiqua" w:hAnsi="Book Antiqua" w:cs="Arial"/>
          <w:color w:val="0B0C0C"/>
          <w:shd w:val="clear" w:color="auto" w:fill="FFFFFF"/>
        </w:rPr>
        <w:t>“</w:t>
      </w:r>
      <w:r w:rsidRPr="00C33BA9">
        <w:rPr>
          <w:rFonts w:ascii="Book Antiqua" w:hAnsi="Book Antiqua" w:cs="Arial"/>
          <w:color w:val="0B0C0C"/>
          <w:shd w:val="clear" w:color="auto" w:fill="FFFFFF"/>
        </w:rPr>
        <w:t>The only significance of Section 117</w:t>
      </w:r>
      <w:proofErr w:type="gramStart"/>
      <w:r w:rsidRPr="00C33BA9">
        <w:rPr>
          <w:rFonts w:ascii="Book Antiqua" w:hAnsi="Book Antiqua" w:cs="Arial"/>
          <w:color w:val="0B0C0C"/>
          <w:shd w:val="clear" w:color="auto" w:fill="FFFFFF"/>
        </w:rPr>
        <w:t>B(</w:t>
      </w:r>
      <w:proofErr w:type="gramEnd"/>
      <w:r w:rsidRPr="00C33BA9">
        <w:rPr>
          <w:rFonts w:ascii="Book Antiqua" w:hAnsi="Book Antiqua" w:cs="Arial"/>
          <w:color w:val="0B0C0C"/>
          <w:shd w:val="clear" w:color="auto" w:fill="FFFFFF"/>
        </w:rPr>
        <w:t>6) is that where the seven year Rule is satisfied, it is a factor of some weight leaning in favour of leave to remain being granted".</w:t>
      </w:r>
    </w:p>
    <w:p w:rsidR="00C33BA9" w:rsidRPr="00C33BA9" w:rsidRDefault="00C33BA9" w:rsidP="006F5314">
      <w:pPr>
        <w:numPr>
          <w:ilvl w:val="0"/>
          <w:numId w:val="3"/>
        </w:numPr>
        <w:spacing w:before="240"/>
        <w:jc w:val="both"/>
        <w:rPr>
          <w:rFonts w:ascii="Book Antiqua" w:hAnsi="Book Antiqua" w:cs="Arial"/>
        </w:rPr>
      </w:pPr>
      <w:r>
        <w:rPr>
          <w:rFonts w:ascii="Book Antiqua" w:hAnsi="Book Antiqua" w:cs="Arial"/>
        </w:rPr>
        <w:t>Section 117</w:t>
      </w:r>
      <w:proofErr w:type="gramStart"/>
      <w:r>
        <w:rPr>
          <w:rFonts w:ascii="Book Antiqua" w:hAnsi="Book Antiqua" w:cs="Arial"/>
        </w:rPr>
        <w:t>B(</w:t>
      </w:r>
      <w:proofErr w:type="gramEnd"/>
      <w:r>
        <w:rPr>
          <w:rFonts w:ascii="Book Antiqua" w:hAnsi="Book Antiqua" w:cs="Arial"/>
        </w:rPr>
        <w:t xml:space="preserve">6) of the 2002 Act is engaged in this case because both children had been here for more than </w:t>
      </w:r>
      <w:r w:rsidRPr="00C33BA9">
        <w:rPr>
          <w:rFonts w:ascii="Book Antiqua" w:hAnsi="Book Antiqua" w:cs="Arial"/>
        </w:rPr>
        <w:t xml:space="preserve">seven years. At paragraph 57 of </w:t>
      </w:r>
      <w:r w:rsidRPr="00C33BA9">
        <w:rPr>
          <w:rFonts w:ascii="Book Antiqua" w:hAnsi="Book Antiqua" w:cs="Arial"/>
          <w:u w:val="single"/>
        </w:rPr>
        <w:t>MA</w:t>
      </w:r>
      <w:r w:rsidRPr="00C33BA9">
        <w:rPr>
          <w:rFonts w:ascii="Book Antiqua" w:hAnsi="Book Antiqua" w:cs="Arial"/>
        </w:rPr>
        <w:t xml:space="preserve"> the court stated, “</w:t>
      </w:r>
      <w:r w:rsidRPr="00C33BA9">
        <w:rPr>
          <w:rFonts w:ascii="Book Antiqua" w:hAnsi="Book Antiqua" w:cs="Arial"/>
          <w:color w:val="0B0C0C"/>
          <w:shd w:val="clear" w:color="auto" w:fill="FFFFFF"/>
        </w:rPr>
        <w:t>It is vital for the court to have made a full and careful assessment of the best interests of the child before any balancing exercise can be undertaken. If that is not done, there is a danger that those interests will be overridden simply because their full significance has not been appreciated. The court must not treat the other considerations as so powerful as to assume that they must inevitably outweigh the child's best interests whatever they may be, with the result that no proper assessment takes place."</w:t>
      </w:r>
    </w:p>
    <w:p w:rsidR="00C33BA9" w:rsidRDefault="00C33BA9" w:rsidP="006F5314">
      <w:pPr>
        <w:numPr>
          <w:ilvl w:val="0"/>
          <w:numId w:val="3"/>
        </w:numPr>
        <w:spacing w:before="240"/>
        <w:jc w:val="both"/>
        <w:rPr>
          <w:rFonts w:ascii="Book Antiqua" w:hAnsi="Book Antiqua" w:cs="Arial"/>
        </w:rPr>
      </w:pPr>
      <w:r>
        <w:rPr>
          <w:rFonts w:ascii="Book Antiqua" w:hAnsi="Book Antiqua" w:cs="Arial"/>
        </w:rPr>
        <w:t xml:space="preserve">I am satisfied, based on the evidence submitted and the findings above that the children’s best interests are to remain in the United Kingdom. I find there are no strong reasons </w:t>
      </w:r>
      <w:r w:rsidR="001D4B62">
        <w:rPr>
          <w:rFonts w:ascii="Book Antiqua" w:hAnsi="Book Antiqua" w:cs="Arial"/>
        </w:rPr>
        <w:t>that</w:t>
      </w:r>
      <w:r>
        <w:rPr>
          <w:rFonts w:ascii="Book Antiqua" w:hAnsi="Book Antiqua" w:cs="Arial"/>
        </w:rPr>
        <w:t xml:space="preserve"> require their removal from the United Kingdom and it would therefore be unreasonable to require them to leave the United Kingdom.</w:t>
      </w:r>
    </w:p>
    <w:p w:rsidR="00C33BA9" w:rsidRPr="00C33BA9" w:rsidRDefault="00C33BA9" w:rsidP="006F5314">
      <w:pPr>
        <w:numPr>
          <w:ilvl w:val="0"/>
          <w:numId w:val="3"/>
        </w:numPr>
        <w:spacing w:before="240"/>
        <w:jc w:val="both"/>
        <w:rPr>
          <w:rFonts w:ascii="Book Antiqua" w:hAnsi="Book Antiqua" w:cs="Arial"/>
        </w:rPr>
      </w:pPr>
      <w:r>
        <w:rPr>
          <w:rFonts w:ascii="Book Antiqua" w:hAnsi="Book Antiqua" w:cs="Arial"/>
        </w:rPr>
        <w:t xml:space="preserve">The First-named appellant is the primary carer of both children and as such she too must succeed in her appeal. Mr </w:t>
      </w:r>
      <w:proofErr w:type="spellStart"/>
      <w:r>
        <w:rPr>
          <w:rFonts w:ascii="Book Antiqua" w:hAnsi="Book Antiqua" w:cs="Arial"/>
        </w:rPr>
        <w:t>McVeety</w:t>
      </w:r>
      <w:proofErr w:type="spellEnd"/>
      <w:r>
        <w:rPr>
          <w:rFonts w:ascii="Book Antiqua" w:hAnsi="Book Antiqua" w:cs="Arial"/>
        </w:rPr>
        <w:t xml:space="preserve"> did not argue her appeal should be decided differently to her children’s appeals.</w:t>
      </w:r>
    </w:p>
    <w:p w:rsidR="00E13D2B" w:rsidRDefault="00E13D2B" w:rsidP="009C37C7">
      <w:pPr>
        <w:spacing w:before="240"/>
        <w:ind w:left="567"/>
        <w:jc w:val="both"/>
        <w:rPr>
          <w:rFonts w:ascii="Book Antiqua" w:hAnsi="Book Antiqua" w:cs="Arial"/>
          <w:b/>
          <w:u w:val="single"/>
        </w:rPr>
      </w:pPr>
    </w:p>
    <w:p w:rsidR="00E13D2B" w:rsidRDefault="00E13D2B" w:rsidP="009C37C7">
      <w:pPr>
        <w:spacing w:before="240"/>
        <w:ind w:left="567"/>
        <w:jc w:val="both"/>
        <w:rPr>
          <w:rFonts w:ascii="Book Antiqua" w:hAnsi="Book Antiqua" w:cs="Arial"/>
          <w:b/>
          <w:u w:val="single"/>
        </w:rPr>
      </w:pPr>
    </w:p>
    <w:p w:rsidR="009C37C7" w:rsidRPr="009C37C7" w:rsidRDefault="00483687" w:rsidP="009C37C7">
      <w:pPr>
        <w:spacing w:before="240"/>
        <w:ind w:left="567"/>
        <w:jc w:val="both"/>
        <w:rPr>
          <w:rFonts w:ascii="Book Antiqua" w:hAnsi="Book Antiqua" w:cs="Arial"/>
          <w:b/>
          <w:u w:val="single"/>
        </w:rPr>
      </w:pPr>
      <w:r>
        <w:rPr>
          <w:rFonts w:ascii="Book Antiqua" w:hAnsi="Book Antiqua" w:cs="Arial"/>
          <w:b/>
          <w:u w:val="single"/>
        </w:rPr>
        <w:lastRenderedPageBreak/>
        <w:t>D</w:t>
      </w:r>
      <w:r w:rsidR="009C37C7" w:rsidRPr="009C37C7">
        <w:rPr>
          <w:rFonts w:ascii="Book Antiqua" w:hAnsi="Book Antiqua" w:cs="Arial"/>
          <w:b/>
          <w:u w:val="single"/>
        </w:rPr>
        <w:t xml:space="preserve">ECISION </w:t>
      </w:r>
    </w:p>
    <w:p w:rsidR="00D21594" w:rsidRDefault="00C33BA9" w:rsidP="008E01EE">
      <w:pPr>
        <w:numPr>
          <w:ilvl w:val="0"/>
          <w:numId w:val="3"/>
        </w:numPr>
        <w:spacing w:before="240"/>
        <w:jc w:val="both"/>
        <w:rPr>
          <w:rFonts w:ascii="Book Antiqua" w:hAnsi="Book Antiqua" w:cs="Arial"/>
        </w:rPr>
      </w:pPr>
      <w:r>
        <w:rPr>
          <w:rFonts w:ascii="Book Antiqua" w:hAnsi="Book Antiqua" w:cs="Arial"/>
        </w:rPr>
        <w:t>There was an error in law for the reasons set out both above and, in my decision, dated March 26, 2018.</w:t>
      </w:r>
    </w:p>
    <w:p w:rsidR="00C33BA9" w:rsidRPr="008E01EE" w:rsidRDefault="00C33BA9" w:rsidP="008E01EE">
      <w:pPr>
        <w:numPr>
          <w:ilvl w:val="0"/>
          <w:numId w:val="3"/>
        </w:numPr>
        <w:spacing w:before="240"/>
        <w:jc w:val="both"/>
        <w:rPr>
          <w:rFonts w:ascii="Book Antiqua" w:hAnsi="Book Antiqua" w:cs="Arial"/>
        </w:rPr>
      </w:pPr>
      <w:r>
        <w:rPr>
          <w:rFonts w:ascii="Book Antiqua" w:hAnsi="Book Antiqua" w:cs="Arial"/>
        </w:rPr>
        <w:t>I have remade the decision and allowed all three appeals on human rights grounds.</w:t>
      </w:r>
    </w:p>
    <w:p w:rsidR="006F5314" w:rsidRDefault="006F5314" w:rsidP="00864126">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C33BA9">
        <w:rPr>
          <w:rFonts w:ascii="Book Antiqua" w:hAnsi="Book Antiqua" w:cs="Arial"/>
        </w:rPr>
        <w:t>27</w:t>
      </w:r>
      <w:r w:rsidR="00483687">
        <w:rPr>
          <w:rFonts w:ascii="Book Antiqua" w:hAnsi="Book Antiqua" w:cs="Arial"/>
        </w:rPr>
        <w:t>/</w:t>
      </w:r>
      <w:r w:rsidR="0079344D">
        <w:rPr>
          <w:rFonts w:ascii="Book Antiqua" w:hAnsi="Book Antiqua" w:cs="Arial"/>
        </w:rPr>
        <w:t>06</w:t>
      </w:r>
      <w:r w:rsidR="00483687">
        <w:rPr>
          <w:rFonts w:ascii="Book Antiqua" w:hAnsi="Book Antiqua" w:cs="Arial"/>
        </w:rPr>
        <w:t>/2018</w:t>
      </w:r>
    </w:p>
    <w:p w:rsidR="00864126" w:rsidRDefault="00864126" w:rsidP="00864126">
      <w:pPr>
        <w:tabs>
          <w:tab w:val="left" w:pos="2520"/>
        </w:tabs>
        <w:jc w:val="both"/>
        <w:rPr>
          <w:rFonts w:ascii="Book Antiqua" w:hAnsi="Book Antiqua" w:cs="Arial"/>
        </w:rPr>
      </w:pPr>
    </w:p>
    <w:p w:rsidR="00F90160" w:rsidRDefault="003D7F43"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4140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6F5314" w:rsidRDefault="00864126" w:rsidP="001558E1">
      <w:pPr>
        <w:tabs>
          <w:tab w:val="left" w:pos="2520"/>
        </w:tabs>
        <w:jc w:val="both"/>
        <w:rPr>
          <w:rFonts w:ascii="Book Antiqua" w:hAnsi="Book Antiqua" w:cs="Arial"/>
        </w:rPr>
      </w:pPr>
      <w:r>
        <w:rPr>
          <w:rFonts w:ascii="Book Antiqua" w:hAnsi="Book Antiqua" w:cs="Arial"/>
        </w:rPr>
        <w:t xml:space="preserve">Deputy Upper Tribunal </w:t>
      </w:r>
      <w:r w:rsidR="00F90160">
        <w:rPr>
          <w:rFonts w:ascii="Book Antiqua" w:hAnsi="Book Antiqua" w:cs="Arial"/>
        </w:rPr>
        <w:t>Judge</w:t>
      </w:r>
      <w:r w:rsidRPr="00F5664C">
        <w:rPr>
          <w:rFonts w:ascii="Book Antiqua" w:hAnsi="Book Antiqua" w:cs="Arial"/>
        </w:rPr>
        <w:t xml:space="preserve"> </w:t>
      </w:r>
      <w:r w:rsidR="00376F8F">
        <w:rPr>
          <w:rFonts w:ascii="Book Antiqua" w:hAnsi="Book Antiqua" w:cs="Arial"/>
        </w:rPr>
        <w:t>Alis</w:t>
      </w:r>
    </w:p>
    <w:p w:rsidR="00864126" w:rsidRDefault="00864126" w:rsidP="002D5431">
      <w:pPr>
        <w:tabs>
          <w:tab w:val="left" w:pos="3460"/>
        </w:tabs>
        <w:rPr>
          <w:rFonts w:ascii="Book Antiqua" w:hAnsi="Book Antiqua" w:cs="Arial"/>
        </w:rPr>
      </w:pPr>
    </w:p>
    <w:p w:rsidR="00C33BA9" w:rsidRDefault="00C33BA9" w:rsidP="002D5431">
      <w:pPr>
        <w:tabs>
          <w:tab w:val="left" w:pos="3460"/>
        </w:tabs>
        <w:rPr>
          <w:rFonts w:ascii="Book Antiqua" w:hAnsi="Book Antiqua" w:cs="Arial"/>
        </w:rPr>
      </w:pPr>
    </w:p>
    <w:p w:rsidR="00C33BA9" w:rsidRDefault="00C33BA9" w:rsidP="002D5431">
      <w:pPr>
        <w:tabs>
          <w:tab w:val="left" w:pos="3460"/>
        </w:tabs>
        <w:rPr>
          <w:rFonts w:ascii="Book Antiqua" w:hAnsi="Book Antiqua" w:cs="Arial"/>
          <w:b/>
          <w:u w:val="single"/>
        </w:rPr>
      </w:pPr>
      <w:r>
        <w:rPr>
          <w:rFonts w:ascii="Book Antiqua" w:hAnsi="Book Antiqua" w:cs="Arial"/>
          <w:b/>
          <w:u w:val="single"/>
        </w:rPr>
        <w:t>TO THE RESPONDENT</w:t>
      </w:r>
    </w:p>
    <w:p w:rsidR="00C33BA9" w:rsidRDefault="00C33BA9" w:rsidP="002D5431">
      <w:pPr>
        <w:tabs>
          <w:tab w:val="left" w:pos="3460"/>
        </w:tabs>
        <w:rPr>
          <w:rFonts w:ascii="Book Antiqua" w:hAnsi="Book Antiqua" w:cs="Arial"/>
        </w:rPr>
      </w:pPr>
      <w:r>
        <w:rPr>
          <w:rFonts w:ascii="Book Antiqua" w:hAnsi="Book Antiqua" w:cs="Arial"/>
          <w:b/>
          <w:u w:val="single"/>
        </w:rPr>
        <w:t>FEE AWARD</w:t>
      </w:r>
    </w:p>
    <w:p w:rsidR="00C33BA9" w:rsidRDefault="00C33BA9" w:rsidP="002D5431">
      <w:pPr>
        <w:tabs>
          <w:tab w:val="left" w:pos="3460"/>
        </w:tabs>
        <w:rPr>
          <w:rFonts w:ascii="Book Antiqua" w:hAnsi="Book Antiqua" w:cs="Arial"/>
        </w:rPr>
      </w:pPr>
    </w:p>
    <w:p w:rsidR="00C33BA9" w:rsidRDefault="00C33BA9" w:rsidP="002D5431">
      <w:pPr>
        <w:tabs>
          <w:tab w:val="left" w:pos="3460"/>
        </w:tabs>
        <w:rPr>
          <w:rFonts w:ascii="Book Antiqua" w:hAnsi="Book Antiqua" w:cs="Arial"/>
        </w:rPr>
      </w:pPr>
      <w:r>
        <w:rPr>
          <w:rFonts w:ascii="Book Antiqua" w:hAnsi="Book Antiqua" w:cs="Arial"/>
        </w:rPr>
        <w:t>I uphold the fee award previously made in this matter and direct that any fees paid should be refunded by the respondent.</w:t>
      </w:r>
    </w:p>
    <w:p w:rsidR="00C33BA9" w:rsidRDefault="00C33BA9" w:rsidP="002D5431">
      <w:pPr>
        <w:tabs>
          <w:tab w:val="left" w:pos="3460"/>
        </w:tabs>
        <w:rPr>
          <w:rFonts w:ascii="Book Antiqua" w:hAnsi="Book Antiqua" w:cs="Arial"/>
        </w:rPr>
      </w:pPr>
    </w:p>
    <w:p w:rsidR="00C33BA9" w:rsidRDefault="00C33BA9" w:rsidP="002D5431">
      <w:pPr>
        <w:tabs>
          <w:tab w:val="left" w:pos="3460"/>
        </w:tabs>
        <w:rPr>
          <w:rFonts w:ascii="Book Antiqua" w:hAnsi="Book Antiqua" w:cs="Arial"/>
        </w:rPr>
      </w:pPr>
    </w:p>
    <w:p w:rsidR="00C33BA9" w:rsidRDefault="00C33BA9" w:rsidP="002D5431">
      <w:pPr>
        <w:tabs>
          <w:tab w:val="left" w:pos="3460"/>
        </w:tabs>
        <w:rPr>
          <w:rFonts w:ascii="Book Antiqua" w:hAnsi="Book Antiqua" w:cs="Arial"/>
        </w:rPr>
      </w:pPr>
    </w:p>
    <w:p w:rsidR="00C33BA9" w:rsidRPr="00F5664C" w:rsidRDefault="00C33BA9" w:rsidP="00C33BA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t>27/06/2018</w:t>
      </w:r>
    </w:p>
    <w:p w:rsidR="00C33BA9" w:rsidRDefault="00C33BA9" w:rsidP="00C33BA9">
      <w:pPr>
        <w:tabs>
          <w:tab w:val="left" w:pos="2520"/>
        </w:tabs>
        <w:jc w:val="both"/>
        <w:rPr>
          <w:rFonts w:ascii="Book Antiqua" w:hAnsi="Book Antiqua" w:cs="Arial"/>
        </w:rPr>
      </w:pPr>
    </w:p>
    <w:p w:rsidR="00C33BA9" w:rsidRDefault="003D7F43" w:rsidP="00C33BA9">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41400" cy="571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C33BA9" w:rsidRDefault="00C33BA9" w:rsidP="00C33BA9">
      <w:pPr>
        <w:tabs>
          <w:tab w:val="left" w:pos="3460"/>
        </w:tabs>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r>
        <w:rPr>
          <w:rFonts w:ascii="Book Antiqua" w:hAnsi="Book Antiqua" w:cs="Arial"/>
        </w:rPr>
        <w:t>Alis</w:t>
      </w:r>
    </w:p>
    <w:p w:rsidR="00C33BA9" w:rsidRPr="00C33BA9" w:rsidRDefault="00C33BA9" w:rsidP="002D5431">
      <w:pPr>
        <w:tabs>
          <w:tab w:val="left" w:pos="3460"/>
        </w:tabs>
        <w:rPr>
          <w:rFonts w:ascii="Book Antiqua" w:hAnsi="Book Antiqua" w:cs="Arial"/>
        </w:rPr>
      </w:pPr>
    </w:p>
    <w:sectPr w:rsidR="00C33BA9" w:rsidRPr="00C33BA9" w:rsidSect="002E2D93">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DEB" w:rsidRDefault="00C11DEB">
      <w:r>
        <w:separator/>
      </w:r>
    </w:p>
  </w:endnote>
  <w:endnote w:type="continuationSeparator" w:id="0">
    <w:p w:rsidR="00C11DEB" w:rsidRDefault="00C11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B1D" w:rsidRPr="002E2D93" w:rsidRDefault="006E7B1D" w:rsidP="00593795">
    <w:pPr>
      <w:pStyle w:val="Footer"/>
      <w:jc w:val="center"/>
      <w:rPr>
        <w:rFonts w:ascii="Book Antiqua" w:hAnsi="Book Antiqua" w:cs="Arial"/>
      </w:rPr>
    </w:pPr>
    <w:r w:rsidRPr="002E2D93">
      <w:rPr>
        <w:rStyle w:val="PageNumber"/>
        <w:rFonts w:ascii="Book Antiqua" w:hAnsi="Book Antiqua" w:cs="Arial"/>
      </w:rPr>
      <w:fldChar w:fldCharType="begin"/>
    </w:r>
    <w:r w:rsidRPr="002E2D93">
      <w:rPr>
        <w:rStyle w:val="PageNumber"/>
        <w:rFonts w:ascii="Book Antiqua" w:hAnsi="Book Antiqua" w:cs="Arial"/>
      </w:rPr>
      <w:instrText xml:space="preserve"> PAGE </w:instrText>
    </w:r>
    <w:r w:rsidRPr="002E2D93">
      <w:rPr>
        <w:rStyle w:val="PageNumber"/>
        <w:rFonts w:ascii="Book Antiqua" w:hAnsi="Book Antiqua" w:cs="Arial"/>
      </w:rPr>
      <w:fldChar w:fldCharType="separate"/>
    </w:r>
    <w:r w:rsidR="002E618E">
      <w:rPr>
        <w:rStyle w:val="PageNumber"/>
        <w:rFonts w:ascii="Book Antiqua" w:hAnsi="Book Antiqua" w:cs="Arial"/>
        <w:noProof/>
      </w:rPr>
      <w:t>5</w:t>
    </w:r>
    <w:r w:rsidRPr="002E2D9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B1D" w:rsidRPr="00F5664C" w:rsidRDefault="006E7B1D"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DEB" w:rsidRDefault="00C11DEB">
      <w:r>
        <w:separator/>
      </w:r>
    </w:p>
  </w:footnote>
  <w:footnote w:type="continuationSeparator" w:id="0">
    <w:p w:rsidR="00C11DEB" w:rsidRDefault="00C11D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B1D" w:rsidRDefault="006E7B1D"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Pr>
        <w:rFonts w:ascii="Book Antiqua" w:hAnsi="Book Antiqua" w:cs="Arial"/>
        <w:sz w:val="16"/>
        <w:szCs w:val="16"/>
      </w:rPr>
      <w:t>HU</w:t>
    </w:r>
    <w:r w:rsidRPr="00D97AF0">
      <w:rPr>
        <w:rFonts w:ascii="Book Antiqua" w:hAnsi="Book Antiqua" w:cs="Arial"/>
        <w:sz w:val="16"/>
        <w:szCs w:val="16"/>
      </w:rPr>
      <w:t>/</w:t>
    </w:r>
    <w:r w:rsidR="003A64F4">
      <w:rPr>
        <w:rFonts w:ascii="Book Antiqua" w:hAnsi="Book Antiqua" w:cs="Arial"/>
        <w:sz w:val="16"/>
        <w:szCs w:val="16"/>
      </w:rPr>
      <w:t>17919</w:t>
    </w:r>
    <w:r>
      <w:rPr>
        <w:rFonts w:ascii="Book Antiqua" w:hAnsi="Book Antiqua" w:cs="Arial"/>
        <w:sz w:val="16"/>
        <w:szCs w:val="16"/>
      </w:rPr>
      <w:t>/2016</w:t>
    </w:r>
  </w:p>
  <w:p w:rsidR="002E2D93" w:rsidRPr="00D97AF0" w:rsidRDefault="002E2D93"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B1D" w:rsidRPr="00F5664C" w:rsidRDefault="006E7B1D">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20B57A8"/>
    <w:multiLevelType w:val="hybridMultilevel"/>
    <w:tmpl w:val="3EC095F8"/>
    <w:lvl w:ilvl="0" w:tplc="075C8F8A">
      <w:start w:val="1"/>
      <w:numFmt w:val="lowerLetter"/>
      <w:lvlText w:val="%1."/>
      <w:lvlJc w:val="left"/>
      <w:pPr>
        <w:tabs>
          <w:tab w:val="num" w:pos="1440"/>
        </w:tabs>
        <w:ind w:left="1440" w:hanging="360"/>
      </w:pPr>
      <w:rPr>
        <w:rFonts w:ascii="Book Antiqua" w:hAnsi="Book Antiqua" w:cs="Courier New"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3701132"/>
    <w:multiLevelType w:val="hybridMultilevel"/>
    <w:tmpl w:val="1474205C"/>
    <w:lvl w:ilvl="0" w:tplc="B0DC6B62">
      <w:start w:val="1"/>
      <w:numFmt w:val="decimal"/>
      <w:lvlText w:val="%1."/>
      <w:lvlJc w:val="left"/>
      <w:pPr>
        <w:ind w:left="720" w:hanging="360"/>
      </w:pPr>
      <w:rPr>
        <w:rFonts w:hint="default"/>
        <w:b w:val="0"/>
        <w:strike w:val="0"/>
        <w:color w:val="auto"/>
        <w:sz w:val="24"/>
        <w:szCs w:val="24"/>
        <w:u w:val="none"/>
      </w:rPr>
    </w:lvl>
    <w:lvl w:ilvl="1" w:tplc="004820D2">
      <w:start w:val="1"/>
      <w:numFmt w:val="lowerRoman"/>
      <w:lvlText w:val="%2."/>
      <w:lvlJc w:val="left"/>
      <w:pPr>
        <w:tabs>
          <w:tab w:val="num" w:pos="1440"/>
        </w:tabs>
        <w:ind w:left="1440" w:hanging="360"/>
      </w:pPr>
      <w:rPr>
        <w:rFonts w:ascii="Book Antiqua" w:hAnsi="Book Antiqua" w:cs="Courier New" w:hint="default"/>
        <w:b w:val="0"/>
        <w:bCs w:val="0"/>
        <w:color w:val="auto"/>
        <w:sz w:val="24"/>
        <w:szCs w:val="24"/>
      </w:rPr>
    </w:lvl>
    <w:lvl w:ilvl="2" w:tplc="08090017">
      <w:start w:val="1"/>
      <w:numFmt w:val="lowerLetter"/>
      <w:lvlText w:val="%3)"/>
      <w:lvlJc w:val="left"/>
      <w:pPr>
        <w:tabs>
          <w:tab w:val="num" w:pos="2340"/>
        </w:tabs>
        <w:ind w:left="2340" w:hanging="360"/>
      </w:pPr>
      <w:rPr>
        <w:rFonts w:hint="default"/>
        <w:b w:val="0"/>
        <w:strike w:val="0"/>
        <w:color w:val="auto"/>
        <w:sz w:val="24"/>
        <w:szCs w:val="24"/>
        <w:u w:val="none"/>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6"/>
  </w:num>
  <w:num w:numId="3">
    <w:abstractNumId w:val="3"/>
  </w:num>
  <w:num w:numId="4">
    <w:abstractNumId w:val="13"/>
  </w:num>
  <w:num w:numId="5">
    <w:abstractNumId w:val="22"/>
  </w:num>
  <w:num w:numId="6">
    <w:abstractNumId w:val="14"/>
  </w:num>
  <w:num w:numId="7">
    <w:abstractNumId w:val="21"/>
  </w:num>
  <w:num w:numId="8">
    <w:abstractNumId w:val="10"/>
  </w:num>
  <w:num w:numId="9">
    <w:abstractNumId w:val="8"/>
  </w:num>
  <w:num w:numId="10">
    <w:abstractNumId w:val="19"/>
  </w:num>
  <w:num w:numId="11">
    <w:abstractNumId w:val="18"/>
  </w:num>
  <w:num w:numId="12">
    <w:abstractNumId w:val="1"/>
  </w:num>
  <w:num w:numId="13">
    <w:abstractNumId w:val="17"/>
  </w:num>
  <w:num w:numId="14">
    <w:abstractNumId w:val="0"/>
  </w:num>
  <w:num w:numId="15">
    <w:abstractNumId w:val="5"/>
  </w:num>
  <w:num w:numId="16">
    <w:abstractNumId w:val="7"/>
  </w:num>
  <w:num w:numId="17">
    <w:abstractNumId w:val="15"/>
  </w:num>
  <w:num w:numId="18">
    <w:abstractNumId w:val="11"/>
  </w:num>
  <w:num w:numId="19">
    <w:abstractNumId w:val="12"/>
  </w:num>
  <w:num w:numId="20">
    <w:abstractNumId w:val="20"/>
  </w:num>
  <w:num w:numId="21">
    <w:abstractNumId w:val="4"/>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E29CC0A-66F3-4881-BA6D-925391588F14}"/>
    <w:docVar w:name="dgnword-eventsink" w:val="2070737460784"/>
  </w:docVars>
  <w:rsids>
    <w:rsidRoot w:val="00A25C94"/>
    <w:rsid w:val="00000412"/>
    <w:rsid w:val="00000621"/>
    <w:rsid w:val="000036C2"/>
    <w:rsid w:val="0000577C"/>
    <w:rsid w:val="0000778D"/>
    <w:rsid w:val="00033D3D"/>
    <w:rsid w:val="000369F5"/>
    <w:rsid w:val="00060A81"/>
    <w:rsid w:val="00071A7E"/>
    <w:rsid w:val="000746C0"/>
    <w:rsid w:val="00074D1D"/>
    <w:rsid w:val="00077323"/>
    <w:rsid w:val="00087037"/>
    <w:rsid w:val="00087B4B"/>
    <w:rsid w:val="00092580"/>
    <w:rsid w:val="00095513"/>
    <w:rsid w:val="000A32A2"/>
    <w:rsid w:val="000D257C"/>
    <w:rsid w:val="000D5D94"/>
    <w:rsid w:val="000E483B"/>
    <w:rsid w:val="000F68E5"/>
    <w:rsid w:val="00106A5E"/>
    <w:rsid w:val="001165A7"/>
    <w:rsid w:val="00117F86"/>
    <w:rsid w:val="0014289A"/>
    <w:rsid w:val="00151BB7"/>
    <w:rsid w:val="001526DB"/>
    <w:rsid w:val="001558E1"/>
    <w:rsid w:val="001655EA"/>
    <w:rsid w:val="00167D3A"/>
    <w:rsid w:val="00186F53"/>
    <w:rsid w:val="00197BB7"/>
    <w:rsid w:val="001A1E2C"/>
    <w:rsid w:val="001A2421"/>
    <w:rsid w:val="001B56A3"/>
    <w:rsid w:val="001B67F3"/>
    <w:rsid w:val="001C1452"/>
    <w:rsid w:val="001D4B62"/>
    <w:rsid w:val="001E12F7"/>
    <w:rsid w:val="001F2716"/>
    <w:rsid w:val="001F4596"/>
    <w:rsid w:val="001F4C3C"/>
    <w:rsid w:val="0020133A"/>
    <w:rsid w:val="002015AA"/>
    <w:rsid w:val="00207617"/>
    <w:rsid w:val="00244D09"/>
    <w:rsid w:val="00254D56"/>
    <w:rsid w:val="0027148D"/>
    <w:rsid w:val="00283659"/>
    <w:rsid w:val="00284E94"/>
    <w:rsid w:val="002865D5"/>
    <w:rsid w:val="00291D5E"/>
    <w:rsid w:val="002A16FD"/>
    <w:rsid w:val="002A1EC1"/>
    <w:rsid w:val="002A2720"/>
    <w:rsid w:val="002A2AFF"/>
    <w:rsid w:val="002A5F30"/>
    <w:rsid w:val="002B3060"/>
    <w:rsid w:val="002B46AE"/>
    <w:rsid w:val="002C4E73"/>
    <w:rsid w:val="002D5431"/>
    <w:rsid w:val="002D68BF"/>
    <w:rsid w:val="002E2D93"/>
    <w:rsid w:val="002E618E"/>
    <w:rsid w:val="002F05A0"/>
    <w:rsid w:val="00305FBC"/>
    <w:rsid w:val="003208D4"/>
    <w:rsid w:val="003250FE"/>
    <w:rsid w:val="0033030E"/>
    <w:rsid w:val="00334945"/>
    <w:rsid w:val="0033509F"/>
    <w:rsid w:val="00336CBF"/>
    <w:rsid w:val="00337EBB"/>
    <w:rsid w:val="00343030"/>
    <w:rsid w:val="003546C8"/>
    <w:rsid w:val="0035753A"/>
    <w:rsid w:val="00364F67"/>
    <w:rsid w:val="003756EF"/>
    <w:rsid w:val="00376F8F"/>
    <w:rsid w:val="00392D87"/>
    <w:rsid w:val="00395DE5"/>
    <w:rsid w:val="003A5739"/>
    <w:rsid w:val="003A64F4"/>
    <w:rsid w:val="003A7CF2"/>
    <w:rsid w:val="003B1E77"/>
    <w:rsid w:val="003B669C"/>
    <w:rsid w:val="003B7242"/>
    <w:rsid w:val="003C0DF3"/>
    <w:rsid w:val="003C0FE8"/>
    <w:rsid w:val="003C5CE5"/>
    <w:rsid w:val="003D3D7D"/>
    <w:rsid w:val="003D4496"/>
    <w:rsid w:val="003D7F43"/>
    <w:rsid w:val="003E267B"/>
    <w:rsid w:val="003E36BE"/>
    <w:rsid w:val="003E4B44"/>
    <w:rsid w:val="003E7CD1"/>
    <w:rsid w:val="00402B9E"/>
    <w:rsid w:val="00423932"/>
    <w:rsid w:val="004249CB"/>
    <w:rsid w:val="00437A98"/>
    <w:rsid w:val="0044127D"/>
    <w:rsid w:val="00442A49"/>
    <w:rsid w:val="004448DB"/>
    <w:rsid w:val="00446C9A"/>
    <w:rsid w:val="00456521"/>
    <w:rsid w:val="00460EC0"/>
    <w:rsid w:val="00465231"/>
    <w:rsid w:val="00471696"/>
    <w:rsid w:val="00477193"/>
    <w:rsid w:val="00483687"/>
    <w:rsid w:val="004852B5"/>
    <w:rsid w:val="0048547A"/>
    <w:rsid w:val="00490CFA"/>
    <w:rsid w:val="00490ED5"/>
    <w:rsid w:val="004A0EB5"/>
    <w:rsid w:val="004A1848"/>
    <w:rsid w:val="004B7003"/>
    <w:rsid w:val="004B7270"/>
    <w:rsid w:val="004D0B09"/>
    <w:rsid w:val="004D25FF"/>
    <w:rsid w:val="004D65C0"/>
    <w:rsid w:val="004F5B34"/>
    <w:rsid w:val="00502F93"/>
    <w:rsid w:val="00507FEC"/>
    <w:rsid w:val="00510F0E"/>
    <w:rsid w:val="005121D1"/>
    <w:rsid w:val="00516E48"/>
    <w:rsid w:val="005414DE"/>
    <w:rsid w:val="00541C31"/>
    <w:rsid w:val="00541D19"/>
    <w:rsid w:val="005479E1"/>
    <w:rsid w:val="005570FD"/>
    <w:rsid w:val="005575EA"/>
    <w:rsid w:val="0056103E"/>
    <w:rsid w:val="005640E3"/>
    <w:rsid w:val="00564626"/>
    <w:rsid w:val="00564C2A"/>
    <w:rsid w:val="0057790C"/>
    <w:rsid w:val="00582B2E"/>
    <w:rsid w:val="00593795"/>
    <w:rsid w:val="00593C19"/>
    <w:rsid w:val="0059769C"/>
    <w:rsid w:val="00597BA8"/>
    <w:rsid w:val="005A28B9"/>
    <w:rsid w:val="005A75FF"/>
    <w:rsid w:val="005B4942"/>
    <w:rsid w:val="005B7789"/>
    <w:rsid w:val="005C3A83"/>
    <w:rsid w:val="005C6EC4"/>
    <w:rsid w:val="005D3079"/>
    <w:rsid w:val="005E3F47"/>
    <w:rsid w:val="00603CDF"/>
    <w:rsid w:val="006059EF"/>
    <w:rsid w:val="00622725"/>
    <w:rsid w:val="00640E14"/>
    <w:rsid w:val="00641A27"/>
    <w:rsid w:val="0064774D"/>
    <w:rsid w:val="0065791C"/>
    <w:rsid w:val="00660394"/>
    <w:rsid w:val="00677176"/>
    <w:rsid w:val="00690A43"/>
    <w:rsid w:val="00690B8A"/>
    <w:rsid w:val="006A206A"/>
    <w:rsid w:val="006A5EDB"/>
    <w:rsid w:val="006D1DFA"/>
    <w:rsid w:val="006D506B"/>
    <w:rsid w:val="006D5949"/>
    <w:rsid w:val="006D6384"/>
    <w:rsid w:val="006D79F6"/>
    <w:rsid w:val="006E325D"/>
    <w:rsid w:val="006E3C90"/>
    <w:rsid w:val="006E40CB"/>
    <w:rsid w:val="006E6873"/>
    <w:rsid w:val="006E7B1D"/>
    <w:rsid w:val="006F08DA"/>
    <w:rsid w:val="006F5314"/>
    <w:rsid w:val="00702A57"/>
    <w:rsid w:val="00704B61"/>
    <w:rsid w:val="00705827"/>
    <w:rsid w:val="007164CA"/>
    <w:rsid w:val="00716AAB"/>
    <w:rsid w:val="00722B7F"/>
    <w:rsid w:val="00732E1B"/>
    <w:rsid w:val="0073705C"/>
    <w:rsid w:val="007418C8"/>
    <w:rsid w:val="00742A8D"/>
    <w:rsid w:val="00744B61"/>
    <w:rsid w:val="00747412"/>
    <w:rsid w:val="0075191E"/>
    <w:rsid w:val="00753A55"/>
    <w:rsid w:val="00753F5F"/>
    <w:rsid w:val="007552A9"/>
    <w:rsid w:val="00761858"/>
    <w:rsid w:val="007637F4"/>
    <w:rsid w:val="00767D59"/>
    <w:rsid w:val="00774A81"/>
    <w:rsid w:val="00776E97"/>
    <w:rsid w:val="00780FD7"/>
    <w:rsid w:val="00784869"/>
    <w:rsid w:val="007912AD"/>
    <w:rsid w:val="0079344D"/>
    <w:rsid w:val="007A01B3"/>
    <w:rsid w:val="007A1F28"/>
    <w:rsid w:val="007B0824"/>
    <w:rsid w:val="007B0892"/>
    <w:rsid w:val="007C0EB5"/>
    <w:rsid w:val="007D39B9"/>
    <w:rsid w:val="0081272A"/>
    <w:rsid w:val="008303B8"/>
    <w:rsid w:val="00833DCE"/>
    <w:rsid w:val="00836A93"/>
    <w:rsid w:val="00841581"/>
    <w:rsid w:val="00842418"/>
    <w:rsid w:val="008533FC"/>
    <w:rsid w:val="00853D3F"/>
    <w:rsid w:val="00864126"/>
    <w:rsid w:val="0086492E"/>
    <w:rsid w:val="0087166E"/>
    <w:rsid w:val="00871D34"/>
    <w:rsid w:val="008A43EB"/>
    <w:rsid w:val="008A5F40"/>
    <w:rsid w:val="008B270C"/>
    <w:rsid w:val="008C3D3D"/>
    <w:rsid w:val="008D4131"/>
    <w:rsid w:val="008E01EE"/>
    <w:rsid w:val="008E65DE"/>
    <w:rsid w:val="008F1932"/>
    <w:rsid w:val="008F294D"/>
    <w:rsid w:val="00905FD6"/>
    <w:rsid w:val="00911478"/>
    <w:rsid w:val="00916A58"/>
    <w:rsid w:val="00921062"/>
    <w:rsid w:val="0093083E"/>
    <w:rsid w:val="009359CC"/>
    <w:rsid w:val="009451FF"/>
    <w:rsid w:val="009503A2"/>
    <w:rsid w:val="009553DD"/>
    <w:rsid w:val="00955B0E"/>
    <w:rsid w:val="00966B05"/>
    <w:rsid w:val="00966ECF"/>
    <w:rsid w:val="009727A3"/>
    <w:rsid w:val="00974D37"/>
    <w:rsid w:val="009820F9"/>
    <w:rsid w:val="00987774"/>
    <w:rsid w:val="009936D5"/>
    <w:rsid w:val="009A11E8"/>
    <w:rsid w:val="009A43A1"/>
    <w:rsid w:val="009C2F51"/>
    <w:rsid w:val="009C37C7"/>
    <w:rsid w:val="009C5D3A"/>
    <w:rsid w:val="009D1549"/>
    <w:rsid w:val="009E4E62"/>
    <w:rsid w:val="009F5220"/>
    <w:rsid w:val="009F7C4D"/>
    <w:rsid w:val="00A01A21"/>
    <w:rsid w:val="00A01E09"/>
    <w:rsid w:val="00A11BBB"/>
    <w:rsid w:val="00A15234"/>
    <w:rsid w:val="00A15A28"/>
    <w:rsid w:val="00A201AB"/>
    <w:rsid w:val="00A25C94"/>
    <w:rsid w:val="00A31C8B"/>
    <w:rsid w:val="00A54733"/>
    <w:rsid w:val="00A842B8"/>
    <w:rsid w:val="00A845DC"/>
    <w:rsid w:val="00A97AEE"/>
    <w:rsid w:val="00AA4472"/>
    <w:rsid w:val="00AB3C99"/>
    <w:rsid w:val="00AB4CC5"/>
    <w:rsid w:val="00AC5CF6"/>
    <w:rsid w:val="00AC7862"/>
    <w:rsid w:val="00AD217D"/>
    <w:rsid w:val="00AF21DA"/>
    <w:rsid w:val="00B144FA"/>
    <w:rsid w:val="00B16F58"/>
    <w:rsid w:val="00B21A7C"/>
    <w:rsid w:val="00B225A0"/>
    <w:rsid w:val="00B2434E"/>
    <w:rsid w:val="00B30648"/>
    <w:rsid w:val="00B3226D"/>
    <w:rsid w:val="00B322F4"/>
    <w:rsid w:val="00B3498C"/>
    <w:rsid w:val="00B3524D"/>
    <w:rsid w:val="00B40F69"/>
    <w:rsid w:val="00B41E09"/>
    <w:rsid w:val="00B45242"/>
    <w:rsid w:val="00B46616"/>
    <w:rsid w:val="00B54032"/>
    <w:rsid w:val="00B57A65"/>
    <w:rsid w:val="00B60E41"/>
    <w:rsid w:val="00B610E3"/>
    <w:rsid w:val="00B61205"/>
    <w:rsid w:val="00B617C4"/>
    <w:rsid w:val="00B626FA"/>
    <w:rsid w:val="00B62B27"/>
    <w:rsid w:val="00B66D87"/>
    <w:rsid w:val="00B7040A"/>
    <w:rsid w:val="00B729E6"/>
    <w:rsid w:val="00B76C2C"/>
    <w:rsid w:val="00B76EBC"/>
    <w:rsid w:val="00B808A4"/>
    <w:rsid w:val="00B947BF"/>
    <w:rsid w:val="00B96FA0"/>
    <w:rsid w:val="00BA35A4"/>
    <w:rsid w:val="00BA39E9"/>
    <w:rsid w:val="00BA5944"/>
    <w:rsid w:val="00BB2AA8"/>
    <w:rsid w:val="00BC0238"/>
    <w:rsid w:val="00BC68C0"/>
    <w:rsid w:val="00BD4196"/>
    <w:rsid w:val="00BE2210"/>
    <w:rsid w:val="00BE4FE1"/>
    <w:rsid w:val="00BE57DB"/>
    <w:rsid w:val="00BF1366"/>
    <w:rsid w:val="00BF22CA"/>
    <w:rsid w:val="00C11DEB"/>
    <w:rsid w:val="00C139A6"/>
    <w:rsid w:val="00C14D10"/>
    <w:rsid w:val="00C26032"/>
    <w:rsid w:val="00C265B0"/>
    <w:rsid w:val="00C321B5"/>
    <w:rsid w:val="00C33BA9"/>
    <w:rsid w:val="00C345E1"/>
    <w:rsid w:val="00C37D67"/>
    <w:rsid w:val="00C42C62"/>
    <w:rsid w:val="00C5263A"/>
    <w:rsid w:val="00C54587"/>
    <w:rsid w:val="00C5652A"/>
    <w:rsid w:val="00C672E4"/>
    <w:rsid w:val="00C74D85"/>
    <w:rsid w:val="00C80361"/>
    <w:rsid w:val="00C8281B"/>
    <w:rsid w:val="00C9551E"/>
    <w:rsid w:val="00C977BA"/>
    <w:rsid w:val="00CA5339"/>
    <w:rsid w:val="00CB6E35"/>
    <w:rsid w:val="00CD4902"/>
    <w:rsid w:val="00CD4A69"/>
    <w:rsid w:val="00CD761B"/>
    <w:rsid w:val="00CE1A46"/>
    <w:rsid w:val="00CF253F"/>
    <w:rsid w:val="00CF4FCD"/>
    <w:rsid w:val="00CF56B4"/>
    <w:rsid w:val="00CF7E22"/>
    <w:rsid w:val="00D00F1C"/>
    <w:rsid w:val="00D20F09"/>
    <w:rsid w:val="00D21594"/>
    <w:rsid w:val="00D22636"/>
    <w:rsid w:val="00D2391F"/>
    <w:rsid w:val="00D24AD7"/>
    <w:rsid w:val="00D27EC6"/>
    <w:rsid w:val="00D40FD9"/>
    <w:rsid w:val="00D42256"/>
    <w:rsid w:val="00D44088"/>
    <w:rsid w:val="00D511E3"/>
    <w:rsid w:val="00D53769"/>
    <w:rsid w:val="00D637C9"/>
    <w:rsid w:val="00D67604"/>
    <w:rsid w:val="00D73572"/>
    <w:rsid w:val="00D74CFD"/>
    <w:rsid w:val="00D85C13"/>
    <w:rsid w:val="00D91BE3"/>
    <w:rsid w:val="00D94AFC"/>
    <w:rsid w:val="00D97AF0"/>
    <w:rsid w:val="00DA3B27"/>
    <w:rsid w:val="00DB70AE"/>
    <w:rsid w:val="00DB7231"/>
    <w:rsid w:val="00DC7975"/>
    <w:rsid w:val="00DD07FC"/>
    <w:rsid w:val="00DD5071"/>
    <w:rsid w:val="00DD5C39"/>
    <w:rsid w:val="00DE26AF"/>
    <w:rsid w:val="00DE2E34"/>
    <w:rsid w:val="00DE714E"/>
    <w:rsid w:val="00DE7DB7"/>
    <w:rsid w:val="00E00A0A"/>
    <w:rsid w:val="00E07601"/>
    <w:rsid w:val="00E07F57"/>
    <w:rsid w:val="00E13D2B"/>
    <w:rsid w:val="00E352ED"/>
    <w:rsid w:val="00E4586A"/>
    <w:rsid w:val="00E50456"/>
    <w:rsid w:val="00E50BCE"/>
    <w:rsid w:val="00E61292"/>
    <w:rsid w:val="00E62794"/>
    <w:rsid w:val="00E649A1"/>
    <w:rsid w:val="00E76309"/>
    <w:rsid w:val="00E77C4D"/>
    <w:rsid w:val="00E81D01"/>
    <w:rsid w:val="00E82D7A"/>
    <w:rsid w:val="00E90C08"/>
    <w:rsid w:val="00EA0F11"/>
    <w:rsid w:val="00EA4F85"/>
    <w:rsid w:val="00EB62BE"/>
    <w:rsid w:val="00EC7BD3"/>
    <w:rsid w:val="00ED48D9"/>
    <w:rsid w:val="00EE1BF0"/>
    <w:rsid w:val="00EE45D8"/>
    <w:rsid w:val="00EF63DD"/>
    <w:rsid w:val="00F004CD"/>
    <w:rsid w:val="00F12507"/>
    <w:rsid w:val="00F229EB"/>
    <w:rsid w:val="00F22EDA"/>
    <w:rsid w:val="00F26555"/>
    <w:rsid w:val="00F3224D"/>
    <w:rsid w:val="00F33E0E"/>
    <w:rsid w:val="00F3723B"/>
    <w:rsid w:val="00F42F8D"/>
    <w:rsid w:val="00F472AE"/>
    <w:rsid w:val="00F5664C"/>
    <w:rsid w:val="00F64613"/>
    <w:rsid w:val="00F72B81"/>
    <w:rsid w:val="00F7382F"/>
    <w:rsid w:val="00F77A3E"/>
    <w:rsid w:val="00F77EEB"/>
    <w:rsid w:val="00F86626"/>
    <w:rsid w:val="00F90160"/>
    <w:rsid w:val="00F9182B"/>
    <w:rsid w:val="00F93D58"/>
    <w:rsid w:val="00F94876"/>
    <w:rsid w:val="00FA069B"/>
    <w:rsid w:val="00FB050B"/>
    <w:rsid w:val="00FB4CE7"/>
    <w:rsid w:val="00FB7E80"/>
    <w:rsid w:val="00FE0AC6"/>
    <w:rsid w:val="00FF4BA6"/>
    <w:rsid w:val="00FF57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185FC2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6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 w:type="paragraph" w:styleId="ListParagraph">
    <w:name w:val="List Paragraph"/>
    <w:basedOn w:val="Normal"/>
    <w:uiPriority w:val="63"/>
    <w:qFormat/>
    <w:rsid w:val="002A16FD"/>
    <w:pPr>
      <w:ind w:left="720"/>
    </w:pPr>
  </w:style>
  <w:style w:type="character" w:styleId="Strong">
    <w:name w:val="Strong"/>
    <w:qFormat/>
    <w:rsid w:val="002A16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1727</Words>
  <Characters>8639</Characters>
  <Application>Microsoft Office Word</Application>
  <DocSecurity>0</DocSecurity>
  <Lines>71</Lines>
  <Paragraphs>20</Paragraphs>
  <ScaleCrop>false</ScaleCrop>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2018-07-17T16:22:00Z</dcterms:created>
  <dcterms:modified xsi:type="dcterms:W3CDTF">2018-07-17T16:22:00Z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