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4E4" w:rsidRPr="00575A1F" w:rsidRDefault="00575A1F" w:rsidP="00503887">
      <w:pPr>
        <w:jc w:val="center"/>
        <w:rPr>
          <w:rFonts w:ascii="Book Antiqua" w:hAnsi="Book Antiqua"/>
          <w:noProof/>
          <w:sz w:val="16"/>
          <w:szCs w:val="16"/>
          <w:lang w:val="en-US" w:eastAsia="en-US"/>
        </w:rPr>
      </w:pPr>
      <w:r w:rsidRPr="00575A1F">
        <w:rPr>
          <w:rFonts w:ascii="Book Antiqua" w:hAnsi="Book Antiqua"/>
          <w:noProof/>
          <w:sz w:val="16"/>
          <w:szCs w:val="16"/>
          <w:lang w:val="en-US" w:eastAsia="en-US"/>
        </w:rPr>
        <w:drawing>
          <wp:inline distT="0" distB="0" distL="0" distR="0" wp14:anchorId="247CEA50" wp14:editId="6735D4B4">
            <wp:extent cx="1470660" cy="1104900"/>
            <wp:effectExtent l="0" t="0" r="0" b="0"/>
            <wp:docPr id="1" name="Picture 1" descr="Description: Description: 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45"/>
                    <a:stretch>
                      <a:fillRect/>
                    </a:stretch>
                  </pic:blipFill>
                  <pic:spPr bwMode="auto">
                    <a:xfrm>
                      <a:off x="0" y="0"/>
                      <a:ext cx="1470660" cy="1104900"/>
                    </a:xfrm>
                    <a:prstGeom prst="rect">
                      <a:avLst/>
                    </a:prstGeom>
                    <a:noFill/>
                    <a:ln>
                      <a:noFill/>
                    </a:ln>
                  </pic:spPr>
                </pic:pic>
              </a:graphicData>
            </a:graphic>
          </wp:inline>
        </w:drawing>
      </w:r>
    </w:p>
    <w:p w:rsidR="00D219F1" w:rsidRPr="00575A1F" w:rsidRDefault="00D219F1" w:rsidP="00503887">
      <w:pPr>
        <w:jc w:val="center"/>
        <w:rPr>
          <w:rFonts w:ascii="Book Antiqua" w:hAnsi="Book Antiqua" w:cs="Arial"/>
          <w:color w:val="000000"/>
          <w:sz w:val="16"/>
          <w:szCs w:val="16"/>
        </w:rPr>
      </w:pPr>
    </w:p>
    <w:p w:rsidR="00D219F1" w:rsidRPr="00BB0BED" w:rsidRDefault="00D219F1" w:rsidP="00503887">
      <w:pPr>
        <w:tabs>
          <w:tab w:val="right" w:pos="9720"/>
        </w:tabs>
        <w:ind w:right="-82"/>
        <w:outlineLvl w:val="0"/>
        <w:rPr>
          <w:rFonts w:ascii="Book Antiqua" w:hAnsi="Book Antiqua" w:cs="Arial"/>
          <w:b/>
          <w:color w:val="000000"/>
        </w:rPr>
      </w:pPr>
      <w:r w:rsidRPr="00BB0BED">
        <w:rPr>
          <w:rFonts w:ascii="Book Antiqua" w:hAnsi="Book Antiqua" w:cs="Arial"/>
          <w:b/>
          <w:color w:val="000000"/>
        </w:rPr>
        <w:t xml:space="preserve">Upper Tribunal </w:t>
      </w:r>
    </w:p>
    <w:p w:rsidR="007E03D3" w:rsidRDefault="00D219F1" w:rsidP="00503887">
      <w:pPr>
        <w:tabs>
          <w:tab w:val="right" w:pos="9720"/>
        </w:tabs>
        <w:ind w:right="-82"/>
        <w:rPr>
          <w:rFonts w:ascii="Book Antiqua" w:hAnsi="Book Antiqua" w:cs="Arial"/>
          <w:color w:val="000000"/>
        </w:rPr>
      </w:pPr>
      <w:r w:rsidRPr="00BB0BED">
        <w:rPr>
          <w:rFonts w:ascii="Book Antiqua" w:hAnsi="Book Antiqua" w:cs="Arial"/>
          <w:b/>
          <w:color w:val="000000"/>
        </w:rPr>
        <w:t>(Immigration and Asylum Chamber)</w:t>
      </w:r>
      <w:r w:rsidRPr="00BB0BED">
        <w:rPr>
          <w:rFonts w:ascii="Book Antiqua" w:hAnsi="Book Antiqua" w:cs="Arial"/>
          <w:b/>
          <w:color w:val="000000"/>
        </w:rPr>
        <w:tab/>
      </w:r>
      <w:r w:rsidR="00CF4F17">
        <w:rPr>
          <w:rFonts w:ascii="Book Antiqua" w:hAnsi="Book Antiqua" w:cs="Arial"/>
          <w:color w:val="000000"/>
        </w:rPr>
        <w:t>Appeal Number:</w:t>
      </w:r>
      <w:r w:rsidR="00575A1F">
        <w:rPr>
          <w:rFonts w:ascii="Book Antiqua" w:hAnsi="Book Antiqua" w:cs="Arial"/>
          <w:color w:val="000000"/>
        </w:rPr>
        <w:t xml:space="preserve"> </w:t>
      </w:r>
      <w:bookmarkStart w:id="0" w:name="_GoBack"/>
      <w:r w:rsidR="0063012A">
        <w:rPr>
          <w:rFonts w:ascii="Book Antiqua" w:hAnsi="Book Antiqua" w:cs="Arial"/>
          <w:color w:val="000000"/>
        </w:rPr>
        <w:t>HU/17945/</w:t>
      </w:r>
      <w:r w:rsidR="00C72990">
        <w:rPr>
          <w:rFonts w:ascii="Book Antiqua" w:hAnsi="Book Antiqua" w:cs="Arial"/>
          <w:color w:val="000000"/>
        </w:rPr>
        <w:t>20</w:t>
      </w:r>
      <w:r w:rsidR="0063012A">
        <w:rPr>
          <w:rFonts w:ascii="Book Antiqua" w:hAnsi="Book Antiqua" w:cs="Arial"/>
          <w:color w:val="000000"/>
        </w:rPr>
        <w:t>16</w:t>
      </w:r>
      <w:bookmarkEnd w:id="0"/>
    </w:p>
    <w:p w:rsidR="00D676BC" w:rsidRDefault="00D676BC" w:rsidP="00575A1F">
      <w:pPr>
        <w:tabs>
          <w:tab w:val="right" w:pos="9720"/>
        </w:tabs>
        <w:ind w:right="-82"/>
        <w:jc w:val="center"/>
        <w:rPr>
          <w:rFonts w:ascii="Book Antiqua" w:hAnsi="Book Antiqua" w:cs="Arial"/>
          <w:color w:val="000000"/>
        </w:rPr>
      </w:pPr>
    </w:p>
    <w:p w:rsidR="00D219F1" w:rsidRPr="00BB0BED" w:rsidRDefault="00D219F1" w:rsidP="00575A1F">
      <w:pPr>
        <w:tabs>
          <w:tab w:val="right" w:pos="9720"/>
        </w:tabs>
        <w:ind w:right="-82"/>
        <w:jc w:val="center"/>
        <w:rPr>
          <w:rFonts w:ascii="Book Antiqua" w:hAnsi="Book Antiqua" w:cs="Arial"/>
          <w:color w:val="000000"/>
        </w:rPr>
      </w:pPr>
    </w:p>
    <w:p w:rsidR="00D219F1" w:rsidRPr="00BB0BED" w:rsidRDefault="00D219F1" w:rsidP="00575A1F">
      <w:pPr>
        <w:jc w:val="center"/>
        <w:outlineLvl w:val="0"/>
        <w:rPr>
          <w:rFonts w:ascii="Book Antiqua" w:hAnsi="Book Antiqua" w:cs="Arial"/>
          <w:b/>
          <w:color w:val="000000"/>
          <w:u w:val="single"/>
        </w:rPr>
      </w:pPr>
      <w:r w:rsidRPr="00BB0BED">
        <w:rPr>
          <w:rFonts w:ascii="Book Antiqua" w:hAnsi="Book Antiqua" w:cs="Arial"/>
          <w:b/>
          <w:color w:val="000000"/>
          <w:u w:val="single"/>
        </w:rPr>
        <w:t>THE IMMIGRATION ACTS</w:t>
      </w:r>
    </w:p>
    <w:p w:rsidR="00D219F1" w:rsidRDefault="00D219F1" w:rsidP="00575A1F">
      <w:pPr>
        <w:jc w:val="center"/>
        <w:rPr>
          <w:rFonts w:ascii="Book Antiqua" w:hAnsi="Book Antiqua" w:cs="Arial"/>
          <w:b/>
          <w:u w:val="single"/>
        </w:rPr>
      </w:pPr>
    </w:p>
    <w:p w:rsidR="00575A1F" w:rsidRPr="00BB0BED" w:rsidRDefault="00575A1F" w:rsidP="00575A1F">
      <w:pPr>
        <w:jc w:val="center"/>
        <w:rPr>
          <w:rFonts w:ascii="Book Antiqua" w:hAnsi="Book Antiqua" w:cs="Arial"/>
          <w:b/>
          <w:u w:val="single"/>
        </w:rPr>
      </w:pPr>
    </w:p>
    <w:tbl>
      <w:tblPr>
        <w:tblW w:w="5000" w:type="pct"/>
        <w:tblLook w:val="01E0" w:firstRow="1" w:lastRow="1" w:firstColumn="1" w:lastColumn="1" w:noHBand="0" w:noVBand="0"/>
      </w:tblPr>
      <w:tblGrid>
        <w:gridCol w:w="4819"/>
        <w:gridCol w:w="4819"/>
      </w:tblGrid>
      <w:tr w:rsidR="00D219F1" w:rsidRPr="00C03009" w:rsidTr="00575A1F">
        <w:tc>
          <w:tcPr>
            <w:tcW w:w="2500" w:type="pct"/>
          </w:tcPr>
          <w:p w:rsidR="00D219F1" w:rsidRPr="00C03009" w:rsidRDefault="00575A1F" w:rsidP="00256F9B">
            <w:pPr>
              <w:jc w:val="both"/>
              <w:rPr>
                <w:rFonts w:ascii="Book Antiqua" w:hAnsi="Book Antiqua" w:cs="Arial"/>
                <w:b/>
              </w:rPr>
            </w:pPr>
            <w:r>
              <w:rPr>
                <w:rFonts w:ascii="Book Antiqua" w:hAnsi="Book Antiqua" w:cs="Arial"/>
                <w:b/>
              </w:rPr>
              <w:t>At: Manchester Civil Justice Centre</w:t>
            </w:r>
          </w:p>
        </w:tc>
        <w:tc>
          <w:tcPr>
            <w:tcW w:w="2500" w:type="pct"/>
          </w:tcPr>
          <w:p w:rsidR="00D219F1" w:rsidRPr="00C03009" w:rsidRDefault="00D806C5" w:rsidP="00256F9B">
            <w:pPr>
              <w:jc w:val="both"/>
              <w:rPr>
                <w:rFonts w:ascii="Book Antiqua" w:hAnsi="Book Antiqua" w:cs="Arial"/>
                <w:b/>
                <w:color w:val="000000"/>
              </w:rPr>
            </w:pPr>
            <w:r>
              <w:rPr>
                <w:rFonts w:ascii="Book Antiqua" w:hAnsi="Book Antiqua" w:cs="Arial"/>
                <w:b/>
                <w:color w:val="000000"/>
              </w:rPr>
              <w:t>Decision</w:t>
            </w:r>
            <w:r w:rsidR="006A45BF">
              <w:rPr>
                <w:rFonts w:ascii="Book Antiqua" w:hAnsi="Book Antiqua" w:cs="Arial"/>
                <w:b/>
                <w:color w:val="000000"/>
              </w:rPr>
              <w:t xml:space="preserve"> &amp; Reasons</w:t>
            </w:r>
            <w:r>
              <w:rPr>
                <w:rFonts w:ascii="Book Antiqua" w:hAnsi="Book Antiqua" w:cs="Arial"/>
                <w:b/>
                <w:color w:val="000000"/>
              </w:rPr>
              <w:t xml:space="preserve"> </w:t>
            </w:r>
            <w:r w:rsidR="00D219F1" w:rsidRPr="00C03009">
              <w:rPr>
                <w:rFonts w:ascii="Book Antiqua" w:hAnsi="Book Antiqua" w:cs="Arial"/>
                <w:b/>
                <w:color w:val="000000"/>
              </w:rPr>
              <w:t>Promulgated</w:t>
            </w:r>
          </w:p>
        </w:tc>
      </w:tr>
      <w:tr w:rsidR="00D219F1" w:rsidRPr="00C03009" w:rsidTr="00575A1F">
        <w:tc>
          <w:tcPr>
            <w:tcW w:w="2500" w:type="pct"/>
          </w:tcPr>
          <w:p w:rsidR="008133F6" w:rsidRPr="00C03009" w:rsidRDefault="00CB32AF" w:rsidP="00030A29">
            <w:pPr>
              <w:jc w:val="both"/>
              <w:rPr>
                <w:rFonts w:ascii="Book Antiqua" w:hAnsi="Book Antiqua" w:cs="Arial"/>
                <w:b/>
              </w:rPr>
            </w:pPr>
            <w:r>
              <w:rPr>
                <w:rFonts w:ascii="Book Antiqua" w:hAnsi="Book Antiqua" w:cs="Arial"/>
                <w:b/>
              </w:rPr>
              <w:t xml:space="preserve">On: </w:t>
            </w:r>
            <w:r w:rsidR="004166D3">
              <w:rPr>
                <w:rFonts w:ascii="Book Antiqua" w:hAnsi="Book Antiqua" w:cs="Arial"/>
                <w:b/>
              </w:rPr>
              <w:t>19</w:t>
            </w:r>
            <w:r w:rsidR="004166D3" w:rsidRPr="004166D3">
              <w:rPr>
                <w:rFonts w:ascii="Book Antiqua" w:hAnsi="Book Antiqua" w:cs="Arial"/>
                <w:b/>
                <w:vertAlign w:val="superscript"/>
              </w:rPr>
              <w:t>th</w:t>
            </w:r>
            <w:r w:rsidR="004166D3">
              <w:rPr>
                <w:rFonts w:ascii="Book Antiqua" w:hAnsi="Book Antiqua" w:cs="Arial"/>
                <w:b/>
              </w:rPr>
              <w:t xml:space="preserve"> June </w:t>
            </w:r>
            <w:r w:rsidR="00575A1F">
              <w:rPr>
                <w:rFonts w:ascii="Book Antiqua" w:hAnsi="Book Antiqua" w:cs="Arial"/>
                <w:b/>
              </w:rPr>
              <w:t>2018</w:t>
            </w:r>
          </w:p>
        </w:tc>
        <w:tc>
          <w:tcPr>
            <w:tcW w:w="2500" w:type="pct"/>
          </w:tcPr>
          <w:p w:rsidR="00D219F1" w:rsidRPr="00C03009" w:rsidRDefault="006A45BF" w:rsidP="00256F9B">
            <w:pPr>
              <w:jc w:val="both"/>
              <w:rPr>
                <w:rFonts w:ascii="Book Antiqua" w:hAnsi="Book Antiqua" w:cs="Arial"/>
                <w:b/>
              </w:rPr>
            </w:pPr>
            <w:r>
              <w:rPr>
                <w:rFonts w:ascii="Book Antiqua" w:hAnsi="Book Antiqua" w:cs="Arial"/>
                <w:b/>
              </w:rPr>
              <w:t>On 13</w:t>
            </w:r>
            <w:r w:rsidRPr="006A45BF">
              <w:rPr>
                <w:rFonts w:ascii="Book Antiqua" w:hAnsi="Book Antiqua" w:cs="Arial"/>
                <w:b/>
                <w:vertAlign w:val="superscript"/>
              </w:rPr>
              <w:t>th</w:t>
            </w:r>
            <w:r>
              <w:rPr>
                <w:rFonts w:ascii="Book Antiqua" w:hAnsi="Book Antiqua" w:cs="Arial"/>
                <w:b/>
              </w:rPr>
              <w:t xml:space="preserve"> September 2018</w:t>
            </w:r>
          </w:p>
        </w:tc>
      </w:tr>
      <w:tr w:rsidR="00D219F1" w:rsidRPr="00C03009" w:rsidTr="00575A1F">
        <w:tc>
          <w:tcPr>
            <w:tcW w:w="2500" w:type="pct"/>
          </w:tcPr>
          <w:p w:rsidR="00D219F1" w:rsidRPr="00C03009" w:rsidRDefault="00D219F1" w:rsidP="00256F9B">
            <w:pPr>
              <w:jc w:val="both"/>
              <w:rPr>
                <w:rFonts w:ascii="Book Antiqua" w:hAnsi="Book Antiqua" w:cs="Arial"/>
                <w:b/>
              </w:rPr>
            </w:pPr>
          </w:p>
        </w:tc>
        <w:tc>
          <w:tcPr>
            <w:tcW w:w="2500" w:type="pct"/>
          </w:tcPr>
          <w:p w:rsidR="00D219F1" w:rsidRPr="00C03009" w:rsidRDefault="00D219F1" w:rsidP="00256F9B">
            <w:pPr>
              <w:jc w:val="both"/>
              <w:rPr>
                <w:rFonts w:ascii="Book Antiqua" w:hAnsi="Book Antiqua" w:cs="Arial"/>
                <w:b/>
              </w:rPr>
            </w:pPr>
          </w:p>
        </w:tc>
      </w:tr>
    </w:tbl>
    <w:p w:rsidR="00D219F1" w:rsidRDefault="00D219F1" w:rsidP="00503887">
      <w:pPr>
        <w:jc w:val="center"/>
        <w:rPr>
          <w:rFonts w:ascii="Book Antiqua" w:hAnsi="Book Antiqua" w:cs="Arial"/>
        </w:rPr>
      </w:pPr>
    </w:p>
    <w:p w:rsidR="00D219F1" w:rsidRPr="00BB0BED" w:rsidRDefault="00D219F1" w:rsidP="00503887">
      <w:pPr>
        <w:jc w:val="center"/>
        <w:outlineLvl w:val="0"/>
        <w:rPr>
          <w:rFonts w:ascii="Book Antiqua" w:hAnsi="Book Antiqua" w:cs="Arial"/>
          <w:b/>
        </w:rPr>
      </w:pPr>
      <w:r w:rsidRPr="00BB0BED">
        <w:rPr>
          <w:rFonts w:ascii="Book Antiqua" w:hAnsi="Book Antiqua" w:cs="Arial"/>
          <w:b/>
        </w:rPr>
        <w:t>Before</w:t>
      </w:r>
    </w:p>
    <w:p w:rsidR="00D219F1" w:rsidRDefault="00D219F1" w:rsidP="00764A18">
      <w:pPr>
        <w:rPr>
          <w:rFonts w:ascii="Book Antiqua" w:hAnsi="Book Antiqua" w:cs="Arial"/>
          <w:b/>
        </w:rPr>
      </w:pPr>
    </w:p>
    <w:p w:rsidR="00D219F1" w:rsidRPr="00BB0BED" w:rsidRDefault="00D219F1" w:rsidP="00503887">
      <w:pPr>
        <w:jc w:val="center"/>
        <w:rPr>
          <w:rFonts w:ascii="Book Antiqua" w:hAnsi="Book Antiqua" w:cs="Arial"/>
          <w:b/>
        </w:rPr>
      </w:pPr>
      <w:r>
        <w:rPr>
          <w:rFonts w:ascii="Book Antiqua" w:hAnsi="Book Antiqua" w:cs="Arial"/>
          <w:b/>
        </w:rPr>
        <w:t>UPPER TRIBUNAL JUDGE BRUCE</w:t>
      </w:r>
    </w:p>
    <w:p w:rsidR="00D219F1" w:rsidRDefault="00D219F1" w:rsidP="00503887">
      <w:pPr>
        <w:jc w:val="center"/>
        <w:outlineLvl w:val="0"/>
        <w:rPr>
          <w:rFonts w:ascii="Book Antiqua" w:hAnsi="Book Antiqua" w:cs="Arial"/>
          <w:b/>
        </w:rPr>
      </w:pPr>
    </w:p>
    <w:p w:rsidR="00575A1F" w:rsidRDefault="00575A1F" w:rsidP="00503887">
      <w:pPr>
        <w:jc w:val="center"/>
        <w:outlineLvl w:val="0"/>
        <w:rPr>
          <w:rFonts w:ascii="Book Antiqua" w:hAnsi="Book Antiqua" w:cs="Arial"/>
          <w:b/>
        </w:rPr>
      </w:pPr>
    </w:p>
    <w:p w:rsidR="00D219F1" w:rsidRPr="00BB0BED" w:rsidRDefault="00D219F1" w:rsidP="00503887">
      <w:pPr>
        <w:jc w:val="center"/>
        <w:outlineLvl w:val="0"/>
        <w:rPr>
          <w:rFonts w:ascii="Book Antiqua" w:hAnsi="Book Antiqua" w:cs="Arial"/>
          <w:b/>
        </w:rPr>
      </w:pPr>
      <w:r w:rsidRPr="00BB0BED">
        <w:rPr>
          <w:rFonts w:ascii="Book Antiqua" w:hAnsi="Book Antiqua" w:cs="Arial"/>
          <w:b/>
        </w:rPr>
        <w:t>Between</w:t>
      </w:r>
    </w:p>
    <w:p w:rsidR="00D219F1" w:rsidRDefault="00D219F1" w:rsidP="00503887">
      <w:pPr>
        <w:jc w:val="center"/>
        <w:rPr>
          <w:rFonts w:ascii="Book Antiqua" w:hAnsi="Book Antiqua" w:cs="Arial"/>
          <w:b/>
        </w:rPr>
      </w:pPr>
    </w:p>
    <w:p w:rsidR="008133F6" w:rsidRDefault="004166D3" w:rsidP="008133F6">
      <w:pPr>
        <w:jc w:val="center"/>
        <w:rPr>
          <w:rFonts w:ascii="Book Antiqua" w:hAnsi="Book Antiqua" w:cs="Arial"/>
          <w:b/>
        </w:rPr>
      </w:pPr>
      <w:proofErr w:type="spellStart"/>
      <w:r>
        <w:rPr>
          <w:rFonts w:ascii="Book Antiqua" w:hAnsi="Book Antiqua" w:cs="Arial"/>
          <w:b/>
        </w:rPr>
        <w:t>Sozan</w:t>
      </w:r>
      <w:proofErr w:type="spellEnd"/>
      <w:r>
        <w:rPr>
          <w:rFonts w:ascii="Book Antiqua" w:hAnsi="Book Antiqua" w:cs="Arial"/>
          <w:b/>
        </w:rPr>
        <w:t xml:space="preserve"> </w:t>
      </w:r>
      <w:proofErr w:type="spellStart"/>
      <w:r>
        <w:rPr>
          <w:rFonts w:ascii="Book Antiqua" w:hAnsi="Book Antiqua" w:cs="Arial"/>
          <w:b/>
        </w:rPr>
        <w:t>Faidhalla</w:t>
      </w:r>
      <w:proofErr w:type="spellEnd"/>
      <w:r>
        <w:rPr>
          <w:rFonts w:ascii="Book Antiqua" w:hAnsi="Book Antiqua" w:cs="Arial"/>
          <w:b/>
        </w:rPr>
        <w:t xml:space="preserve"> </w:t>
      </w:r>
      <w:proofErr w:type="spellStart"/>
      <w:r>
        <w:rPr>
          <w:rFonts w:ascii="Book Antiqua" w:hAnsi="Book Antiqua" w:cs="Arial"/>
          <w:b/>
        </w:rPr>
        <w:t>Darwesh</w:t>
      </w:r>
      <w:proofErr w:type="spellEnd"/>
    </w:p>
    <w:p w:rsidR="008133F6" w:rsidRPr="00030A29" w:rsidRDefault="008133F6" w:rsidP="008133F6">
      <w:pPr>
        <w:jc w:val="center"/>
        <w:rPr>
          <w:rFonts w:ascii="Book Antiqua" w:hAnsi="Book Antiqua" w:cs="Arial"/>
          <w:b/>
        </w:rPr>
      </w:pPr>
      <w:r>
        <w:rPr>
          <w:rFonts w:ascii="Book Antiqua" w:hAnsi="Book Antiqua" w:cs="Arial"/>
          <w:b/>
        </w:rPr>
        <w:t xml:space="preserve"> (</w:t>
      </w:r>
      <w:r w:rsidR="00CB32AF">
        <w:rPr>
          <w:rFonts w:ascii="Book Antiqua" w:hAnsi="Book Antiqua" w:cs="Arial"/>
          <w:b/>
        </w:rPr>
        <w:t xml:space="preserve">no </w:t>
      </w:r>
      <w:r w:rsidRPr="00030A29">
        <w:rPr>
          <w:rFonts w:ascii="Book Antiqua" w:hAnsi="Book Antiqua" w:cs="Arial"/>
          <w:b/>
        </w:rPr>
        <w:t>anonymity directi</w:t>
      </w:r>
      <w:r>
        <w:rPr>
          <w:rFonts w:ascii="Book Antiqua" w:hAnsi="Book Antiqua" w:cs="Arial"/>
          <w:b/>
        </w:rPr>
        <w:t>on made)</w:t>
      </w:r>
    </w:p>
    <w:p w:rsidR="00D219F1" w:rsidRPr="00030A29" w:rsidRDefault="00F62C83" w:rsidP="00503887">
      <w:pPr>
        <w:jc w:val="right"/>
        <w:outlineLvl w:val="0"/>
        <w:rPr>
          <w:rFonts w:ascii="Book Antiqua" w:hAnsi="Book Antiqua" w:cs="Arial"/>
          <w:u w:val="single"/>
        </w:rPr>
      </w:pPr>
      <w:r>
        <w:rPr>
          <w:rFonts w:ascii="Book Antiqua" w:hAnsi="Book Antiqua" w:cs="Arial"/>
          <w:u w:val="single"/>
        </w:rPr>
        <w:t>A</w:t>
      </w:r>
      <w:r w:rsidR="00D219F1" w:rsidRPr="00030A29">
        <w:rPr>
          <w:rFonts w:ascii="Book Antiqua" w:hAnsi="Book Antiqua" w:cs="Arial"/>
          <w:u w:val="single"/>
        </w:rPr>
        <w:t>ppellant</w:t>
      </w:r>
    </w:p>
    <w:p w:rsidR="00D219F1" w:rsidRPr="00030A29" w:rsidRDefault="00764A18" w:rsidP="00503887">
      <w:pPr>
        <w:jc w:val="center"/>
        <w:rPr>
          <w:rFonts w:ascii="Book Antiqua" w:hAnsi="Book Antiqua" w:cs="Arial"/>
          <w:b/>
        </w:rPr>
      </w:pPr>
      <w:r w:rsidRPr="00030A29">
        <w:rPr>
          <w:rFonts w:ascii="Book Antiqua" w:hAnsi="Book Antiqua" w:cs="Arial"/>
          <w:b/>
        </w:rPr>
        <w:t>A</w:t>
      </w:r>
      <w:r w:rsidR="00D219F1" w:rsidRPr="00030A29">
        <w:rPr>
          <w:rFonts w:ascii="Book Antiqua" w:hAnsi="Book Antiqua" w:cs="Arial"/>
          <w:b/>
        </w:rPr>
        <w:t>nd</w:t>
      </w:r>
    </w:p>
    <w:p w:rsidR="00764A18" w:rsidRDefault="00764A18" w:rsidP="00503887">
      <w:pPr>
        <w:jc w:val="center"/>
        <w:rPr>
          <w:rFonts w:ascii="Book Antiqua" w:hAnsi="Book Antiqua" w:cs="Arial"/>
          <w:b/>
        </w:rPr>
      </w:pPr>
    </w:p>
    <w:p w:rsidR="008133F6" w:rsidRDefault="004166D3" w:rsidP="008133F6">
      <w:pPr>
        <w:jc w:val="center"/>
        <w:rPr>
          <w:rFonts w:ascii="Book Antiqua" w:hAnsi="Book Antiqua" w:cs="Arial"/>
          <w:b/>
        </w:rPr>
      </w:pPr>
      <w:r>
        <w:rPr>
          <w:rFonts w:ascii="Book Antiqua" w:hAnsi="Book Antiqua" w:cs="Arial"/>
          <w:b/>
        </w:rPr>
        <w:t>Entry Clearance Officer, Amman</w:t>
      </w:r>
    </w:p>
    <w:p w:rsidR="00D219F1" w:rsidRPr="00077465" w:rsidRDefault="00D219F1" w:rsidP="006B153F">
      <w:pPr>
        <w:jc w:val="right"/>
        <w:outlineLvl w:val="0"/>
        <w:rPr>
          <w:rFonts w:ascii="Book Antiqua" w:hAnsi="Book Antiqua" w:cs="Arial"/>
          <w:u w:val="single"/>
        </w:rPr>
      </w:pPr>
      <w:r w:rsidRPr="00077465">
        <w:rPr>
          <w:rFonts w:ascii="Book Antiqua" w:hAnsi="Book Antiqua" w:cs="Arial"/>
          <w:u w:val="single"/>
        </w:rPr>
        <w:t>Respondent</w:t>
      </w:r>
    </w:p>
    <w:p w:rsidR="00555389" w:rsidRDefault="00555389" w:rsidP="00473C4B">
      <w:pPr>
        <w:rPr>
          <w:rFonts w:ascii="Book Antiqua" w:hAnsi="Book Antiqua" w:cs="Arial"/>
          <w:b/>
        </w:rPr>
      </w:pPr>
    </w:p>
    <w:p w:rsidR="00575A1F" w:rsidRDefault="00575A1F" w:rsidP="00473C4B">
      <w:pPr>
        <w:rPr>
          <w:rFonts w:ascii="Book Antiqua" w:hAnsi="Book Antiqua" w:cs="Arial"/>
          <w:b/>
        </w:rPr>
      </w:pPr>
    </w:p>
    <w:p w:rsidR="00F66F55" w:rsidRPr="002022F5" w:rsidRDefault="008133F6" w:rsidP="00575A1F">
      <w:pPr>
        <w:tabs>
          <w:tab w:val="left" w:pos="2552"/>
        </w:tabs>
        <w:rPr>
          <w:rFonts w:ascii="Book Antiqua" w:hAnsi="Book Antiqua" w:cs="Arial"/>
          <w:b/>
        </w:rPr>
      </w:pPr>
      <w:r w:rsidRPr="002022F5">
        <w:rPr>
          <w:rFonts w:ascii="Book Antiqua" w:hAnsi="Book Antiqua" w:cs="Arial"/>
          <w:b/>
        </w:rPr>
        <w:t>For the Appellant:</w:t>
      </w:r>
      <w:r w:rsidR="00575A1F">
        <w:rPr>
          <w:rFonts w:ascii="Book Antiqua" w:hAnsi="Book Antiqua" w:cs="Arial"/>
          <w:b/>
        </w:rPr>
        <w:tab/>
      </w:r>
      <w:r w:rsidR="004166D3">
        <w:rPr>
          <w:rFonts w:ascii="Book Antiqua" w:hAnsi="Book Antiqua" w:cs="Arial"/>
          <w:b/>
        </w:rPr>
        <w:t>Mr K.</w:t>
      </w:r>
      <w:r w:rsidR="00575A1F">
        <w:rPr>
          <w:rFonts w:ascii="Book Antiqua" w:hAnsi="Book Antiqua" w:cs="Arial"/>
          <w:b/>
        </w:rPr>
        <w:t xml:space="preserve"> </w:t>
      </w:r>
      <w:proofErr w:type="spellStart"/>
      <w:r w:rsidR="004166D3">
        <w:rPr>
          <w:rFonts w:ascii="Book Antiqua" w:hAnsi="Book Antiqua" w:cs="Arial"/>
          <w:b/>
        </w:rPr>
        <w:t>Moksud</w:t>
      </w:r>
      <w:proofErr w:type="spellEnd"/>
      <w:r w:rsidR="00CB32AF">
        <w:rPr>
          <w:rFonts w:ascii="Book Antiqua" w:hAnsi="Book Antiqua" w:cs="Arial"/>
          <w:b/>
        </w:rPr>
        <w:t xml:space="preserve">, </w:t>
      </w:r>
      <w:r w:rsidR="004166D3">
        <w:rPr>
          <w:rFonts w:ascii="Book Antiqua" w:hAnsi="Book Antiqua" w:cs="Arial"/>
          <w:b/>
        </w:rPr>
        <w:t>International Immigration Advisory Services</w:t>
      </w:r>
    </w:p>
    <w:p w:rsidR="008133F6" w:rsidRDefault="008133F6" w:rsidP="00575A1F">
      <w:pPr>
        <w:tabs>
          <w:tab w:val="left" w:pos="2552"/>
        </w:tabs>
        <w:rPr>
          <w:rFonts w:ascii="Book Antiqua" w:hAnsi="Book Antiqua" w:cs="Arial"/>
          <w:b/>
        </w:rPr>
      </w:pPr>
      <w:r w:rsidRPr="002022F5">
        <w:rPr>
          <w:rFonts w:ascii="Book Antiqua" w:hAnsi="Book Antiqua" w:cs="Arial"/>
          <w:b/>
        </w:rPr>
        <w:t>For the Respondent:</w:t>
      </w:r>
      <w:r w:rsidR="00575A1F">
        <w:rPr>
          <w:rFonts w:ascii="Book Antiqua" w:hAnsi="Book Antiqua" w:cs="Arial"/>
          <w:b/>
        </w:rPr>
        <w:tab/>
      </w:r>
      <w:r w:rsidR="004166D3">
        <w:rPr>
          <w:rFonts w:ascii="Book Antiqua" w:hAnsi="Book Antiqua" w:cs="Arial"/>
          <w:b/>
        </w:rPr>
        <w:t>Mr C.</w:t>
      </w:r>
      <w:r w:rsidR="00575A1F">
        <w:rPr>
          <w:rFonts w:ascii="Book Antiqua" w:hAnsi="Book Antiqua" w:cs="Arial"/>
          <w:b/>
        </w:rPr>
        <w:t xml:space="preserve"> </w:t>
      </w:r>
      <w:r w:rsidR="004166D3">
        <w:rPr>
          <w:rFonts w:ascii="Book Antiqua" w:hAnsi="Book Antiqua" w:cs="Arial"/>
          <w:b/>
        </w:rPr>
        <w:t>Bates</w:t>
      </w:r>
      <w:r w:rsidRPr="002022F5">
        <w:rPr>
          <w:rFonts w:ascii="Book Antiqua" w:hAnsi="Book Antiqua" w:cs="Arial"/>
          <w:b/>
        </w:rPr>
        <w:t>, Senior Home Office Presenting Officer</w:t>
      </w:r>
    </w:p>
    <w:p w:rsidR="008133F6" w:rsidRDefault="008133F6" w:rsidP="00473C4B">
      <w:pPr>
        <w:rPr>
          <w:rFonts w:ascii="Book Antiqua" w:hAnsi="Book Antiqua" w:cs="Arial"/>
          <w:b/>
        </w:rPr>
      </w:pPr>
    </w:p>
    <w:p w:rsidR="00B93485" w:rsidRDefault="00B93485" w:rsidP="00473C4B">
      <w:pPr>
        <w:rPr>
          <w:rFonts w:ascii="Book Antiqua" w:hAnsi="Book Antiqua" w:cs="Arial"/>
          <w:b/>
        </w:rPr>
      </w:pPr>
    </w:p>
    <w:p w:rsidR="00A10684" w:rsidRPr="00800967" w:rsidRDefault="008133F6" w:rsidP="00ED7C3A">
      <w:pPr>
        <w:tabs>
          <w:tab w:val="left" w:pos="2520"/>
        </w:tabs>
        <w:jc w:val="center"/>
        <w:outlineLvl w:val="0"/>
        <w:rPr>
          <w:rFonts w:ascii="Book Antiqua" w:hAnsi="Book Antiqua" w:cs="Arial"/>
          <w:b/>
          <w:u w:val="single"/>
        </w:rPr>
      </w:pPr>
      <w:r>
        <w:rPr>
          <w:rFonts w:ascii="Book Antiqua" w:hAnsi="Book Antiqua" w:cs="Arial"/>
          <w:b/>
          <w:u w:val="single"/>
        </w:rPr>
        <w:t>DECISION AND REASONS</w:t>
      </w:r>
    </w:p>
    <w:p w:rsidR="008133F6" w:rsidRPr="00BB0BED" w:rsidRDefault="008133F6" w:rsidP="00503887">
      <w:pPr>
        <w:tabs>
          <w:tab w:val="left" w:pos="2520"/>
        </w:tabs>
        <w:ind w:right="567"/>
        <w:jc w:val="both"/>
        <w:rPr>
          <w:rFonts w:ascii="Book Antiqua" w:hAnsi="Book Antiqua" w:cs="Arial"/>
        </w:rPr>
      </w:pPr>
    </w:p>
    <w:p w:rsidR="008133F6" w:rsidRDefault="008133F6" w:rsidP="00C869BC">
      <w:pPr>
        <w:numPr>
          <w:ilvl w:val="0"/>
          <w:numId w:val="1"/>
        </w:numPr>
        <w:tabs>
          <w:tab w:val="left" w:pos="567"/>
        </w:tabs>
        <w:ind w:left="567" w:right="567"/>
        <w:jc w:val="both"/>
        <w:rPr>
          <w:rFonts w:ascii="Book Antiqua" w:hAnsi="Book Antiqua" w:cs="Arial"/>
        </w:rPr>
      </w:pPr>
      <w:r w:rsidRPr="00CB32AF">
        <w:rPr>
          <w:rFonts w:ascii="Book Antiqua" w:hAnsi="Book Antiqua" w:cs="Arial"/>
        </w:rPr>
        <w:t xml:space="preserve">The Appellant </w:t>
      </w:r>
      <w:r w:rsidR="003847A2" w:rsidRPr="00CB32AF">
        <w:rPr>
          <w:rFonts w:ascii="Book Antiqua" w:hAnsi="Book Antiqua" w:cs="Arial"/>
        </w:rPr>
        <w:t xml:space="preserve">is </w:t>
      </w:r>
      <w:r w:rsidR="007E03D3" w:rsidRPr="00CB32AF">
        <w:rPr>
          <w:rFonts w:ascii="Book Antiqua" w:hAnsi="Book Antiqua" w:cs="Arial"/>
        </w:rPr>
        <w:t>a national</w:t>
      </w:r>
      <w:r w:rsidR="004166D3">
        <w:rPr>
          <w:rFonts w:ascii="Book Antiqua" w:hAnsi="Book Antiqua" w:cs="Arial"/>
        </w:rPr>
        <w:t xml:space="preserve"> of Iraq</w:t>
      </w:r>
      <w:r w:rsidR="00CB32AF" w:rsidRPr="00CB32AF">
        <w:rPr>
          <w:rFonts w:ascii="Book Antiqua" w:hAnsi="Book Antiqua" w:cs="Arial"/>
        </w:rPr>
        <w:t xml:space="preserve"> born o</w:t>
      </w:r>
      <w:r w:rsidR="003847A2" w:rsidRPr="00CB32AF">
        <w:rPr>
          <w:rFonts w:ascii="Book Antiqua" w:hAnsi="Book Antiqua" w:cs="Arial"/>
        </w:rPr>
        <w:t xml:space="preserve">n </w:t>
      </w:r>
      <w:r w:rsidR="00CB32AF" w:rsidRPr="00CB32AF">
        <w:rPr>
          <w:rFonts w:ascii="Book Antiqua" w:hAnsi="Book Antiqua" w:cs="Arial"/>
        </w:rPr>
        <w:t xml:space="preserve">the </w:t>
      </w:r>
      <w:r w:rsidR="004166D3">
        <w:rPr>
          <w:rFonts w:ascii="Book Antiqua" w:hAnsi="Book Antiqua" w:cs="Arial"/>
        </w:rPr>
        <w:t>12</w:t>
      </w:r>
      <w:r w:rsidR="00CB32AF" w:rsidRPr="00CB32AF">
        <w:rPr>
          <w:rFonts w:ascii="Book Antiqua" w:hAnsi="Book Antiqua" w:cs="Arial"/>
          <w:vertAlign w:val="superscript"/>
        </w:rPr>
        <w:t>th</w:t>
      </w:r>
      <w:r w:rsidR="004166D3">
        <w:rPr>
          <w:rFonts w:ascii="Book Antiqua" w:hAnsi="Book Antiqua" w:cs="Arial"/>
        </w:rPr>
        <w:t xml:space="preserve"> October 1972. She</w:t>
      </w:r>
      <w:r w:rsidR="003847A2" w:rsidRPr="00CB32AF">
        <w:rPr>
          <w:rFonts w:ascii="Book Antiqua" w:hAnsi="Book Antiqua" w:cs="Arial"/>
        </w:rPr>
        <w:t xml:space="preserve"> </w:t>
      </w:r>
      <w:r w:rsidRPr="00CB32AF">
        <w:rPr>
          <w:rFonts w:ascii="Book Antiqua" w:hAnsi="Book Antiqua" w:cs="Arial"/>
        </w:rPr>
        <w:t>appeals with permission</w:t>
      </w:r>
      <w:r w:rsidR="004166D3">
        <w:rPr>
          <w:rFonts w:ascii="Book Antiqua" w:hAnsi="Book Antiqua" w:cs="Arial"/>
        </w:rPr>
        <w:t xml:space="preserve"> against</w:t>
      </w:r>
      <w:r w:rsidRPr="00CB32AF">
        <w:rPr>
          <w:rFonts w:ascii="Book Antiqua" w:hAnsi="Book Antiqua" w:cs="Arial"/>
        </w:rPr>
        <w:t xml:space="preserve"> </w:t>
      </w:r>
      <w:r w:rsidR="004166D3">
        <w:rPr>
          <w:rFonts w:ascii="Book Antiqua" w:hAnsi="Book Antiqua" w:cs="Arial"/>
        </w:rPr>
        <w:t xml:space="preserve">the </w:t>
      </w:r>
      <w:r w:rsidRPr="00CB32AF">
        <w:rPr>
          <w:rFonts w:ascii="Book Antiqua" w:hAnsi="Book Antiqua" w:cs="Arial"/>
        </w:rPr>
        <w:t xml:space="preserve">decision of the First-tier Tribunal </w:t>
      </w:r>
      <w:r w:rsidR="003847A2" w:rsidRPr="00CB32AF">
        <w:rPr>
          <w:rFonts w:ascii="Book Antiqua" w:hAnsi="Book Antiqua" w:cs="Arial"/>
        </w:rPr>
        <w:t xml:space="preserve">(Judge </w:t>
      </w:r>
      <w:proofErr w:type="spellStart"/>
      <w:r w:rsidR="004166D3">
        <w:rPr>
          <w:rFonts w:ascii="Book Antiqua" w:hAnsi="Book Antiqua" w:cs="Arial"/>
        </w:rPr>
        <w:t>Ennals</w:t>
      </w:r>
      <w:proofErr w:type="spellEnd"/>
      <w:r w:rsidR="004166D3">
        <w:rPr>
          <w:rFonts w:ascii="Book Antiqua" w:hAnsi="Book Antiqua" w:cs="Arial"/>
        </w:rPr>
        <w:t xml:space="preserve">) to dismiss her human rights appeal. </w:t>
      </w:r>
    </w:p>
    <w:p w:rsidR="004166D3" w:rsidRDefault="004166D3" w:rsidP="004166D3">
      <w:pPr>
        <w:tabs>
          <w:tab w:val="left" w:pos="567"/>
        </w:tabs>
        <w:ind w:left="567" w:right="567"/>
        <w:jc w:val="both"/>
        <w:rPr>
          <w:rFonts w:ascii="Book Antiqua" w:hAnsi="Book Antiqua" w:cs="Arial"/>
        </w:rPr>
      </w:pPr>
    </w:p>
    <w:p w:rsidR="004166D3" w:rsidRDefault="004166D3" w:rsidP="00C869BC">
      <w:pPr>
        <w:numPr>
          <w:ilvl w:val="0"/>
          <w:numId w:val="1"/>
        </w:numPr>
        <w:tabs>
          <w:tab w:val="left" w:pos="567"/>
        </w:tabs>
        <w:ind w:left="567" w:right="567"/>
        <w:jc w:val="both"/>
        <w:rPr>
          <w:rFonts w:ascii="Book Antiqua" w:hAnsi="Book Antiqua" w:cs="Arial"/>
        </w:rPr>
      </w:pPr>
      <w:r>
        <w:rPr>
          <w:rFonts w:ascii="Book Antiqua" w:hAnsi="Book Antiqua" w:cs="Arial"/>
        </w:rPr>
        <w:t xml:space="preserve">The Appellant seeks leave to enter the United Kingdom as the spouse of a person present and settled here. Her husband and sponsor Mr </w:t>
      </w:r>
      <w:proofErr w:type="spellStart"/>
      <w:r>
        <w:rPr>
          <w:rFonts w:ascii="Book Antiqua" w:hAnsi="Book Antiqua" w:cs="Arial"/>
        </w:rPr>
        <w:t>Jafar</w:t>
      </w:r>
      <w:proofErr w:type="spellEnd"/>
      <w:r>
        <w:rPr>
          <w:rFonts w:ascii="Book Antiqua" w:hAnsi="Book Antiqua" w:cs="Arial"/>
        </w:rPr>
        <w:t xml:space="preserve"> </w:t>
      </w:r>
      <w:proofErr w:type="spellStart"/>
      <w:r>
        <w:rPr>
          <w:rFonts w:ascii="Book Antiqua" w:hAnsi="Book Antiqua" w:cs="Arial"/>
        </w:rPr>
        <w:t>Abdoullahi</w:t>
      </w:r>
      <w:proofErr w:type="spellEnd"/>
      <w:r>
        <w:rPr>
          <w:rFonts w:ascii="Book Antiqua" w:hAnsi="Book Antiqua" w:cs="Arial"/>
        </w:rPr>
        <w:t xml:space="preserve"> is a British citizen. The Appellant made her application on the 6</w:t>
      </w:r>
      <w:r w:rsidRPr="004166D3">
        <w:rPr>
          <w:rFonts w:ascii="Book Antiqua" w:hAnsi="Book Antiqua" w:cs="Arial"/>
          <w:vertAlign w:val="superscript"/>
        </w:rPr>
        <w:t>th</w:t>
      </w:r>
      <w:r>
        <w:rPr>
          <w:rFonts w:ascii="Book Antiqua" w:hAnsi="Book Antiqua" w:cs="Arial"/>
        </w:rPr>
        <w:t xml:space="preserve"> March 2016. In accordance with the provisions of Appendix FM-SE her husband submitted a </w:t>
      </w:r>
      <w:r>
        <w:rPr>
          <w:rFonts w:ascii="Book Antiqua" w:hAnsi="Book Antiqua" w:cs="Arial"/>
        </w:rPr>
        <w:lastRenderedPageBreak/>
        <w:t>number of financial documents in support of his assertion that he was at that time earning £21,240 per annum.   The Entry Clearance Officer refused to grant entry clearance on the 23</w:t>
      </w:r>
      <w:r w:rsidRPr="004166D3">
        <w:rPr>
          <w:rFonts w:ascii="Book Antiqua" w:hAnsi="Book Antiqua" w:cs="Arial"/>
          <w:vertAlign w:val="superscript"/>
        </w:rPr>
        <w:t>rd</w:t>
      </w:r>
      <w:r>
        <w:rPr>
          <w:rFonts w:ascii="Book Antiqua" w:hAnsi="Book Antiqua" w:cs="Arial"/>
        </w:rPr>
        <w:t xml:space="preserve"> June 2016. The </w:t>
      </w:r>
      <w:r w:rsidR="002F2603">
        <w:rPr>
          <w:rFonts w:ascii="Book Antiqua" w:hAnsi="Book Antiqua" w:cs="Arial"/>
        </w:rPr>
        <w:t>ECO did not</w:t>
      </w:r>
      <w:r>
        <w:rPr>
          <w:rFonts w:ascii="Book Antiqua" w:hAnsi="Book Antiqua" w:cs="Arial"/>
        </w:rPr>
        <w:t xml:space="preserve"> accept that the Sponsor was employed as claimed</w:t>
      </w:r>
      <w:r w:rsidR="002F2603">
        <w:rPr>
          <w:rFonts w:ascii="Book Antiqua" w:hAnsi="Book Antiqua" w:cs="Arial"/>
        </w:rPr>
        <w:t xml:space="preserve">. Some of the documents were missing, </w:t>
      </w:r>
      <w:r w:rsidR="00575A1F">
        <w:rPr>
          <w:rFonts w:ascii="Book Antiqua" w:hAnsi="Book Antiqua" w:cs="Arial"/>
        </w:rPr>
        <w:t>and verification</w:t>
      </w:r>
      <w:r>
        <w:rPr>
          <w:rFonts w:ascii="Book Antiqua" w:hAnsi="Book Antiqua" w:cs="Arial"/>
        </w:rPr>
        <w:t xml:space="preserve"> checks with the HMRC had shown </w:t>
      </w:r>
      <w:r w:rsidR="002F2603">
        <w:rPr>
          <w:rFonts w:ascii="Book Antiqua" w:hAnsi="Book Antiqua" w:cs="Arial"/>
        </w:rPr>
        <w:t xml:space="preserve">that Mr </w:t>
      </w:r>
      <w:proofErr w:type="spellStart"/>
      <w:r w:rsidR="002F2603">
        <w:rPr>
          <w:rFonts w:ascii="Book Antiqua" w:hAnsi="Book Antiqua" w:cs="Arial"/>
        </w:rPr>
        <w:t>Abdoullahi</w:t>
      </w:r>
      <w:proofErr w:type="spellEnd"/>
      <w:r>
        <w:rPr>
          <w:rFonts w:ascii="Book Antiqua" w:hAnsi="Book Antiqua" w:cs="Arial"/>
        </w:rPr>
        <w:t xml:space="preserve"> had earned significantly less </w:t>
      </w:r>
      <w:r w:rsidR="002F2603">
        <w:rPr>
          <w:rFonts w:ascii="Book Antiqua" w:hAnsi="Book Antiqua" w:cs="Arial"/>
        </w:rPr>
        <w:t xml:space="preserve">in the same role in the previous year, thus casting doubt on his claimed employment.  The ECO further notes that the letter confirming the Sponsor’s employment contained “many spelling mistakes”. </w:t>
      </w:r>
    </w:p>
    <w:p w:rsidR="002F2603" w:rsidRDefault="002F2603" w:rsidP="002F2603">
      <w:pPr>
        <w:pStyle w:val="ListParagraph"/>
        <w:rPr>
          <w:rFonts w:ascii="Book Antiqua" w:hAnsi="Book Antiqua" w:cs="Arial"/>
        </w:rPr>
      </w:pPr>
    </w:p>
    <w:p w:rsidR="002F2603" w:rsidRDefault="002F2603" w:rsidP="00C869BC">
      <w:pPr>
        <w:numPr>
          <w:ilvl w:val="0"/>
          <w:numId w:val="1"/>
        </w:numPr>
        <w:tabs>
          <w:tab w:val="left" w:pos="567"/>
        </w:tabs>
        <w:ind w:left="567" w:right="567"/>
        <w:jc w:val="both"/>
        <w:rPr>
          <w:rFonts w:ascii="Book Antiqua" w:hAnsi="Book Antiqua" w:cs="Arial"/>
        </w:rPr>
      </w:pPr>
      <w:r>
        <w:rPr>
          <w:rFonts w:ascii="Book Antiqua" w:hAnsi="Book Antiqua" w:cs="Arial"/>
        </w:rPr>
        <w:t>The appeal came before the First-tier Tribunal on the 29</w:t>
      </w:r>
      <w:r w:rsidRPr="002F2603">
        <w:rPr>
          <w:rFonts w:ascii="Book Antiqua" w:hAnsi="Book Antiqua" w:cs="Arial"/>
          <w:vertAlign w:val="superscript"/>
        </w:rPr>
        <w:t>th</w:t>
      </w:r>
      <w:r>
        <w:rPr>
          <w:rFonts w:ascii="Book Antiqua" w:hAnsi="Book Antiqua" w:cs="Arial"/>
        </w:rPr>
        <w:t xml:space="preserve"> September 2017. By its written decision of the 10</w:t>
      </w:r>
      <w:r w:rsidRPr="002F2603">
        <w:rPr>
          <w:rFonts w:ascii="Book Antiqua" w:hAnsi="Book Antiqua" w:cs="Arial"/>
          <w:vertAlign w:val="superscript"/>
        </w:rPr>
        <w:t>th</w:t>
      </w:r>
      <w:r>
        <w:rPr>
          <w:rFonts w:ascii="Book Antiqua" w:hAnsi="Book Antiqua" w:cs="Arial"/>
        </w:rPr>
        <w:t xml:space="preserve"> October 2017 the Tribunal found as follows:</w:t>
      </w:r>
    </w:p>
    <w:p w:rsidR="002F2603" w:rsidRDefault="002F2603" w:rsidP="002F2603">
      <w:pPr>
        <w:pStyle w:val="ListParagraph"/>
        <w:rPr>
          <w:rFonts w:ascii="Book Antiqua" w:hAnsi="Book Antiqua" w:cs="Arial"/>
        </w:rPr>
      </w:pPr>
    </w:p>
    <w:p w:rsidR="002F2603" w:rsidRDefault="002F2603" w:rsidP="002F2603">
      <w:pPr>
        <w:numPr>
          <w:ilvl w:val="0"/>
          <w:numId w:val="23"/>
        </w:numPr>
        <w:tabs>
          <w:tab w:val="left" w:pos="567"/>
        </w:tabs>
        <w:ind w:right="567"/>
        <w:jc w:val="both"/>
        <w:rPr>
          <w:rFonts w:ascii="Book Antiqua" w:hAnsi="Book Antiqua" w:cs="Arial"/>
        </w:rPr>
      </w:pPr>
      <w:r>
        <w:rPr>
          <w:rFonts w:ascii="Book Antiqua" w:hAnsi="Book Antiqua" w:cs="Arial"/>
        </w:rPr>
        <w:t>The ECO was wrong to state that the Sponsor’s payslips for November 2015 and February 2016 were missing. They were in the ECO’s own bundle;</w:t>
      </w:r>
    </w:p>
    <w:p w:rsidR="002F2603" w:rsidRDefault="002F2603" w:rsidP="002F2603">
      <w:pPr>
        <w:tabs>
          <w:tab w:val="left" w:pos="567"/>
        </w:tabs>
        <w:ind w:left="2163" w:right="567"/>
        <w:jc w:val="both"/>
        <w:rPr>
          <w:rFonts w:ascii="Book Antiqua" w:hAnsi="Book Antiqua" w:cs="Arial"/>
        </w:rPr>
      </w:pPr>
    </w:p>
    <w:p w:rsidR="002F2603" w:rsidRDefault="002F2603" w:rsidP="002F2603">
      <w:pPr>
        <w:numPr>
          <w:ilvl w:val="0"/>
          <w:numId w:val="23"/>
        </w:numPr>
        <w:tabs>
          <w:tab w:val="left" w:pos="567"/>
        </w:tabs>
        <w:ind w:right="567"/>
        <w:jc w:val="both"/>
        <w:rPr>
          <w:rFonts w:ascii="Book Antiqua" w:hAnsi="Book Antiqua" w:cs="Arial"/>
        </w:rPr>
      </w:pPr>
      <w:r>
        <w:rPr>
          <w:rFonts w:ascii="Book Antiqua" w:hAnsi="Book Antiqua" w:cs="Arial"/>
        </w:rPr>
        <w:t>The ECO was wrong to state that the Sponsor’s bank statements for November 2015 and February 2016 were missing. They were in the ECO’s own bundle;</w:t>
      </w:r>
    </w:p>
    <w:p w:rsidR="002F2603" w:rsidRDefault="002F2603" w:rsidP="002F2603">
      <w:pPr>
        <w:pStyle w:val="ListParagraph"/>
        <w:rPr>
          <w:rFonts w:ascii="Book Antiqua" w:hAnsi="Book Antiqua" w:cs="Arial"/>
        </w:rPr>
      </w:pPr>
    </w:p>
    <w:p w:rsidR="002F2603" w:rsidRDefault="002F2603" w:rsidP="002F2603">
      <w:pPr>
        <w:numPr>
          <w:ilvl w:val="0"/>
          <w:numId w:val="23"/>
        </w:numPr>
        <w:tabs>
          <w:tab w:val="left" w:pos="567"/>
        </w:tabs>
        <w:ind w:right="567"/>
        <w:jc w:val="both"/>
        <w:rPr>
          <w:rFonts w:ascii="Book Antiqua" w:hAnsi="Book Antiqua" w:cs="Arial"/>
        </w:rPr>
      </w:pPr>
      <w:r>
        <w:rPr>
          <w:rFonts w:ascii="Book Antiqua" w:hAnsi="Book Antiqua" w:cs="Arial"/>
        </w:rPr>
        <w:t xml:space="preserve">The ECO was wrong to draw negative inference from the disparity in earnings between the year 14/15 and the year 15/16. The HMRC record showed the Sponsor to have earned, in the year April 2014-April 2015, only £1770 from his employment with </w:t>
      </w:r>
      <w:proofErr w:type="spellStart"/>
      <w:r>
        <w:rPr>
          <w:rFonts w:ascii="Book Antiqua" w:hAnsi="Book Antiqua" w:cs="Arial"/>
        </w:rPr>
        <w:t>Foodline</w:t>
      </w:r>
      <w:proofErr w:type="spellEnd"/>
      <w:r>
        <w:rPr>
          <w:rFonts w:ascii="Book Antiqua" w:hAnsi="Book Antiqua" w:cs="Arial"/>
        </w:rPr>
        <w:t xml:space="preserve"> Cash and Carry, but this was because he had only started the job in February 2015;</w:t>
      </w:r>
    </w:p>
    <w:p w:rsidR="002F2603" w:rsidRDefault="002F2603" w:rsidP="002F2603">
      <w:pPr>
        <w:pStyle w:val="ListParagraph"/>
        <w:rPr>
          <w:rFonts w:ascii="Book Antiqua" w:hAnsi="Book Antiqua" w:cs="Arial"/>
        </w:rPr>
      </w:pPr>
    </w:p>
    <w:p w:rsidR="002F2603" w:rsidRDefault="002F2603" w:rsidP="002F2603">
      <w:pPr>
        <w:numPr>
          <w:ilvl w:val="0"/>
          <w:numId w:val="23"/>
        </w:numPr>
        <w:tabs>
          <w:tab w:val="left" w:pos="567"/>
        </w:tabs>
        <w:ind w:right="567"/>
        <w:jc w:val="both"/>
        <w:rPr>
          <w:rFonts w:ascii="Book Antiqua" w:hAnsi="Book Antiqua" w:cs="Arial"/>
        </w:rPr>
      </w:pPr>
      <w:r>
        <w:rPr>
          <w:rFonts w:ascii="Book Antiqua" w:hAnsi="Book Antiqua" w:cs="Arial"/>
        </w:rPr>
        <w:t>The letter containing the spelling mistakes had not been produced. The Sponsor had however produced a letter from his employer’s accountant confirming his employment and earnings;</w:t>
      </w:r>
    </w:p>
    <w:p w:rsidR="002F2603" w:rsidRDefault="002F2603" w:rsidP="002F2603">
      <w:pPr>
        <w:pStyle w:val="ListParagraph"/>
        <w:rPr>
          <w:rFonts w:ascii="Book Antiqua" w:hAnsi="Book Antiqua" w:cs="Arial"/>
        </w:rPr>
      </w:pPr>
    </w:p>
    <w:p w:rsidR="002F2603" w:rsidRDefault="002F2603" w:rsidP="002F2603">
      <w:pPr>
        <w:numPr>
          <w:ilvl w:val="0"/>
          <w:numId w:val="23"/>
        </w:numPr>
        <w:tabs>
          <w:tab w:val="left" w:pos="567"/>
        </w:tabs>
        <w:ind w:right="567"/>
        <w:jc w:val="both"/>
        <w:rPr>
          <w:rFonts w:ascii="Book Antiqua" w:hAnsi="Book Antiqua" w:cs="Arial"/>
        </w:rPr>
      </w:pPr>
      <w:r>
        <w:rPr>
          <w:rFonts w:ascii="Book Antiqua" w:hAnsi="Book Antiqua" w:cs="Arial"/>
        </w:rPr>
        <w:t xml:space="preserve">Despite some discrepancy in the evidence regarding when the Sponsor left </w:t>
      </w:r>
      <w:proofErr w:type="spellStart"/>
      <w:r>
        <w:rPr>
          <w:rFonts w:ascii="Book Antiqua" w:hAnsi="Book Antiqua" w:cs="Arial"/>
        </w:rPr>
        <w:t>Foodline</w:t>
      </w:r>
      <w:proofErr w:type="spellEnd"/>
      <w:r>
        <w:rPr>
          <w:rFonts w:ascii="Book Antiqua" w:hAnsi="Book Antiqua" w:cs="Arial"/>
        </w:rPr>
        <w:t xml:space="preserve"> Cash and Carry the Tribunal was satisfied on the balance of probabilities that the Sponsor had been employed there during the operative time, and that he had </w:t>
      </w:r>
      <w:r w:rsidR="00951D1B">
        <w:rPr>
          <w:rFonts w:ascii="Book Antiqua" w:hAnsi="Book Antiqua" w:cs="Arial"/>
        </w:rPr>
        <w:t>been earning the money claimed, namely £21, 240</w:t>
      </w:r>
      <w:r w:rsidR="00F96A6E">
        <w:rPr>
          <w:rFonts w:ascii="Book Antiqua" w:hAnsi="Book Antiqua" w:cs="Arial"/>
        </w:rPr>
        <w:t xml:space="preserve"> per annum</w:t>
      </w:r>
      <w:r w:rsidR="00951D1B">
        <w:rPr>
          <w:rFonts w:ascii="Book Antiqua" w:hAnsi="Book Antiqua" w:cs="Arial"/>
        </w:rPr>
        <w:t>;</w:t>
      </w:r>
    </w:p>
    <w:p w:rsidR="00951D1B" w:rsidRDefault="00951D1B" w:rsidP="00951D1B">
      <w:pPr>
        <w:pStyle w:val="ListParagraph"/>
        <w:rPr>
          <w:rFonts w:ascii="Book Antiqua" w:hAnsi="Book Antiqua" w:cs="Arial"/>
        </w:rPr>
      </w:pPr>
    </w:p>
    <w:p w:rsidR="00951D1B" w:rsidRDefault="00951D1B" w:rsidP="002F2603">
      <w:pPr>
        <w:numPr>
          <w:ilvl w:val="0"/>
          <w:numId w:val="23"/>
        </w:numPr>
        <w:tabs>
          <w:tab w:val="left" w:pos="567"/>
        </w:tabs>
        <w:ind w:right="567"/>
        <w:jc w:val="both"/>
        <w:rPr>
          <w:rFonts w:ascii="Book Antiqua" w:hAnsi="Book Antiqua" w:cs="Arial"/>
        </w:rPr>
      </w:pPr>
      <w:r>
        <w:rPr>
          <w:rFonts w:ascii="Book Antiqua" w:hAnsi="Book Antiqua" w:cs="Arial"/>
        </w:rPr>
        <w:t xml:space="preserve">Since the Sponsor’s earnings had been the only matter in issue it followed that the Appellant had demonstrated, on the balance of probabilities, that she met the requirements of the rule at the date of </w:t>
      </w:r>
      <w:r w:rsidR="001E79EF">
        <w:rPr>
          <w:rFonts w:ascii="Book Antiqua" w:hAnsi="Book Antiqua" w:cs="Arial"/>
        </w:rPr>
        <w:t xml:space="preserve">the Respondent’s </w:t>
      </w:r>
      <w:r>
        <w:rPr>
          <w:rFonts w:ascii="Book Antiqua" w:hAnsi="Book Antiqua" w:cs="Arial"/>
        </w:rPr>
        <w:t>decision</w:t>
      </w:r>
      <w:r w:rsidR="00350583">
        <w:rPr>
          <w:rFonts w:ascii="Book Antiqua" w:hAnsi="Book Antiqua" w:cs="Arial"/>
        </w:rPr>
        <w:t xml:space="preserve"> in June 2016</w:t>
      </w:r>
      <w:r>
        <w:rPr>
          <w:rFonts w:ascii="Book Antiqua" w:hAnsi="Book Antiqua" w:cs="Arial"/>
        </w:rPr>
        <w:t>.</w:t>
      </w:r>
    </w:p>
    <w:p w:rsidR="002F2603" w:rsidRPr="00951D1B" w:rsidRDefault="002F2603" w:rsidP="00951D1B">
      <w:pPr>
        <w:tabs>
          <w:tab w:val="left" w:pos="567"/>
        </w:tabs>
        <w:ind w:right="567"/>
        <w:jc w:val="both"/>
        <w:rPr>
          <w:rFonts w:ascii="Book Antiqua" w:hAnsi="Book Antiqua" w:cs="Arial"/>
        </w:rPr>
      </w:pPr>
    </w:p>
    <w:p w:rsidR="00265D5A" w:rsidRDefault="00350583" w:rsidP="00AB406F">
      <w:pPr>
        <w:numPr>
          <w:ilvl w:val="0"/>
          <w:numId w:val="1"/>
        </w:numPr>
        <w:tabs>
          <w:tab w:val="left" w:pos="567"/>
        </w:tabs>
        <w:ind w:left="567" w:right="567"/>
        <w:jc w:val="both"/>
        <w:rPr>
          <w:rFonts w:ascii="Book Antiqua" w:hAnsi="Book Antiqua" w:cs="Arial"/>
        </w:rPr>
      </w:pPr>
      <w:r>
        <w:rPr>
          <w:rFonts w:ascii="Book Antiqua" w:hAnsi="Book Antiqua" w:cs="Arial"/>
        </w:rPr>
        <w:t xml:space="preserve">Having made that finding the Tribunal went on to consider events since the decision was taken.  Mr </w:t>
      </w:r>
      <w:proofErr w:type="spellStart"/>
      <w:r>
        <w:rPr>
          <w:rFonts w:ascii="Book Antiqua" w:hAnsi="Book Antiqua" w:cs="Arial"/>
        </w:rPr>
        <w:t>Abdoullahi</w:t>
      </w:r>
      <w:proofErr w:type="spellEnd"/>
      <w:r>
        <w:rPr>
          <w:rFonts w:ascii="Book Antiqua" w:hAnsi="Book Antiqua" w:cs="Arial"/>
        </w:rPr>
        <w:t xml:space="preserve"> had left his employment with </w:t>
      </w:r>
      <w:proofErr w:type="spellStart"/>
      <w:r>
        <w:rPr>
          <w:rFonts w:ascii="Book Antiqua" w:hAnsi="Book Antiqua" w:cs="Arial"/>
        </w:rPr>
        <w:t>Foodline</w:t>
      </w:r>
      <w:proofErr w:type="spellEnd"/>
      <w:r>
        <w:rPr>
          <w:rFonts w:ascii="Book Antiqua" w:hAnsi="Book Antiqua" w:cs="Arial"/>
        </w:rPr>
        <w:t xml:space="preserve"> Cash and Carry in April 2016. His tax records show that for the year that followed (16/17) he only worked intermittently. He had in total been unemployed for </w:t>
      </w:r>
      <w:r>
        <w:rPr>
          <w:rFonts w:ascii="Book Antiqua" w:hAnsi="Book Antiqua" w:cs="Arial"/>
        </w:rPr>
        <w:lastRenderedPageBreak/>
        <w:t>approximately five months during that year.   In the year from April 2017 he had, by the date</w:t>
      </w:r>
      <w:r w:rsidR="00C34CAD">
        <w:rPr>
          <w:rFonts w:ascii="Book Antiqua" w:hAnsi="Book Antiqua" w:cs="Arial"/>
        </w:rPr>
        <w:t xml:space="preserve"> of the appeal in September, </w:t>
      </w:r>
      <w:r>
        <w:rPr>
          <w:rFonts w:ascii="Book Antiqua" w:hAnsi="Book Antiqua" w:cs="Arial"/>
        </w:rPr>
        <w:t>earned</w:t>
      </w:r>
      <w:r w:rsidR="00C34CAD">
        <w:rPr>
          <w:rFonts w:ascii="Book Antiqua" w:hAnsi="Book Antiqua" w:cs="Arial"/>
        </w:rPr>
        <w:t xml:space="preserve"> only</w:t>
      </w:r>
      <w:r>
        <w:rPr>
          <w:rFonts w:ascii="Book Antiqua" w:hAnsi="Book Antiqua" w:cs="Arial"/>
        </w:rPr>
        <w:t xml:space="preserve"> £1337.93. The Sponsor had given evidence at the hearing that he had recently o</w:t>
      </w:r>
      <w:r w:rsidR="00C34CAD">
        <w:rPr>
          <w:rFonts w:ascii="Book Antiqua" w:hAnsi="Book Antiqua" w:cs="Arial"/>
        </w:rPr>
        <w:t xml:space="preserve">btained a well-paid driving job but the Tribunal expressed great concern about that, given that the file contained a letter from Dr Tim </w:t>
      </w:r>
      <w:proofErr w:type="spellStart"/>
      <w:r w:rsidR="00C34CAD">
        <w:rPr>
          <w:rFonts w:ascii="Book Antiqua" w:hAnsi="Book Antiqua" w:cs="Arial"/>
        </w:rPr>
        <w:t>Gray</w:t>
      </w:r>
      <w:proofErr w:type="spellEnd"/>
      <w:r w:rsidR="00C34CAD">
        <w:rPr>
          <w:rFonts w:ascii="Book Antiqua" w:hAnsi="Book Antiqua" w:cs="Arial"/>
        </w:rPr>
        <w:t>, Consultant Cardiologist at the Fairfield General Hospital, indicating that he had been compelled to write to DVLA informing them that the Sponsor is not well enough to drive.  From this the Tribunal concludes:</w:t>
      </w:r>
    </w:p>
    <w:p w:rsidR="00C34CAD" w:rsidRDefault="00C34CAD" w:rsidP="00C34CAD">
      <w:pPr>
        <w:tabs>
          <w:tab w:val="left" w:pos="567"/>
        </w:tabs>
        <w:ind w:left="567" w:right="567"/>
        <w:jc w:val="both"/>
        <w:rPr>
          <w:rFonts w:ascii="Book Antiqua" w:hAnsi="Book Antiqua" w:cs="Arial"/>
        </w:rPr>
      </w:pPr>
    </w:p>
    <w:p w:rsidR="00C34CAD" w:rsidRDefault="00C34CAD" w:rsidP="00C34CAD">
      <w:pPr>
        <w:tabs>
          <w:tab w:val="left" w:pos="567"/>
        </w:tabs>
        <w:ind w:left="1134" w:right="1134"/>
        <w:jc w:val="both"/>
        <w:rPr>
          <w:rFonts w:ascii="Book Antiqua" w:hAnsi="Book Antiqua" w:cs="Arial"/>
        </w:rPr>
      </w:pPr>
      <w:r>
        <w:rPr>
          <w:rFonts w:ascii="Book Antiqua" w:hAnsi="Book Antiqua" w:cs="Arial"/>
        </w:rPr>
        <w:t>“It is clear that while the appellant may have met the financial requirements in June 2016, he certainly would not have done in September 2017, and is not in a position to safely continue his current driving job, however well paid that might be”.</w:t>
      </w:r>
    </w:p>
    <w:p w:rsidR="00350583" w:rsidRDefault="00350583" w:rsidP="00350583">
      <w:pPr>
        <w:tabs>
          <w:tab w:val="left" w:pos="567"/>
        </w:tabs>
        <w:ind w:left="567" w:right="567"/>
        <w:jc w:val="both"/>
        <w:rPr>
          <w:rFonts w:ascii="Book Antiqua" w:hAnsi="Book Antiqua" w:cs="Arial"/>
        </w:rPr>
      </w:pPr>
    </w:p>
    <w:p w:rsidR="00C34CAD" w:rsidRDefault="00C34CAD" w:rsidP="00AB406F">
      <w:pPr>
        <w:numPr>
          <w:ilvl w:val="0"/>
          <w:numId w:val="1"/>
        </w:numPr>
        <w:tabs>
          <w:tab w:val="left" w:pos="567"/>
        </w:tabs>
        <w:ind w:left="567" w:right="567"/>
        <w:jc w:val="both"/>
        <w:rPr>
          <w:rFonts w:ascii="Book Antiqua" w:hAnsi="Book Antiqua" w:cs="Arial"/>
        </w:rPr>
      </w:pPr>
      <w:r>
        <w:rPr>
          <w:rFonts w:ascii="Book Antiqua" w:hAnsi="Book Antiqua" w:cs="Arial"/>
        </w:rPr>
        <w:t>Turning to consider Article 8 the Tribunal weighs a number of factors in the balance (to which I return below) before dismissing the appeal on the grounds that the refusal is not a disproportionate interference with the Appellant’s Article 8 rights.</w:t>
      </w:r>
    </w:p>
    <w:p w:rsidR="00C34CAD" w:rsidRDefault="00C34CAD" w:rsidP="00C34CAD">
      <w:pPr>
        <w:tabs>
          <w:tab w:val="left" w:pos="567"/>
        </w:tabs>
        <w:ind w:left="567" w:right="567"/>
        <w:jc w:val="both"/>
        <w:rPr>
          <w:rFonts w:ascii="Book Antiqua" w:hAnsi="Book Antiqua" w:cs="Arial"/>
        </w:rPr>
      </w:pPr>
    </w:p>
    <w:p w:rsidR="00C34CAD" w:rsidRDefault="00C34CAD" w:rsidP="00AB406F">
      <w:pPr>
        <w:numPr>
          <w:ilvl w:val="0"/>
          <w:numId w:val="1"/>
        </w:numPr>
        <w:tabs>
          <w:tab w:val="left" w:pos="567"/>
        </w:tabs>
        <w:ind w:left="567" w:right="567"/>
        <w:jc w:val="both"/>
        <w:rPr>
          <w:rFonts w:ascii="Book Antiqua" w:hAnsi="Book Antiqua" w:cs="Arial"/>
        </w:rPr>
      </w:pPr>
      <w:r>
        <w:rPr>
          <w:rFonts w:ascii="Book Antiqua" w:hAnsi="Book Antiqua" w:cs="Arial"/>
        </w:rPr>
        <w:t xml:space="preserve">The Appellant now appeals on the grounds that since she had shown herself to meet the requirements of the Rule at the date of decision, the appeal should have been allowed. Before me Mr </w:t>
      </w:r>
      <w:proofErr w:type="spellStart"/>
      <w:r>
        <w:rPr>
          <w:rFonts w:ascii="Book Antiqua" w:hAnsi="Book Antiqua" w:cs="Arial"/>
        </w:rPr>
        <w:t>Moksud</w:t>
      </w:r>
      <w:proofErr w:type="spellEnd"/>
      <w:r>
        <w:rPr>
          <w:rFonts w:ascii="Book Antiqua" w:hAnsi="Book Antiqua" w:cs="Arial"/>
        </w:rPr>
        <w:t xml:space="preserve"> refined that somewhat so that the </w:t>
      </w:r>
      <w:r w:rsidR="006F627E">
        <w:rPr>
          <w:rFonts w:ascii="Book Antiqua" w:hAnsi="Book Antiqua" w:cs="Arial"/>
        </w:rPr>
        <w:t>ground split into two limbs:</w:t>
      </w:r>
    </w:p>
    <w:p w:rsidR="006F627E" w:rsidRDefault="006F627E" w:rsidP="006F627E">
      <w:pPr>
        <w:pStyle w:val="ListParagraph"/>
        <w:rPr>
          <w:rFonts w:ascii="Book Antiqua" w:hAnsi="Book Antiqua" w:cs="Arial"/>
        </w:rPr>
      </w:pPr>
    </w:p>
    <w:p w:rsidR="006F627E" w:rsidRDefault="006F627E" w:rsidP="006F627E">
      <w:pPr>
        <w:numPr>
          <w:ilvl w:val="0"/>
          <w:numId w:val="24"/>
        </w:numPr>
        <w:tabs>
          <w:tab w:val="left" w:pos="567"/>
        </w:tabs>
        <w:ind w:right="567"/>
        <w:jc w:val="both"/>
        <w:rPr>
          <w:rFonts w:ascii="Book Antiqua" w:hAnsi="Book Antiqua" w:cs="Arial"/>
        </w:rPr>
      </w:pPr>
      <w:r>
        <w:rPr>
          <w:rFonts w:ascii="Book Antiqua" w:hAnsi="Book Antiqua" w:cs="Arial"/>
        </w:rPr>
        <w:t>Was the effect of the positive finding on Appendix FM determinative of the appeal;</w:t>
      </w:r>
    </w:p>
    <w:p w:rsidR="006F627E" w:rsidRDefault="006F627E" w:rsidP="006F627E">
      <w:pPr>
        <w:tabs>
          <w:tab w:val="left" w:pos="567"/>
        </w:tabs>
        <w:ind w:left="1803" w:right="567"/>
        <w:jc w:val="both"/>
        <w:rPr>
          <w:rFonts w:ascii="Book Antiqua" w:hAnsi="Book Antiqua" w:cs="Arial"/>
        </w:rPr>
      </w:pPr>
    </w:p>
    <w:p w:rsidR="006F627E" w:rsidRDefault="006F627E" w:rsidP="006F627E">
      <w:pPr>
        <w:numPr>
          <w:ilvl w:val="0"/>
          <w:numId w:val="24"/>
        </w:numPr>
        <w:tabs>
          <w:tab w:val="left" w:pos="567"/>
        </w:tabs>
        <w:ind w:right="567"/>
        <w:jc w:val="both"/>
        <w:rPr>
          <w:rFonts w:ascii="Book Antiqua" w:hAnsi="Book Antiqua" w:cs="Arial"/>
        </w:rPr>
      </w:pPr>
      <w:r>
        <w:rPr>
          <w:rFonts w:ascii="Book Antiqua" w:hAnsi="Book Antiqua" w:cs="Arial"/>
        </w:rPr>
        <w:t>If not did the Tribunal nevertheless err in failing to weigh that matter in the balance in the overall proportionality assessment?</w:t>
      </w:r>
    </w:p>
    <w:p w:rsidR="00C34CAD" w:rsidRDefault="00C34CAD" w:rsidP="00C34CAD">
      <w:pPr>
        <w:tabs>
          <w:tab w:val="left" w:pos="567"/>
        </w:tabs>
        <w:ind w:left="567" w:right="567"/>
        <w:jc w:val="both"/>
        <w:rPr>
          <w:rFonts w:ascii="Book Antiqua" w:hAnsi="Book Antiqua" w:cs="Arial"/>
        </w:rPr>
      </w:pPr>
    </w:p>
    <w:p w:rsidR="006F627E" w:rsidRPr="006F627E" w:rsidRDefault="006F627E" w:rsidP="00C34CAD">
      <w:pPr>
        <w:tabs>
          <w:tab w:val="left" w:pos="567"/>
        </w:tabs>
        <w:ind w:left="567" w:right="567"/>
        <w:jc w:val="both"/>
        <w:rPr>
          <w:rFonts w:ascii="Book Antiqua" w:hAnsi="Book Antiqua" w:cs="Arial"/>
          <w:b/>
        </w:rPr>
      </w:pPr>
      <w:r w:rsidRPr="006F627E">
        <w:rPr>
          <w:rFonts w:ascii="Book Antiqua" w:hAnsi="Book Antiqua" w:cs="Arial"/>
          <w:b/>
        </w:rPr>
        <w:t>Legal Framework</w:t>
      </w:r>
    </w:p>
    <w:p w:rsidR="006F627E" w:rsidRDefault="006F627E" w:rsidP="00C34CAD">
      <w:pPr>
        <w:tabs>
          <w:tab w:val="left" w:pos="567"/>
        </w:tabs>
        <w:ind w:left="567" w:right="567"/>
        <w:jc w:val="both"/>
        <w:rPr>
          <w:rFonts w:ascii="Book Antiqua" w:hAnsi="Book Antiqua" w:cs="Arial"/>
        </w:rPr>
      </w:pPr>
      <w:bookmarkStart w:id="1" w:name="_Hlk522515201"/>
    </w:p>
    <w:p w:rsidR="004166D3" w:rsidRDefault="00AB406F" w:rsidP="00DD0774">
      <w:pPr>
        <w:numPr>
          <w:ilvl w:val="0"/>
          <w:numId w:val="1"/>
        </w:numPr>
        <w:tabs>
          <w:tab w:val="left" w:pos="567"/>
        </w:tabs>
        <w:ind w:left="567" w:right="567"/>
        <w:jc w:val="both"/>
        <w:rPr>
          <w:rFonts w:ascii="Book Antiqua" w:hAnsi="Book Antiqua" w:cs="Arial"/>
        </w:rPr>
      </w:pPr>
      <w:r w:rsidRPr="004C0341">
        <w:rPr>
          <w:rFonts w:ascii="Book Antiqua" w:hAnsi="Book Antiqua" w:cs="Arial"/>
        </w:rPr>
        <w:t>Section 82 of the Nationality, Immigration and Asylum Act 2002 (as amended) provides that a person may appeal to the Tribunal where the Secretary of State has decided to refuse a human ri</w:t>
      </w:r>
      <w:r w:rsidR="004C0341" w:rsidRPr="004C0341">
        <w:rPr>
          <w:rFonts w:ascii="Book Antiqua" w:hAnsi="Book Antiqua" w:cs="Arial"/>
        </w:rPr>
        <w:t>ghts claim</w:t>
      </w:r>
      <w:r w:rsidR="004C0341">
        <w:rPr>
          <w:rFonts w:ascii="Book Antiqua" w:hAnsi="Book Antiqua" w:cs="Arial"/>
        </w:rPr>
        <w:t xml:space="preserve"> (emphasis added)</w:t>
      </w:r>
      <w:r w:rsidR="004C0341" w:rsidRPr="004C0341">
        <w:rPr>
          <w:rFonts w:ascii="Book Antiqua" w:hAnsi="Book Antiqua" w:cs="Arial"/>
        </w:rPr>
        <w:t>:</w:t>
      </w:r>
      <w:r w:rsidRPr="004C0341">
        <w:rPr>
          <w:rFonts w:ascii="Book Antiqua" w:hAnsi="Book Antiqua" w:cs="Arial"/>
        </w:rPr>
        <w:t xml:space="preserve"> </w:t>
      </w:r>
    </w:p>
    <w:p w:rsidR="004C0341" w:rsidRDefault="004C0341" w:rsidP="004C0341">
      <w:pPr>
        <w:tabs>
          <w:tab w:val="left" w:pos="567"/>
        </w:tabs>
        <w:ind w:left="567" w:right="567"/>
        <w:jc w:val="both"/>
        <w:rPr>
          <w:rFonts w:ascii="Book Antiqua" w:hAnsi="Book Antiqua" w:cs="Arial"/>
        </w:rPr>
      </w:pPr>
    </w:p>
    <w:p w:rsidR="004C0341" w:rsidRPr="00AB406F" w:rsidRDefault="004C0341" w:rsidP="004C0341">
      <w:pPr>
        <w:shd w:val="clear" w:color="auto" w:fill="FFFFFF"/>
        <w:spacing w:line="288" w:lineRule="atLeast"/>
        <w:ind w:left="1134" w:right="1134"/>
        <w:outlineLvl w:val="4"/>
        <w:rPr>
          <w:rFonts w:ascii="Book Antiqua" w:eastAsia="Times New Roman" w:hAnsi="Book Antiqua" w:cs="Arial"/>
          <w:b/>
          <w:color w:val="000000"/>
          <w:sz w:val="20"/>
          <w:szCs w:val="20"/>
          <w:lang w:val="en"/>
        </w:rPr>
      </w:pPr>
      <w:r w:rsidRPr="00AB406F">
        <w:rPr>
          <w:rFonts w:ascii="Book Antiqua" w:eastAsia="Times New Roman" w:hAnsi="Book Antiqua" w:cs="Arial"/>
          <w:b/>
          <w:color w:val="000000"/>
          <w:sz w:val="20"/>
          <w:szCs w:val="20"/>
          <w:lang w:val="en"/>
        </w:rPr>
        <w:t>82 Right of appeal to the Tribunal</w:t>
      </w:r>
    </w:p>
    <w:p w:rsidR="004C0341" w:rsidRPr="00265D5A" w:rsidRDefault="004C0341" w:rsidP="004C0341">
      <w:pPr>
        <w:shd w:val="clear" w:color="auto" w:fill="FFFFFF"/>
        <w:spacing w:line="288" w:lineRule="atLeast"/>
        <w:ind w:left="1134" w:right="1134"/>
        <w:outlineLvl w:val="4"/>
        <w:rPr>
          <w:rFonts w:ascii="Book Antiqua" w:eastAsia="Times New Roman" w:hAnsi="Book Antiqua" w:cs="Arial"/>
          <w:color w:val="000000"/>
          <w:sz w:val="20"/>
          <w:szCs w:val="20"/>
          <w:lang w:val="en"/>
        </w:rPr>
      </w:pPr>
    </w:p>
    <w:p w:rsidR="004C0341" w:rsidRPr="00265D5A" w:rsidRDefault="004C0341" w:rsidP="004C0341">
      <w:pPr>
        <w:shd w:val="clear" w:color="auto" w:fill="FFFFFF"/>
        <w:spacing w:after="120" w:line="360" w:lineRule="atLeast"/>
        <w:ind w:left="1134" w:right="1134"/>
        <w:rPr>
          <w:rFonts w:ascii="Book Antiqua" w:eastAsia="Times New Roman" w:hAnsi="Book Antiqua" w:cs="Arial"/>
          <w:color w:val="000000"/>
          <w:sz w:val="20"/>
          <w:szCs w:val="20"/>
          <w:lang w:val="en"/>
        </w:rPr>
      </w:pPr>
      <w:r w:rsidRPr="00265D5A">
        <w:rPr>
          <w:rFonts w:ascii="Book Antiqua" w:eastAsia="Times New Roman" w:hAnsi="Book Antiqua" w:cs="Arial"/>
          <w:color w:val="000000"/>
          <w:sz w:val="20"/>
          <w:szCs w:val="20"/>
          <w:lang w:val="en"/>
        </w:rPr>
        <w:t>(1)</w:t>
      </w:r>
      <w:r>
        <w:rPr>
          <w:rFonts w:ascii="Book Antiqua" w:eastAsia="Times New Roman" w:hAnsi="Book Antiqua" w:cs="Arial"/>
          <w:color w:val="000000"/>
          <w:sz w:val="20"/>
          <w:szCs w:val="20"/>
          <w:lang w:val="en"/>
        </w:rPr>
        <w:t xml:space="preserve"> </w:t>
      </w:r>
      <w:r w:rsidRPr="00265D5A">
        <w:rPr>
          <w:rFonts w:ascii="Book Antiqua" w:eastAsia="Times New Roman" w:hAnsi="Book Antiqua" w:cs="Arial"/>
          <w:b/>
          <w:color w:val="000000"/>
          <w:sz w:val="20"/>
          <w:szCs w:val="20"/>
          <w:lang w:val="en"/>
        </w:rPr>
        <w:t>A person (“P”) may appeal to the Tribunal where</w:t>
      </w:r>
      <w:r w:rsidRPr="00265D5A">
        <w:rPr>
          <w:rFonts w:ascii="Book Antiqua" w:eastAsia="Times New Roman" w:hAnsi="Book Antiqua" w:cs="Arial"/>
          <w:color w:val="000000"/>
          <w:sz w:val="20"/>
          <w:szCs w:val="20"/>
          <w:lang w:val="en"/>
        </w:rPr>
        <w:t>—</w:t>
      </w:r>
    </w:p>
    <w:p w:rsidR="004C0341" w:rsidRPr="00265D5A" w:rsidRDefault="004C0341" w:rsidP="004C0341">
      <w:pPr>
        <w:shd w:val="clear" w:color="auto" w:fill="FFFFFF"/>
        <w:spacing w:after="120" w:line="360" w:lineRule="atLeast"/>
        <w:ind w:left="1134" w:right="1134"/>
        <w:rPr>
          <w:rFonts w:ascii="Book Antiqua" w:eastAsia="Times New Roman" w:hAnsi="Book Antiqua" w:cs="Arial"/>
          <w:color w:val="000000"/>
          <w:sz w:val="20"/>
          <w:szCs w:val="20"/>
          <w:lang w:val="en"/>
        </w:rPr>
      </w:pPr>
      <w:r w:rsidRPr="00265D5A">
        <w:rPr>
          <w:rFonts w:ascii="Book Antiqua" w:eastAsia="Times New Roman" w:hAnsi="Book Antiqua" w:cs="Arial"/>
          <w:color w:val="000000"/>
          <w:sz w:val="20"/>
          <w:szCs w:val="20"/>
          <w:lang w:val="en"/>
        </w:rPr>
        <w:t>(a)</w:t>
      </w:r>
      <w:r>
        <w:rPr>
          <w:rFonts w:ascii="Book Antiqua" w:eastAsia="Times New Roman" w:hAnsi="Book Antiqua" w:cs="Arial"/>
          <w:color w:val="000000"/>
          <w:sz w:val="20"/>
          <w:szCs w:val="20"/>
          <w:lang w:val="en"/>
        </w:rPr>
        <w:t xml:space="preserve"> </w:t>
      </w:r>
      <w:r w:rsidRPr="00265D5A">
        <w:rPr>
          <w:rFonts w:ascii="Book Antiqua" w:eastAsia="Times New Roman" w:hAnsi="Book Antiqua" w:cs="Arial"/>
          <w:color w:val="000000"/>
          <w:sz w:val="20"/>
          <w:szCs w:val="20"/>
          <w:lang w:val="en"/>
        </w:rPr>
        <w:t>the Secretary of State has decided to refuse a protection claim made by P,</w:t>
      </w:r>
    </w:p>
    <w:p w:rsidR="004C0341" w:rsidRPr="00265D5A" w:rsidRDefault="004C0341" w:rsidP="004C0341">
      <w:pPr>
        <w:shd w:val="clear" w:color="auto" w:fill="FFFFFF"/>
        <w:spacing w:after="120" w:line="360" w:lineRule="atLeast"/>
        <w:ind w:left="1134" w:right="1134"/>
        <w:rPr>
          <w:rFonts w:ascii="Book Antiqua" w:eastAsia="Times New Roman" w:hAnsi="Book Antiqua" w:cs="Arial"/>
          <w:b/>
          <w:color w:val="000000"/>
          <w:sz w:val="20"/>
          <w:szCs w:val="20"/>
          <w:lang w:val="en"/>
        </w:rPr>
      </w:pPr>
      <w:r w:rsidRPr="00265D5A">
        <w:rPr>
          <w:rFonts w:ascii="Book Antiqua" w:eastAsia="Times New Roman" w:hAnsi="Book Antiqua" w:cs="Arial"/>
          <w:b/>
          <w:color w:val="000000"/>
          <w:sz w:val="20"/>
          <w:szCs w:val="20"/>
          <w:lang w:val="en"/>
        </w:rPr>
        <w:t>(b) the Secretary of State has decided to refuse a human rights claim made by P, or</w:t>
      </w:r>
    </w:p>
    <w:p w:rsidR="004C0341" w:rsidRPr="00265D5A" w:rsidRDefault="004C0341" w:rsidP="004C0341">
      <w:pPr>
        <w:shd w:val="clear" w:color="auto" w:fill="FFFFFF"/>
        <w:spacing w:after="120" w:line="360" w:lineRule="atLeast"/>
        <w:ind w:left="1134" w:right="1134"/>
        <w:rPr>
          <w:rFonts w:ascii="Book Antiqua" w:eastAsia="Times New Roman" w:hAnsi="Book Antiqua" w:cs="Arial"/>
          <w:color w:val="000000"/>
          <w:sz w:val="20"/>
          <w:szCs w:val="20"/>
          <w:lang w:val="en"/>
        </w:rPr>
      </w:pPr>
      <w:r w:rsidRPr="00265D5A">
        <w:rPr>
          <w:rFonts w:ascii="Book Antiqua" w:eastAsia="Times New Roman" w:hAnsi="Book Antiqua" w:cs="Arial"/>
          <w:color w:val="000000"/>
          <w:sz w:val="20"/>
          <w:szCs w:val="20"/>
          <w:lang w:val="en"/>
        </w:rPr>
        <w:t>(c)</w:t>
      </w:r>
      <w:r>
        <w:rPr>
          <w:rFonts w:ascii="Book Antiqua" w:eastAsia="Times New Roman" w:hAnsi="Book Antiqua" w:cs="Arial"/>
          <w:color w:val="000000"/>
          <w:sz w:val="20"/>
          <w:szCs w:val="20"/>
          <w:lang w:val="en"/>
        </w:rPr>
        <w:t xml:space="preserve"> </w:t>
      </w:r>
      <w:r w:rsidRPr="00265D5A">
        <w:rPr>
          <w:rFonts w:ascii="Book Antiqua" w:eastAsia="Times New Roman" w:hAnsi="Book Antiqua" w:cs="Arial"/>
          <w:color w:val="000000"/>
          <w:sz w:val="20"/>
          <w:szCs w:val="20"/>
          <w:lang w:val="en"/>
        </w:rPr>
        <w:t>the Secretary of State has decided to revoke P’s protection status.</w:t>
      </w:r>
    </w:p>
    <w:p w:rsidR="004C0341" w:rsidRDefault="004C0341" w:rsidP="004C0341">
      <w:pPr>
        <w:shd w:val="clear" w:color="auto" w:fill="FFFFFF"/>
        <w:spacing w:after="120" w:line="360" w:lineRule="atLeast"/>
        <w:ind w:left="1134" w:right="1134"/>
        <w:rPr>
          <w:rFonts w:ascii="Book Antiqua" w:eastAsia="Times New Roman" w:hAnsi="Book Antiqua" w:cs="Arial"/>
          <w:color w:val="000000"/>
          <w:sz w:val="20"/>
          <w:szCs w:val="20"/>
          <w:lang w:val="en"/>
        </w:rPr>
      </w:pPr>
      <w:r>
        <w:rPr>
          <w:rFonts w:ascii="Book Antiqua" w:eastAsia="Times New Roman" w:hAnsi="Book Antiqua" w:cs="Arial"/>
          <w:color w:val="000000"/>
          <w:sz w:val="20"/>
          <w:szCs w:val="20"/>
          <w:lang w:val="en"/>
        </w:rPr>
        <w:lastRenderedPageBreak/>
        <w:t>…</w:t>
      </w:r>
    </w:p>
    <w:p w:rsidR="004C0341" w:rsidRDefault="004C0341" w:rsidP="004C0341">
      <w:pPr>
        <w:tabs>
          <w:tab w:val="left" w:pos="567"/>
        </w:tabs>
        <w:ind w:left="567" w:right="567"/>
        <w:jc w:val="both"/>
        <w:rPr>
          <w:rFonts w:ascii="Book Antiqua" w:hAnsi="Book Antiqua" w:cs="Arial"/>
        </w:rPr>
      </w:pPr>
    </w:p>
    <w:p w:rsidR="004C0341" w:rsidRDefault="004C0341" w:rsidP="004C0341">
      <w:pPr>
        <w:numPr>
          <w:ilvl w:val="0"/>
          <w:numId w:val="1"/>
        </w:numPr>
        <w:tabs>
          <w:tab w:val="left" w:pos="567"/>
        </w:tabs>
        <w:ind w:left="567" w:right="567"/>
        <w:jc w:val="both"/>
        <w:rPr>
          <w:rFonts w:ascii="Book Antiqua" w:hAnsi="Book Antiqua" w:cs="Arial"/>
        </w:rPr>
      </w:pPr>
      <w:r>
        <w:rPr>
          <w:rFonts w:ascii="Book Antiqua" w:hAnsi="Book Antiqua" w:cs="Arial"/>
        </w:rPr>
        <w:t>Section 84 explains on what grounds such an appeal is to be brought:</w:t>
      </w:r>
    </w:p>
    <w:p w:rsidR="00AB406F" w:rsidRDefault="00AB406F" w:rsidP="00265D5A">
      <w:pPr>
        <w:shd w:val="clear" w:color="auto" w:fill="FFFFFF"/>
        <w:spacing w:line="288" w:lineRule="atLeast"/>
        <w:ind w:left="1134" w:right="1134"/>
        <w:outlineLvl w:val="4"/>
        <w:rPr>
          <w:rFonts w:ascii="Book Antiqua" w:eastAsia="Times New Roman" w:hAnsi="Book Antiqua" w:cs="Arial"/>
          <w:color w:val="000000"/>
          <w:sz w:val="20"/>
          <w:szCs w:val="20"/>
          <w:lang w:val="en"/>
        </w:rPr>
      </w:pPr>
    </w:p>
    <w:p w:rsidR="00265D5A" w:rsidRPr="00265D5A" w:rsidRDefault="00265D5A" w:rsidP="00265D5A">
      <w:pPr>
        <w:shd w:val="clear" w:color="auto" w:fill="FFFFFF"/>
        <w:spacing w:line="288" w:lineRule="atLeast"/>
        <w:ind w:left="1134" w:right="1134"/>
        <w:outlineLvl w:val="4"/>
        <w:rPr>
          <w:rFonts w:ascii="Book Antiqua" w:eastAsia="Times New Roman" w:hAnsi="Book Antiqua" w:cs="Arial"/>
          <w:b/>
          <w:color w:val="000000"/>
          <w:sz w:val="20"/>
          <w:szCs w:val="20"/>
          <w:lang w:val="en"/>
        </w:rPr>
      </w:pPr>
      <w:r w:rsidRPr="00AB406F">
        <w:rPr>
          <w:rFonts w:ascii="Book Antiqua" w:eastAsia="Times New Roman" w:hAnsi="Book Antiqua" w:cs="Arial"/>
          <w:b/>
          <w:color w:val="000000"/>
          <w:sz w:val="20"/>
          <w:szCs w:val="20"/>
          <w:lang w:val="en"/>
        </w:rPr>
        <w:t>84</w:t>
      </w:r>
      <w:r w:rsidR="00AB406F" w:rsidRPr="00AB406F">
        <w:rPr>
          <w:rFonts w:ascii="Book Antiqua" w:eastAsia="Times New Roman" w:hAnsi="Book Antiqua" w:cs="Arial"/>
          <w:b/>
          <w:color w:val="000000"/>
          <w:sz w:val="20"/>
          <w:szCs w:val="20"/>
          <w:lang w:val="en"/>
        </w:rPr>
        <w:t xml:space="preserve"> </w:t>
      </w:r>
      <w:r w:rsidRPr="00AB406F">
        <w:rPr>
          <w:rFonts w:ascii="Book Antiqua" w:eastAsia="Times New Roman" w:hAnsi="Book Antiqua" w:cs="Arial"/>
          <w:b/>
          <w:color w:val="000000"/>
          <w:sz w:val="20"/>
          <w:szCs w:val="20"/>
          <w:lang w:val="en"/>
        </w:rPr>
        <w:t>Grounds of appeal</w:t>
      </w:r>
    </w:p>
    <w:p w:rsidR="00AB406F" w:rsidRDefault="00AB406F" w:rsidP="00265D5A">
      <w:pPr>
        <w:shd w:val="clear" w:color="auto" w:fill="FFFFFF"/>
        <w:spacing w:after="120" w:line="360" w:lineRule="atLeast"/>
        <w:ind w:left="1134" w:right="1134"/>
        <w:rPr>
          <w:rFonts w:ascii="Book Antiqua" w:eastAsia="Times New Roman" w:hAnsi="Book Antiqua" w:cs="Arial"/>
          <w:color w:val="000000"/>
          <w:sz w:val="20"/>
          <w:szCs w:val="20"/>
          <w:lang w:val="en"/>
        </w:rPr>
      </w:pPr>
      <w:r>
        <w:rPr>
          <w:rFonts w:ascii="Book Antiqua" w:eastAsia="Times New Roman" w:hAnsi="Book Antiqua" w:cs="Arial"/>
          <w:color w:val="000000"/>
          <w:sz w:val="20"/>
          <w:szCs w:val="20"/>
          <w:lang w:val="en"/>
        </w:rPr>
        <w:t>…</w:t>
      </w:r>
    </w:p>
    <w:p w:rsidR="00265D5A" w:rsidRDefault="00265D5A" w:rsidP="00265D5A">
      <w:pPr>
        <w:shd w:val="clear" w:color="auto" w:fill="FFFFFF"/>
        <w:spacing w:after="120" w:line="360" w:lineRule="atLeast"/>
        <w:ind w:left="1134" w:right="1134"/>
        <w:rPr>
          <w:rFonts w:ascii="Book Antiqua" w:eastAsia="Times New Roman" w:hAnsi="Book Antiqua" w:cs="Arial"/>
          <w:color w:val="000000"/>
          <w:sz w:val="20"/>
          <w:szCs w:val="20"/>
          <w:lang w:val="en"/>
        </w:rPr>
      </w:pPr>
      <w:r w:rsidRPr="009A7C73">
        <w:rPr>
          <w:rFonts w:ascii="Book Antiqua" w:eastAsia="Times New Roman" w:hAnsi="Book Antiqua" w:cs="Arial"/>
          <w:color w:val="000000"/>
          <w:sz w:val="20"/>
          <w:szCs w:val="20"/>
          <w:lang w:val="en"/>
        </w:rPr>
        <w:t>(2)</w:t>
      </w:r>
      <w:r w:rsidR="00AB406F" w:rsidRPr="00AB406F">
        <w:rPr>
          <w:rFonts w:ascii="Book Antiqua" w:eastAsia="Times New Roman" w:hAnsi="Book Antiqua" w:cs="Arial"/>
          <w:b/>
          <w:color w:val="000000"/>
          <w:sz w:val="20"/>
          <w:szCs w:val="20"/>
          <w:lang w:val="en"/>
        </w:rPr>
        <w:t xml:space="preserve"> </w:t>
      </w:r>
      <w:r w:rsidRPr="004C0341">
        <w:rPr>
          <w:rFonts w:ascii="Book Antiqua" w:eastAsia="Times New Roman" w:hAnsi="Book Antiqua" w:cs="Arial"/>
          <w:color w:val="000000"/>
          <w:sz w:val="20"/>
          <w:szCs w:val="20"/>
          <w:lang w:val="en"/>
        </w:rPr>
        <w:t xml:space="preserve">An appeal under section 82(1)(b) (refusal of human rights claim) must be brought </w:t>
      </w:r>
      <w:proofErr w:type="gramStart"/>
      <w:r w:rsidRPr="004C0341">
        <w:rPr>
          <w:rFonts w:ascii="Book Antiqua" w:eastAsia="Times New Roman" w:hAnsi="Book Antiqua" w:cs="Arial"/>
          <w:color w:val="000000"/>
          <w:sz w:val="20"/>
          <w:szCs w:val="20"/>
          <w:lang w:val="en"/>
        </w:rPr>
        <w:t>on the ground that</w:t>
      </w:r>
      <w:proofErr w:type="gramEnd"/>
      <w:r w:rsidRPr="004C0341">
        <w:rPr>
          <w:rFonts w:ascii="Book Antiqua" w:eastAsia="Times New Roman" w:hAnsi="Book Antiqua" w:cs="Arial"/>
          <w:color w:val="000000"/>
          <w:sz w:val="20"/>
          <w:szCs w:val="20"/>
          <w:lang w:val="en"/>
        </w:rPr>
        <w:t xml:space="preserve"> the decision </w:t>
      </w:r>
      <w:r w:rsidRPr="004C0341">
        <w:rPr>
          <w:rFonts w:ascii="Book Antiqua" w:eastAsia="Times New Roman" w:hAnsi="Book Antiqua" w:cs="Arial"/>
          <w:b/>
          <w:color w:val="000000"/>
          <w:sz w:val="20"/>
          <w:szCs w:val="20"/>
          <w:lang w:val="en"/>
        </w:rPr>
        <w:t>is</w:t>
      </w:r>
      <w:r w:rsidRPr="004C0341">
        <w:rPr>
          <w:rFonts w:ascii="Book Antiqua" w:eastAsia="Times New Roman" w:hAnsi="Book Antiqua" w:cs="Arial"/>
          <w:color w:val="000000"/>
          <w:sz w:val="20"/>
          <w:szCs w:val="20"/>
          <w:lang w:val="en"/>
        </w:rPr>
        <w:t xml:space="preserve"> unlawful under section 6 of the Human Rights Act 1998.</w:t>
      </w:r>
    </w:p>
    <w:p w:rsidR="00AB406F" w:rsidRPr="00265D5A" w:rsidRDefault="00AB406F" w:rsidP="00265D5A">
      <w:pPr>
        <w:shd w:val="clear" w:color="auto" w:fill="FFFFFF"/>
        <w:spacing w:after="120" w:line="360" w:lineRule="atLeast"/>
        <w:ind w:left="1134" w:right="1134"/>
        <w:rPr>
          <w:rFonts w:ascii="Book Antiqua" w:eastAsia="Times New Roman" w:hAnsi="Book Antiqua" w:cs="Arial"/>
          <w:color w:val="000000"/>
          <w:sz w:val="20"/>
          <w:szCs w:val="20"/>
          <w:lang w:val="en"/>
        </w:rPr>
      </w:pPr>
      <w:r>
        <w:rPr>
          <w:rFonts w:ascii="Book Antiqua" w:eastAsia="Times New Roman" w:hAnsi="Book Antiqua" w:cs="Arial"/>
          <w:color w:val="000000"/>
          <w:sz w:val="20"/>
          <w:szCs w:val="20"/>
          <w:lang w:val="en"/>
        </w:rPr>
        <w:t>….</w:t>
      </w:r>
    </w:p>
    <w:p w:rsidR="009A7C73" w:rsidRPr="009A7C73" w:rsidRDefault="00AB406F" w:rsidP="009A7C73">
      <w:pPr>
        <w:tabs>
          <w:tab w:val="left" w:pos="567"/>
        </w:tabs>
        <w:ind w:left="567" w:right="567"/>
        <w:jc w:val="both"/>
        <w:rPr>
          <w:rFonts w:ascii="Book Antiqua" w:hAnsi="Book Antiqua" w:cs="Arial"/>
        </w:rPr>
      </w:pPr>
      <w:r>
        <w:rPr>
          <w:rFonts w:ascii="Book Antiqua" w:eastAsia="Times New Roman" w:hAnsi="Book Antiqua" w:cs="Arial"/>
          <w:color w:val="000000"/>
          <w:sz w:val="20"/>
          <w:szCs w:val="20"/>
          <w:lang w:val="en"/>
        </w:rPr>
        <w:tab/>
      </w:r>
    </w:p>
    <w:p w:rsidR="009A7C73" w:rsidRDefault="009A7C73" w:rsidP="009A7C73">
      <w:pPr>
        <w:numPr>
          <w:ilvl w:val="0"/>
          <w:numId w:val="1"/>
        </w:numPr>
        <w:tabs>
          <w:tab w:val="left" w:pos="567"/>
        </w:tabs>
        <w:ind w:left="567" w:right="567"/>
        <w:jc w:val="both"/>
        <w:rPr>
          <w:rFonts w:ascii="Book Antiqua" w:hAnsi="Book Antiqua" w:cs="Arial"/>
        </w:rPr>
      </w:pPr>
      <w:r>
        <w:rPr>
          <w:rFonts w:ascii="Book Antiqua" w:hAnsi="Book Antiqua" w:cs="Arial"/>
        </w:rPr>
        <w:t xml:space="preserve">Section 6 of the Human Rights Act 1998 provides </w:t>
      </w:r>
    </w:p>
    <w:p w:rsidR="009A7C73" w:rsidRDefault="009A7C73" w:rsidP="009A7C73">
      <w:pPr>
        <w:tabs>
          <w:tab w:val="left" w:pos="567"/>
        </w:tabs>
        <w:ind w:left="207" w:right="567"/>
        <w:jc w:val="both"/>
        <w:rPr>
          <w:rFonts w:ascii="Book Antiqua" w:hAnsi="Book Antiqua" w:cs="Arial"/>
        </w:rPr>
      </w:pPr>
    </w:p>
    <w:p w:rsidR="009A7C73" w:rsidRPr="009A7C73" w:rsidRDefault="009A7C73" w:rsidP="009A7C73">
      <w:pPr>
        <w:shd w:val="clear" w:color="auto" w:fill="FFFFFF"/>
        <w:spacing w:line="288" w:lineRule="atLeast"/>
        <w:ind w:left="1134" w:right="1134"/>
        <w:outlineLvl w:val="3"/>
        <w:rPr>
          <w:rFonts w:ascii="Book Antiqua" w:eastAsia="Times New Roman" w:hAnsi="Book Antiqua" w:cs="Arial"/>
          <w:b/>
          <w:color w:val="000000"/>
          <w:sz w:val="20"/>
          <w:szCs w:val="20"/>
          <w:lang w:val="en"/>
        </w:rPr>
      </w:pPr>
      <w:proofErr w:type="gramStart"/>
      <w:r w:rsidRPr="009A7C73">
        <w:rPr>
          <w:rFonts w:ascii="Book Antiqua" w:eastAsia="Times New Roman" w:hAnsi="Book Antiqua" w:cs="Arial"/>
          <w:b/>
          <w:color w:val="000000"/>
          <w:sz w:val="20"/>
          <w:szCs w:val="20"/>
          <w:lang w:val="en"/>
        </w:rPr>
        <w:t>6  Acts</w:t>
      </w:r>
      <w:proofErr w:type="gramEnd"/>
      <w:r w:rsidRPr="009A7C73">
        <w:rPr>
          <w:rFonts w:ascii="Book Antiqua" w:eastAsia="Times New Roman" w:hAnsi="Book Antiqua" w:cs="Arial"/>
          <w:b/>
          <w:color w:val="000000"/>
          <w:sz w:val="20"/>
          <w:szCs w:val="20"/>
          <w:lang w:val="en"/>
        </w:rPr>
        <w:t xml:space="preserve"> of public authorities.</w:t>
      </w:r>
    </w:p>
    <w:p w:rsidR="009A7C73" w:rsidRPr="00075593" w:rsidRDefault="009A7C73" w:rsidP="009A7C73">
      <w:pPr>
        <w:shd w:val="clear" w:color="auto" w:fill="FFFFFF"/>
        <w:spacing w:line="288" w:lineRule="atLeast"/>
        <w:ind w:left="1134" w:right="1134"/>
        <w:outlineLvl w:val="3"/>
        <w:rPr>
          <w:rFonts w:ascii="Book Antiqua" w:eastAsia="Times New Roman" w:hAnsi="Book Antiqua" w:cs="Arial"/>
          <w:color w:val="000000"/>
          <w:sz w:val="20"/>
          <w:szCs w:val="20"/>
          <w:lang w:val="en"/>
        </w:rPr>
      </w:pPr>
    </w:p>
    <w:p w:rsidR="009A7C73" w:rsidRPr="00075593" w:rsidRDefault="009A7C73" w:rsidP="009A7C73">
      <w:pPr>
        <w:numPr>
          <w:ilvl w:val="0"/>
          <w:numId w:val="25"/>
        </w:numPr>
        <w:shd w:val="clear" w:color="auto" w:fill="FFFFFF"/>
        <w:spacing w:after="120" w:line="360" w:lineRule="atLeast"/>
        <w:ind w:right="1134"/>
        <w:rPr>
          <w:rFonts w:ascii="Book Antiqua" w:eastAsia="Times New Roman" w:hAnsi="Book Antiqua" w:cs="Arial"/>
          <w:color w:val="000000"/>
          <w:sz w:val="20"/>
          <w:szCs w:val="20"/>
          <w:lang w:val="en"/>
        </w:rPr>
      </w:pPr>
      <w:r w:rsidRPr="00075593">
        <w:rPr>
          <w:rFonts w:ascii="Book Antiqua" w:eastAsia="Times New Roman" w:hAnsi="Book Antiqua" w:cs="Arial"/>
          <w:b/>
          <w:color w:val="000000"/>
          <w:sz w:val="20"/>
          <w:szCs w:val="20"/>
          <w:lang w:val="en"/>
        </w:rPr>
        <w:t>It is unlawful for a public authority to act in a way which is incompatible with a Convention right</w:t>
      </w:r>
      <w:r w:rsidRPr="00075593">
        <w:rPr>
          <w:rFonts w:ascii="Book Antiqua" w:eastAsia="Times New Roman" w:hAnsi="Book Antiqua" w:cs="Arial"/>
          <w:color w:val="000000"/>
          <w:sz w:val="20"/>
          <w:szCs w:val="20"/>
          <w:lang w:val="en"/>
        </w:rPr>
        <w:t>.</w:t>
      </w:r>
    </w:p>
    <w:p w:rsidR="00265D5A" w:rsidRDefault="00265D5A" w:rsidP="004166D3">
      <w:pPr>
        <w:tabs>
          <w:tab w:val="left" w:pos="567"/>
        </w:tabs>
        <w:ind w:left="567" w:right="567"/>
        <w:jc w:val="both"/>
        <w:rPr>
          <w:rFonts w:ascii="Book Antiqua" w:hAnsi="Book Antiqua" w:cs="Arial"/>
        </w:rPr>
      </w:pPr>
    </w:p>
    <w:p w:rsidR="009A7C73" w:rsidRDefault="009A7C73" w:rsidP="00C869BC">
      <w:pPr>
        <w:numPr>
          <w:ilvl w:val="0"/>
          <w:numId w:val="1"/>
        </w:numPr>
        <w:tabs>
          <w:tab w:val="left" w:pos="567"/>
        </w:tabs>
        <w:ind w:left="567" w:right="567"/>
        <w:jc w:val="both"/>
        <w:rPr>
          <w:rFonts w:ascii="Book Antiqua" w:hAnsi="Book Antiqua" w:cs="Arial"/>
        </w:rPr>
      </w:pPr>
      <w:r>
        <w:rPr>
          <w:rFonts w:ascii="Book Antiqua" w:hAnsi="Book Antiqua" w:cs="Arial"/>
        </w:rPr>
        <w:t xml:space="preserve">Section 85 of the 2002 Act sets out what matters Tribunals may have regard to when assessing whether an act is unlawful under Section 6(1) HRA 1998: </w:t>
      </w:r>
    </w:p>
    <w:p w:rsidR="009A7C73" w:rsidRDefault="009A7C73" w:rsidP="009A7C73">
      <w:pPr>
        <w:tabs>
          <w:tab w:val="left" w:pos="567"/>
        </w:tabs>
        <w:ind w:left="567" w:right="567"/>
        <w:jc w:val="both"/>
        <w:rPr>
          <w:rFonts w:ascii="Book Antiqua" w:hAnsi="Book Antiqua" w:cs="Arial"/>
        </w:rPr>
      </w:pPr>
    </w:p>
    <w:p w:rsidR="009A7C73" w:rsidRPr="000F53CD" w:rsidRDefault="009A7C73" w:rsidP="009A7C73">
      <w:pPr>
        <w:tabs>
          <w:tab w:val="left" w:pos="567"/>
        </w:tabs>
        <w:ind w:left="1134" w:right="1134"/>
        <w:jc w:val="both"/>
        <w:rPr>
          <w:rFonts w:ascii="Book Antiqua" w:hAnsi="Book Antiqua" w:cs="Arial"/>
          <w:b/>
          <w:sz w:val="20"/>
          <w:szCs w:val="20"/>
        </w:rPr>
      </w:pPr>
      <w:r w:rsidRPr="000F53CD">
        <w:rPr>
          <w:rFonts w:ascii="Book Antiqua" w:hAnsi="Book Antiqua" w:cs="Arial"/>
          <w:b/>
          <w:sz w:val="20"/>
          <w:szCs w:val="20"/>
        </w:rPr>
        <w:t>85 Matters to be considered</w:t>
      </w:r>
    </w:p>
    <w:p w:rsidR="009A7C73" w:rsidRPr="000F53CD" w:rsidRDefault="009A7C73" w:rsidP="009A7C73">
      <w:pPr>
        <w:tabs>
          <w:tab w:val="left" w:pos="567"/>
        </w:tabs>
        <w:ind w:left="1134" w:right="1134"/>
        <w:jc w:val="both"/>
        <w:rPr>
          <w:rFonts w:ascii="Book Antiqua" w:hAnsi="Book Antiqua" w:cs="Arial"/>
          <w:sz w:val="20"/>
          <w:szCs w:val="20"/>
        </w:rPr>
      </w:pPr>
    </w:p>
    <w:p w:rsidR="009A7C73" w:rsidRPr="004C0341" w:rsidRDefault="009A7C73" w:rsidP="009A7C73">
      <w:pPr>
        <w:tabs>
          <w:tab w:val="left" w:pos="567"/>
        </w:tabs>
        <w:ind w:left="1134" w:right="1134"/>
        <w:jc w:val="both"/>
        <w:rPr>
          <w:rFonts w:ascii="Book Antiqua" w:hAnsi="Book Antiqua" w:cs="Arial"/>
          <w:sz w:val="20"/>
          <w:szCs w:val="20"/>
        </w:rPr>
      </w:pPr>
      <w:r w:rsidRPr="000F53CD">
        <w:rPr>
          <w:rFonts w:ascii="Book Antiqua" w:hAnsi="Book Antiqua"/>
          <w:sz w:val="20"/>
          <w:szCs w:val="20"/>
        </w:rPr>
        <w:t xml:space="preserve">(4) </w:t>
      </w:r>
      <w:r w:rsidRPr="000F53CD">
        <w:rPr>
          <w:rFonts w:ascii="Book Antiqua" w:hAnsi="Book Antiqua"/>
          <w:b/>
          <w:sz w:val="20"/>
          <w:szCs w:val="20"/>
        </w:rPr>
        <w:t>On an appeal under s82(1) against a decision the Tribunal may consider any matter which [it] thinks relevant to the substance of the decision, including a matter arising after the date of the decision</w:t>
      </w:r>
      <w:r w:rsidRPr="000F53CD">
        <w:rPr>
          <w:rFonts w:ascii="Book Antiqua" w:hAnsi="Book Antiqua"/>
          <w:sz w:val="20"/>
          <w:szCs w:val="20"/>
        </w:rPr>
        <w:t>.</w:t>
      </w:r>
    </w:p>
    <w:p w:rsidR="009A7C73" w:rsidRDefault="009A7C73" w:rsidP="009A7C73">
      <w:pPr>
        <w:tabs>
          <w:tab w:val="left" w:pos="567"/>
        </w:tabs>
        <w:ind w:left="567" w:right="567"/>
        <w:jc w:val="both"/>
        <w:rPr>
          <w:rFonts w:ascii="Book Antiqua" w:hAnsi="Book Antiqua" w:cs="Arial"/>
        </w:rPr>
      </w:pPr>
    </w:p>
    <w:p w:rsidR="00663C92" w:rsidRDefault="00663C92" w:rsidP="00C869BC">
      <w:pPr>
        <w:numPr>
          <w:ilvl w:val="0"/>
          <w:numId w:val="1"/>
        </w:numPr>
        <w:tabs>
          <w:tab w:val="left" w:pos="567"/>
        </w:tabs>
        <w:ind w:left="567" w:right="567"/>
        <w:jc w:val="both"/>
        <w:rPr>
          <w:rFonts w:ascii="Book Antiqua" w:hAnsi="Book Antiqua" w:cs="Arial"/>
        </w:rPr>
      </w:pPr>
      <w:r>
        <w:rPr>
          <w:rFonts w:ascii="Book Antiqua" w:hAnsi="Book Antiqua" w:cs="Arial"/>
        </w:rPr>
        <w:t>Section 117B of the 2002 Act offers further assistance on the public interest factors that are relevant “matters to be considered” when assessing proportionality:</w:t>
      </w:r>
    </w:p>
    <w:p w:rsidR="00663C92" w:rsidRDefault="00663C92" w:rsidP="00663C92">
      <w:pPr>
        <w:tabs>
          <w:tab w:val="left" w:pos="567"/>
        </w:tabs>
        <w:ind w:left="567" w:right="567"/>
        <w:jc w:val="both"/>
        <w:rPr>
          <w:rFonts w:ascii="Book Antiqua" w:hAnsi="Book Antiqua" w:cs="Arial"/>
        </w:rPr>
      </w:pPr>
    </w:p>
    <w:p w:rsidR="00663C92" w:rsidRPr="00663C92" w:rsidRDefault="00663C92" w:rsidP="00663C92">
      <w:pPr>
        <w:pStyle w:val="Heading5"/>
        <w:shd w:val="clear" w:color="auto" w:fill="FFFFFF"/>
        <w:spacing w:before="0" w:after="120" w:line="288" w:lineRule="atLeast"/>
        <w:ind w:left="1134" w:right="1134"/>
        <w:rPr>
          <w:rFonts w:ascii="Book Antiqua" w:hAnsi="Book Antiqua" w:cs="Arial"/>
          <w:i w:val="0"/>
          <w:color w:val="000000"/>
          <w:sz w:val="20"/>
          <w:szCs w:val="20"/>
        </w:rPr>
      </w:pPr>
      <w:r w:rsidRPr="00663C92">
        <w:rPr>
          <w:rStyle w:val="legamendingtext"/>
          <w:rFonts w:ascii="Book Antiqua" w:hAnsi="Book Antiqua" w:cs="Arial"/>
          <w:i w:val="0"/>
          <w:color w:val="000000"/>
          <w:sz w:val="20"/>
          <w:szCs w:val="20"/>
        </w:rPr>
        <w:t>117B Article 8: public interest considerations applicable in all cases</w:t>
      </w:r>
    </w:p>
    <w:p w:rsidR="00663C92" w:rsidRPr="006165A0" w:rsidRDefault="00663C92" w:rsidP="00663C92">
      <w:pPr>
        <w:pStyle w:val="legclearfix"/>
        <w:shd w:val="clear" w:color="auto" w:fill="FFFFFF"/>
        <w:spacing w:before="0" w:beforeAutospacing="0" w:after="120" w:afterAutospacing="0" w:line="360" w:lineRule="atLeast"/>
        <w:ind w:left="1134" w:right="1134"/>
        <w:rPr>
          <w:rFonts w:ascii="Book Antiqua" w:hAnsi="Book Antiqua" w:cs="Arial"/>
          <w:color w:val="000000"/>
          <w:sz w:val="20"/>
          <w:szCs w:val="20"/>
        </w:rPr>
      </w:pPr>
      <w:r w:rsidRPr="006165A0">
        <w:rPr>
          <w:rStyle w:val="legamendingtext"/>
          <w:rFonts w:ascii="Book Antiqua" w:hAnsi="Book Antiqua" w:cs="Arial"/>
          <w:color w:val="000000"/>
          <w:sz w:val="20"/>
          <w:szCs w:val="20"/>
        </w:rPr>
        <w:t>(1) The maintenance of effective immigration controls is in the public interest.</w:t>
      </w:r>
    </w:p>
    <w:p w:rsidR="00663C92" w:rsidRPr="006165A0" w:rsidRDefault="00663C92" w:rsidP="00663C92">
      <w:pPr>
        <w:pStyle w:val="legclearfix"/>
        <w:shd w:val="clear" w:color="auto" w:fill="FFFFFF"/>
        <w:spacing w:before="0" w:beforeAutospacing="0" w:after="120" w:afterAutospacing="0" w:line="360" w:lineRule="atLeast"/>
        <w:ind w:left="1134" w:right="1134"/>
        <w:rPr>
          <w:rFonts w:ascii="Book Antiqua" w:hAnsi="Book Antiqua" w:cs="Arial"/>
          <w:color w:val="000000"/>
          <w:sz w:val="20"/>
          <w:szCs w:val="20"/>
        </w:rPr>
      </w:pPr>
      <w:r w:rsidRPr="006165A0">
        <w:rPr>
          <w:rStyle w:val="legamendingtext"/>
          <w:rFonts w:ascii="Book Antiqua" w:hAnsi="Book Antiqua" w:cs="Arial"/>
          <w:color w:val="000000"/>
          <w:sz w:val="20"/>
          <w:szCs w:val="20"/>
        </w:rPr>
        <w:t>(2) It is in the public interest, and in particular in the interests of the economic well-being of the United Kingdom, that persons who seek to enter or remain in the United Kingdom are able to speak English, because persons who can speak English—</w:t>
      </w:r>
    </w:p>
    <w:p w:rsidR="00663C92" w:rsidRPr="006165A0" w:rsidRDefault="00663C92" w:rsidP="00663C92">
      <w:pPr>
        <w:pStyle w:val="legclearfix"/>
        <w:shd w:val="clear" w:color="auto" w:fill="FFFFFF"/>
        <w:spacing w:before="0" w:beforeAutospacing="0" w:after="120" w:afterAutospacing="0" w:line="360" w:lineRule="atLeast"/>
        <w:ind w:left="1134" w:right="1134"/>
        <w:rPr>
          <w:rFonts w:ascii="Book Antiqua" w:hAnsi="Book Antiqua" w:cs="Arial"/>
          <w:color w:val="000000"/>
          <w:sz w:val="20"/>
          <w:szCs w:val="20"/>
        </w:rPr>
      </w:pPr>
      <w:r w:rsidRPr="006165A0">
        <w:rPr>
          <w:rStyle w:val="legamendingtext"/>
          <w:rFonts w:ascii="Book Antiqua" w:hAnsi="Book Antiqua" w:cs="Arial"/>
          <w:color w:val="000000"/>
          <w:sz w:val="20"/>
          <w:szCs w:val="20"/>
        </w:rPr>
        <w:t>(a)</w:t>
      </w:r>
      <w:r>
        <w:rPr>
          <w:rStyle w:val="legamendingtext"/>
          <w:rFonts w:ascii="Book Antiqua" w:hAnsi="Book Antiqua" w:cs="Arial"/>
          <w:color w:val="000000"/>
          <w:sz w:val="20"/>
          <w:szCs w:val="20"/>
        </w:rPr>
        <w:t xml:space="preserve"> </w:t>
      </w:r>
      <w:r w:rsidRPr="006165A0">
        <w:rPr>
          <w:rStyle w:val="legamendingtext"/>
          <w:rFonts w:ascii="Book Antiqua" w:hAnsi="Book Antiqua" w:cs="Arial"/>
          <w:color w:val="000000"/>
          <w:sz w:val="20"/>
          <w:szCs w:val="20"/>
        </w:rPr>
        <w:t>are less of a burden on taxpayers, and</w:t>
      </w:r>
    </w:p>
    <w:p w:rsidR="00663C92" w:rsidRPr="006165A0" w:rsidRDefault="00663C92" w:rsidP="00663C92">
      <w:pPr>
        <w:pStyle w:val="legclearfix"/>
        <w:shd w:val="clear" w:color="auto" w:fill="FFFFFF"/>
        <w:spacing w:before="0" w:beforeAutospacing="0" w:after="120" w:afterAutospacing="0" w:line="360" w:lineRule="atLeast"/>
        <w:ind w:left="1134" w:right="1134"/>
        <w:rPr>
          <w:rFonts w:ascii="Book Antiqua" w:hAnsi="Book Antiqua" w:cs="Arial"/>
          <w:color w:val="000000"/>
          <w:sz w:val="20"/>
          <w:szCs w:val="20"/>
        </w:rPr>
      </w:pPr>
      <w:r w:rsidRPr="006165A0">
        <w:rPr>
          <w:rStyle w:val="legamendingtext"/>
          <w:rFonts w:ascii="Book Antiqua" w:hAnsi="Book Antiqua" w:cs="Arial"/>
          <w:color w:val="000000"/>
          <w:sz w:val="20"/>
          <w:szCs w:val="20"/>
        </w:rPr>
        <w:t>(b)</w:t>
      </w:r>
      <w:r>
        <w:rPr>
          <w:rStyle w:val="legamendingtext"/>
          <w:rFonts w:ascii="Book Antiqua" w:hAnsi="Book Antiqua" w:cs="Arial"/>
          <w:color w:val="000000"/>
          <w:sz w:val="20"/>
          <w:szCs w:val="20"/>
        </w:rPr>
        <w:t xml:space="preserve"> </w:t>
      </w:r>
      <w:r w:rsidRPr="006165A0">
        <w:rPr>
          <w:rStyle w:val="legamendingtext"/>
          <w:rFonts w:ascii="Book Antiqua" w:hAnsi="Book Antiqua" w:cs="Arial"/>
          <w:color w:val="000000"/>
          <w:sz w:val="20"/>
          <w:szCs w:val="20"/>
        </w:rPr>
        <w:t>are better able to integrate into society.</w:t>
      </w:r>
    </w:p>
    <w:p w:rsidR="00663C92" w:rsidRPr="006165A0" w:rsidRDefault="00663C92" w:rsidP="00663C92">
      <w:pPr>
        <w:pStyle w:val="legclearfix"/>
        <w:shd w:val="clear" w:color="auto" w:fill="FFFFFF"/>
        <w:spacing w:before="0" w:beforeAutospacing="0" w:after="120" w:afterAutospacing="0" w:line="360" w:lineRule="atLeast"/>
        <w:ind w:left="1134" w:right="1134"/>
        <w:rPr>
          <w:rFonts w:ascii="Book Antiqua" w:hAnsi="Book Antiqua" w:cs="Arial"/>
          <w:color w:val="000000"/>
          <w:sz w:val="20"/>
          <w:szCs w:val="20"/>
        </w:rPr>
      </w:pPr>
      <w:r w:rsidRPr="006165A0">
        <w:rPr>
          <w:rStyle w:val="legamendingtext"/>
          <w:rFonts w:ascii="Book Antiqua" w:hAnsi="Book Antiqua" w:cs="Arial"/>
          <w:color w:val="000000"/>
          <w:sz w:val="20"/>
          <w:szCs w:val="20"/>
        </w:rPr>
        <w:lastRenderedPageBreak/>
        <w:t>(3)</w:t>
      </w:r>
      <w:r>
        <w:rPr>
          <w:rStyle w:val="legamendingtext"/>
          <w:rFonts w:ascii="Book Antiqua" w:hAnsi="Book Antiqua" w:cs="Arial"/>
          <w:color w:val="000000"/>
          <w:sz w:val="20"/>
          <w:szCs w:val="20"/>
        </w:rPr>
        <w:t xml:space="preserve"> </w:t>
      </w:r>
      <w:r w:rsidRPr="006165A0">
        <w:rPr>
          <w:rStyle w:val="legamendingtext"/>
          <w:rFonts w:ascii="Book Antiqua" w:hAnsi="Book Antiqua" w:cs="Arial"/>
          <w:color w:val="000000"/>
          <w:sz w:val="20"/>
          <w:szCs w:val="20"/>
        </w:rPr>
        <w:t>It is in the public interest, and in particular in the interests of the economic well-being of the United Kingdom, that persons who seek to enter or remain in the United Kingdom are financially independent, because such persons—</w:t>
      </w:r>
    </w:p>
    <w:p w:rsidR="00663C92" w:rsidRPr="006165A0" w:rsidRDefault="00663C92" w:rsidP="00663C92">
      <w:pPr>
        <w:pStyle w:val="legclearfix"/>
        <w:shd w:val="clear" w:color="auto" w:fill="FFFFFF"/>
        <w:spacing w:before="0" w:beforeAutospacing="0" w:after="120" w:afterAutospacing="0" w:line="360" w:lineRule="atLeast"/>
        <w:ind w:left="1134" w:right="1134"/>
        <w:rPr>
          <w:rFonts w:ascii="Book Antiqua" w:hAnsi="Book Antiqua" w:cs="Arial"/>
          <w:color w:val="000000"/>
          <w:sz w:val="20"/>
          <w:szCs w:val="20"/>
        </w:rPr>
      </w:pPr>
      <w:r w:rsidRPr="006165A0">
        <w:rPr>
          <w:rStyle w:val="legamendingtext"/>
          <w:rFonts w:ascii="Book Antiqua" w:hAnsi="Book Antiqua" w:cs="Arial"/>
          <w:color w:val="000000"/>
          <w:sz w:val="20"/>
          <w:szCs w:val="20"/>
        </w:rPr>
        <w:t>(a)</w:t>
      </w:r>
      <w:r>
        <w:rPr>
          <w:rStyle w:val="legamendingtext"/>
          <w:rFonts w:ascii="Book Antiqua" w:hAnsi="Book Antiqua" w:cs="Arial"/>
          <w:color w:val="000000"/>
          <w:sz w:val="20"/>
          <w:szCs w:val="20"/>
        </w:rPr>
        <w:t xml:space="preserve"> </w:t>
      </w:r>
      <w:r w:rsidRPr="006165A0">
        <w:rPr>
          <w:rStyle w:val="legamendingtext"/>
          <w:rFonts w:ascii="Book Antiqua" w:hAnsi="Book Antiqua" w:cs="Arial"/>
          <w:color w:val="000000"/>
          <w:sz w:val="20"/>
          <w:szCs w:val="20"/>
        </w:rPr>
        <w:t>are not a burden on taxpayers, and</w:t>
      </w:r>
    </w:p>
    <w:p w:rsidR="00663C92" w:rsidRPr="006165A0" w:rsidRDefault="00663C92" w:rsidP="00663C92">
      <w:pPr>
        <w:pStyle w:val="legclearfix"/>
        <w:shd w:val="clear" w:color="auto" w:fill="FFFFFF"/>
        <w:spacing w:before="0" w:beforeAutospacing="0" w:after="120" w:afterAutospacing="0" w:line="360" w:lineRule="atLeast"/>
        <w:ind w:left="1134" w:right="1134"/>
        <w:rPr>
          <w:rFonts w:ascii="Book Antiqua" w:hAnsi="Book Antiqua" w:cs="Arial"/>
          <w:color w:val="000000"/>
          <w:sz w:val="20"/>
          <w:szCs w:val="20"/>
        </w:rPr>
      </w:pPr>
      <w:r w:rsidRPr="006165A0">
        <w:rPr>
          <w:rStyle w:val="legamendingtext"/>
          <w:rFonts w:ascii="Book Antiqua" w:hAnsi="Book Antiqua" w:cs="Arial"/>
          <w:color w:val="000000"/>
          <w:sz w:val="20"/>
          <w:szCs w:val="20"/>
        </w:rPr>
        <w:t>(b)</w:t>
      </w:r>
      <w:r>
        <w:rPr>
          <w:rStyle w:val="legamendingtext"/>
          <w:rFonts w:ascii="Book Antiqua" w:hAnsi="Book Antiqua" w:cs="Arial"/>
          <w:color w:val="000000"/>
          <w:sz w:val="20"/>
          <w:szCs w:val="20"/>
        </w:rPr>
        <w:t xml:space="preserve"> </w:t>
      </w:r>
      <w:r w:rsidRPr="006165A0">
        <w:rPr>
          <w:rStyle w:val="legamendingtext"/>
          <w:rFonts w:ascii="Book Antiqua" w:hAnsi="Book Antiqua" w:cs="Arial"/>
          <w:color w:val="000000"/>
          <w:sz w:val="20"/>
          <w:szCs w:val="20"/>
        </w:rPr>
        <w:t>are better able to integrate into society.</w:t>
      </w:r>
    </w:p>
    <w:p w:rsidR="00663C92" w:rsidRPr="006165A0" w:rsidRDefault="00663C92" w:rsidP="00663C92">
      <w:pPr>
        <w:pStyle w:val="legclearfix"/>
        <w:shd w:val="clear" w:color="auto" w:fill="FFFFFF"/>
        <w:spacing w:before="0" w:beforeAutospacing="0" w:after="120" w:afterAutospacing="0" w:line="360" w:lineRule="atLeast"/>
        <w:ind w:left="1134" w:right="1134"/>
        <w:rPr>
          <w:rFonts w:ascii="Book Antiqua" w:hAnsi="Book Antiqua" w:cs="Arial"/>
          <w:color w:val="000000"/>
          <w:sz w:val="20"/>
          <w:szCs w:val="20"/>
        </w:rPr>
      </w:pPr>
      <w:r w:rsidRPr="006165A0">
        <w:rPr>
          <w:rStyle w:val="legamendingtext"/>
          <w:rFonts w:ascii="Book Antiqua" w:hAnsi="Book Antiqua" w:cs="Arial"/>
          <w:color w:val="000000"/>
          <w:sz w:val="20"/>
          <w:szCs w:val="20"/>
        </w:rPr>
        <w:t>(4)</w:t>
      </w:r>
      <w:r>
        <w:rPr>
          <w:rStyle w:val="legamendingtext"/>
          <w:rFonts w:ascii="Book Antiqua" w:hAnsi="Book Antiqua" w:cs="Arial"/>
          <w:color w:val="000000"/>
          <w:sz w:val="20"/>
          <w:szCs w:val="20"/>
        </w:rPr>
        <w:t xml:space="preserve"> </w:t>
      </w:r>
      <w:r w:rsidRPr="006165A0">
        <w:rPr>
          <w:rStyle w:val="legamendingtext"/>
          <w:rFonts w:ascii="Book Antiqua" w:hAnsi="Book Antiqua" w:cs="Arial"/>
          <w:color w:val="000000"/>
          <w:sz w:val="20"/>
          <w:szCs w:val="20"/>
        </w:rPr>
        <w:t>Little weight should be given to—</w:t>
      </w:r>
    </w:p>
    <w:p w:rsidR="00663C92" w:rsidRPr="006165A0" w:rsidRDefault="00663C92" w:rsidP="00663C92">
      <w:pPr>
        <w:pStyle w:val="legclearfix"/>
        <w:shd w:val="clear" w:color="auto" w:fill="FFFFFF"/>
        <w:spacing w:before="0" w:beforeAutospacing="0" w:after="120" w:afterAutospacing="0" w:line="360" w:lineRule="atLeast"/>
        <w:ind w:left="1134" w:right="1134"/>
        <w:rPr>
          <w:rFonts w:ascii="Book Antiqua" w:hAnsi="Book Antiqua" w:cs="Arial"/>
          <w:color w:val="000000"/>
          <w:sz w:val="20"/>
          <w:szCs w:val="20"/>
        </w:rPr>
      </w:pPr>
      <w:r w:rsidRPr="006165A0">
        <w:rPr>
          <w:rStyle w:val="legamendingtext"/>
          <w:rFonts w:ascii="Book Antiqua" w:hAnsi="Book Antiqua" w:cs="Arial"/>
          <w:color w:val="000000"/>
          <w:sz w:val="20"/>
          <w:szCs w:val="20"/>
        </w:rPr>
        <w:t>(a)</w:t>
      </w:r>
      <w:r>
        <w:rPr>
          <w:rStyle w:val="legamendingtext"/>
          <w:rFonts w:ascii="Book Antiqua" w:hAnsi="Book Antiqua" w:cs="Arial"/>
          <w:color w:val="000000"/>
          <w:sz w:val="20"/>
          <w:szCs w:val="20"/>
        </w:rPr>
        <w:t xml:space="preserve"> </w:t>
      </w:r>
      <w:r w:rsidRPr="006165A0">
        <w:rPr>
          <w:rStyle w:val="legamendingtext"/>
          <w:rFonts w:ascii="Book Antiqua" w:hAnsi="Book Antiqua" w:cs="Arial"/>
          <w:color w:val="000000"/>
          <w:sz w:val="20"/>
          <w:szCs w:val="20"/>
        </w:rPr>
        <w:t>a private life, or</w:t>
      </w:r>
    </w:p>
    <w:p w:rsidR="00663C92" w:rsidRPr="006165A0" w:rsidRDefault="00663C92" w:rsidP="00663C92">
      <w:pPr>
        <w:pStyle w:val="legclearfix"/>
        <w:shd w:val="clear" w:color="auto" w:fill="FFFFFF"/>
        <w:spacing w:before="0" w:beforeAutospacing="0" w:after="120" w:afterAutospacing="0" w:line="360" w:lineRule="atLeast"/>
        <w:ind w:left="1134" w:right="1134"/>
        <w:rPr>
          <w:rFonts w:ascii="Book Antiqua" w:hAnsi="Book Antiqua" w:cs="Arial"/>
          <w:color w:val="000000"/>
          <w:sz w:val="20"/>
          <w:szCs w:val="20"/>
        </w:rPr>
      </w:pPr>
      <w:r w:rsidRPr="006165A0">
        <w:rPr>
          <w:rStyle w:val="legamendingtext"/>
          <w:rFonts w:ascii="Book Antiqua" w:hAnsi="Book Antiqua" w:cs="Arial"/>
          <w:color w:val="000000"/>
          <w:sz w:val="20"/>
          <w:szCs w:val="20"/>
        </w:rPr>
        <w:t>(b)</w:t>
      </w:r>
      <w:r>
        <w:rPr>
          <w:rStyle w:val="legamendingtext"/>
          <w:rFonts w:ascii="Book Antiqua" w:hAnsi="Book Antiqua" w:cs="Arial"/>
          <w:color w:val="000000"/>
          <w:sz w:val="20"/>
          <w:szCs w:val="20"/>
        </w:rPr>
        <w:t xml:space="preserve"> </w:t>
      </w:r>
      <w:r w:rsidRPr="006165A0">
        <w:rPr>
          <w:rStyle w:val="legamendingtext"/>
          <w:rFonts w:ascii="Book Antiqua" w:hAnsi="Book Antiqua" w:cs="Arial"/>
          <w:color w:val="000000"/>
          <w:sz w:val="20"/>
          <w:szCs w:val="20"/>
        </w:rPr>
        <w:t>a relationship formed with a qualifying partner,</w:t>
      </w:r>
    </w:p>
    <w:p w:rsidR="00663C92" w:rsidRPr="006165A0" w:rsidRDefault="00663C92" w:rsidP="00663C92">
      <w:pPr>
        <w:pStyle w:val="legrhs"/>
        <w:shd w:val="clear" w:color="auto" w:fill="FFFFFF"/>
        <w:spacing w:before="0" w:beforeAutospacing="0" w:after="120" w:afterAutospacing="0" w:line="360" w:lineRule="atLeast"/>
        <w:ind w:left="1134" w:right="1134"/>
        <w:jc w:val="both"/>
        <w:rPr>
          <w:rFonts w:ascii="Book Antiqua" w:hAnsi="Book Antiqua" w:cs="Arial"/>
          <w:color w:val="000000"/>
          <w:sz w:val="20"/>
          <w:szCs w:val="20"/>
        </w:rPr>
      </w:pPr>
      <w:r w:rsidRPr="006165A0">
        <w:rPr>
          <w:rStyle w:val="legamendingtext"/>
          <w:rFonts w:ascii="Book Antiqua" w:hAnsi="Book Antiqua" w:cs="Arial"/>
          <w:color w:val="000000"/>
          <w:sz w:val="20"/>
          <w:szCs w:val="20"/>
        </w:rPr>
        <w:t>that is established by a person at a time when the person is in the United Kingdom unlawfully.</w:t>
      </w:r>
      <w:r w:rsidRPr="006165A0">
        <w:rPr>
          <w:rFonts w:ascii="Book Antiqua" w:hAnsi="Book Antiqua" w:cs="Arial"/>
          <w:color w:val="000000"/>
          <w:sz w:val="20"/>
          <w:szCs w:val="20"/>
        </w:rPr>
        <w:t xml:space="preserve"> </w:t>
      </w:r>
    </w:p>
    <w:p w:rsidR="00663C92" w:rsidRPr="006165A0" w:rsidRDefault="00663C92" w:rsidP="00663C92">
      <w:pPr>
        <w:pStyle w:val="legclearfix"/>
        <w:shd w:val="clear" w:color="auto" w:fill="FFFFFF"/>
        <w:spacing w:before="0" w:beforeAutospacing="0" w:after="120" w:afterAutospacing="0" w:line="360" w:lineRule="atLeast"/>
        <w:ind w:left="1134" w:right="1134"/>
        <w:rPr>
          <w:rFonts w:ascii="Book Antiqua" w:hAnsi="Book Antiqua" w:cs="Arial"/>
          <w:color w:val="000000"/>
          <w:sz w:val="20"/>
          <w:szCs w:val="20"/>
        </w:rPr>
      </w:pPr>
      <w:r w:rsidRPr="006165A0">
        <w:rPr>
          <w:rStyle w:val="legamendingtext"/>
          <w:rFonts w:ascii="Book Antiqua" w:hAnsi="Book Antiqua" w:cs="Arial"/>
          <w:color w:val="000000"/>
          <w:sz w:val="20"/>
          <w:szCs w:val="20"/>
        </w:rPr>
        <w:t>(5)</w:t>
      </w:r>
      <w:r>
        <w:rPr>
          <w:rStyle w:val="legamendingtext"/>
          <w:rFonts w:ascii="Book Antiqua" w:hAnsi="Book Antiqua" w:cs="Arial"/>
          <w:color w:val="000000"/>
          <w:sz w:val="20"/>
          <w:szCs w:val="20"/>
        </w:rPr>
        <w:t xml:space="preserve"> </w:t>
      </w:r>
      <w:r w:rsidRPr="006165A0">
        <w:rPr>
          <w:rStyle w:val="legamendingtext"/>
          <w:rFonts w:ascii="Book Antiqua" w:hAnsi="Book Antiqua" w:cs="Arial"/>
          <w:color w:val="000000"/>
          <w:sz w:val="20"/>
          <w:szCs w:val="20"/>
        </w:rPr>
        <w:t>Little weight should be given to a private life established by a person at a time when the person's immigration status is precarious.</w:t>
      </w:r>
    </w:p>
    <w:p w:rsidR="00663C92" w:rsidRPr="006165A0" w:rsidRDefault="00663C92" w:rsidP="00663C92">
      <w:pPr>
        <w:pStyle w:val="legclearfix"/>
        <w:shd w:val="clear" w:color="auto" w:fill="FFFFFF"/>
        <w:spacing w:before="0" w:beforeAutospacing="0" w:after="120" w:afterAutospacing="0" w:line="360" w:lineRule="atLeast"/>
        <w:ind w:left="1134" w:right="1134"/>
        <w:rPr>
          <w:rFonts w:ascii="Book Antiqua" w:hAnsi="Book Antiqua" w:cs="Arial"/>
          <w:color w:val="000000"/>
          <w:sz w:val="20"/>
          <w:szCs w:val="20"/>
        </w:rPr>
      </w:pPr>
      <w:r w:rsidRPr="006165A0">
        <w:rPr>
          <w:rStyle w:val="legamendingtext"/>
          <w:rFonts w:ascii="Book Antiqua" w:hAnsi="Book Antiqua" w:cs="Arial"/>
          <w:color w:val="000000"/>
          <w:sz w:val="20"/>
          <w:szCs w:val="20"/>
        </w:rPr>
        <w:t>(6)</w:t>
      </w:r>
      <w:r>
        <w:rPr>
          <w:rStyle w:val="legamendingtext"/>
          <w:rFonts w:ascii="Book Antiqua" w:hAnsi="Book Antiqua" w:cs="Arial"/>
          <w:color w:val="000000"/>
          <w:sz w:val="20"/>
          <w:szCs w:val="20"/>
        </w:rPr>
        <w:t xml:space="preserve"> </w:t>
      </w:r>
      <w:r w:rsidRPr="006165A0">
        <w:rPr>
          <w:rStyle w:val="legamendingtext"/>
          <w:rFonts w:ascii="Book Antiqua" w:hAnsi="Book Antiqua" w:cs="Arial"/>
          <w:color w:val="000000"/>
          <w:sz w:val="20"/>
          <w:szCs w:val="20"/>
        </w:rPr>
        <w:t>In the case of a person who is not liable to deportation, the public interest does not require the person's removal where—</w:t>
      </w:r>
    </w:p>
    <w:p w:rsidR="00663C92" w:rsidRPr="006165A0" w:rsidRDefault="00663C92" w:rsidP="00663C92">
      <w:pPr>
        <w:pStyle w:val="legclearfix"/>
        <w:shd w:val="clear" w:color="auto" w:fill="FFFFFF"/>
        <w:spacing w:before="0" w:beforeAutospacing="0" w:after="120" w:afterAutospacing="0" w:line="360" w:lineRule="atLeast"/>
        <w:ind w:left="1134" w:right="1134"/>
        <w:rPr>
          <w:rFonts w:ascii="Book Antiqua" w:hAnsi="Book Antiqua" w:cs="Arial"/>
          <w:color w:val="000000"/>
          <w:sz w:val="20"/>
          <w:szCs w:val="20"/>
        </w:rPr>
      </w:pPr>
      <w:r w:rsidRPr="006165A0">
        <w:rPr>
          <w:rStyle w:val="legamendingtext"/>
          <w:rFonts w:ascii="Book Antiqua" w:hAnsi="Book Antiqua" w:cs="Arial"/>
          <w:color w:val="000000"/>
          <w:sz w:val="20"/>
          <w:szCs w:val="20"/>
        </w:rPr>
        <w:t>(a)</w:t>
      </w:r>
      <w:r>
        <w:rPr>
          <w:rStyle w:val="legamendingtext"/>
          <w:rFonts w:ascii="Book Antiqua" w:hAnsi="Book Antiqua" w:cs="Arial"/>
          <w:color w:val="000000"/>
          <w:sz w:val="20"/>
          <w:szCs w:val="20"/>
        </w:rPr>
        <w:t xml:space="preserve"> </w:t>
      </w:r>
      <w:r w:rsidRPr="006165A0">
        <w:rPr>
          <w:rStyle w:val="legamendingtext"/>
          <w:rFonts w:ascii="Book Antiqua" w:hAnsi="Book Antiqua" w:cs="Arial"/>
          <w:color w:val="000000"/>
          <w:sz w:val="20"/>
          <w:szCs w:val="20"/>
        </w:rPr>
        <w:t>the person has a genuine and subsisting parental relationship with a qualifying child, and</w:t>
      </w:r>
    </w:p>
    <w:p w:rsidR="00663C92" w:rsidRDefault="00663C92" w:rsidP="00663C92">
      <w:pPr>
        <w:pStyle w:val="legclearfix"/>
        <w:shd w:val="clear" w:color="auto" w:fill="FFFFFF"/>
        <w:spacing w:before="0" w:beforeAutospacing="0" w:after="120" w:afterAutospacing="0" w:line="360" w:lineRule="atLeast"/>
        <w:ind w:left="1134" w:right="1134"/>
        <w:rPr>
          <w:rFonts w:ascii="Arial" w:hAnsi="Arial" w:cs="Arial"/>
          <w:color w:val="000000"/>
          <w:sz w:val="19"/>
          <w:szCs w:val="19"/>
        </w:rPr>
      </w:pPr>
      <w:r w:rsidRPr="006165A0">
        <w:rPr>
          <w:rStyle w:val="legamendingtext"/>
          <w:rFonts w:ascii="Book Antiqua" w:hAnsi="Book Antiqua" w:cs="Arial"/>
          <w:color w:val="000000"/>
          <w:sz w:val="20"/>
          <w:szCs w:val="20"/>
        </w:rPr>
        <w:t>(b)</w:t>
      </w:r>
      <w:r>
        <w:rPr>
          <w:rStyle w:val="legamendingtext"/>
          <w:rFonts w:ascii="Book Antiqua" w:hAnsi="Book Antiqua" w:cs="Arial"/>
          <w:color w:val="000000"/>
          <w:sz w:val="20"/>
          <w:szCs w:val="20"/>
        </w:rPr>
        <w:t xml:space="preserve"> </w:t>
      </w:r>
      <w:r w:rsidRPr="006165A0">
        <w:rPr>
          <w:rStyle w:val="legamendingtext"/>
          <w:rFonts w:ascii="Book Antiqua" w:hAnsi="Book Antiqua" w:cs="Arial"/>
          <w:color w:val="000000"/>
          <w:sz w:val="20"/>
          <w:szCs w:val="20"/>
        </w:rPr>
        <w:t>it would not be reasonable to expect the child to leave the United Kingdom.</w:t>
      </w:r>
    </w:p>
    <w:p w:rsidR="00663C92" w:rsidRDefault="00663C92" w:rsidP="00663C92">
      <w:pPr>
        <w:tabs>
          <w:tab w:val="left" w:pos="567"/>
        </w:tabs>
        <w:ind w:left="567" w:right="567"/>
        <w:jc w:val="both"/>
        <w:rPr>
          <w:rFonts w:ascii="Book Antiqua" w:hAnsi="Book Antiqua" w:cs="Arial"/>
        </w:rPr>
      </w:pPr>
    </w:p>
    <w:p w:rsidR="003556CC" w:rsidRDefault="009A7C73" w:rsidP="00C869BC">
      <w:pPr>
        <w:numPr>
          <w:ilvl w:val="0"/>
          <w:numId w:val="1"/>
        </w:numPr>
        <w:tabs>
          <w:tab w:val="left" w:pos="567"/>
        </w:tabs>
        <w:ind w:left="567" w:right="567"/>
        <w:jc w:val="both"/>
        <w:rPr>
          <w:rFonts w:ascii="Book Antiqua" w:hAnsi="Book Antiqua" w:cs="Arial"/>
        </w:rPr>
      </w:pPr>
      <w:r>
        <w:rPr>
          <w:rFonts w:ascii="Book Antiqua" w:hAnsi="Book Antiqua" w:cs="Arial"/>
        </w:rPr>
        <w:t>The scheme is now therefore simple. A right of appeal arises against a decision to refuse a human rights claim; the appeal must be brought on the grounds that the decision is unlawful under the Human Rights Act 1998; in determining whether that ground is made out the Tribunal may consider any matter it thinks relevant to the substance of the decision, including matters arising after the date of the decision.</w:t>
      </w:r>
      <w:r w:rsidR="00663C92">
        <w:rPr>
          <w:rFonts w:ascii="Book Antiqua" w:hAnsi="Book Antiqua" w:cs="Arial"/>
        </w:rPr>
        <w:t xml:space="preserve">  Those must include the public interest factors set out in s117B. </w:t>
      </w:r>
      <w:r>
        <w:rPr>
          <w:rFonts w:ascii="Book Antiqua" w:hAnsi="Book Antiqua" w:cs="Arial"/>
        </w:rPr>
        <w:t xml:space="preserve"> </w:t>
      </w:r>
    </w:p>
    <w:p w:rsidR="003556CC" w:rsidRDefault="003556CC" w:rsidP="003556CC">
      <w:pPr>
        <w:tabs>
          <w:tab w:val="left" w:pos="567"/>
        </w:tabs>
        <w:ind w:left="567" w:right="567"/>
        <w:jc w:val="both"/>
        <w:rPr>
          <w:rFonts w:ascii="Book Antiqua" w:hAnsi="Book Antiqua" w:cs="Arial"/>
        </w:rPr>
      </w:pPr>
    </w:p>
    <w:p w:rsidR="009A7C73" w:rsidRDefault="009A7C73" w:rsidP="00C869BC">
      <w:pPr>
        <w:numPr>
          <w:ilvl w:val="0"/>
          <w:numId w:val="1"/>
        </w:numPr>
        <w:tabs>
          <w:tab w:val="left" w:pos="567"/>
        </w:tabs>
        <w:ind w:left="567" w:right="567"/>
        <w:jc w:val="both"/>
        <w:rPr>
          <w:rFonts w:ascii="Book Antiqua" w:hAnsi="Book Antiqua" w:cs="Arial"/>
        </w:rPr>
      </w:pPr>
      <w:r>
        <w:rPr>
          <w:rFonts w:ascii="Book Antiqua" w:hAnsi="Book Antiqua" w:cs="Arial"/>
        </w:rPr>
        <w:t xml:space="preserve">It follows </w:t>
      </w:r>
      <w:r w:rsidR="003556CC">
        <w:rPr>
          <w:rFonts w:ascii="Book Antiqua" w:hAnsi="Book Antiqua" w:cs="Arial"/>
        </w:rPr>
        <w:t xml:space="preserve">from the above </w:t>
      </w:r>
      <w:r>
        <w:rPr>
          <w:rFonts w:ascii="Book Antiqua" w:hAnsi="Book Antiqua" w:cs="Arial"/>
        </w:rPr>
        <w:t xml:space="preserve">that the First-tier Tribunal was unarguably correct to </w:t>
      </w:r>
      <w:r w:rsidRPr="00201D9F">
        <w:rPr>
          <w:rFonts w:ascii="Book Antiqua" w:hAnsi="Book Antiqua" w:cs="Arial"/>
        </w:rPr>
        <w:t xml:space="preserve">conclude that it was not bound by matters as they stood at the date of the ECO’s decision in June 2016. The date for resolution of the Article 8 issues was the date of the hearing before the First-tier Tribunal. This much is made clear by s85(4), as well as the fact that s84 is couched in the present tense: “the decision </w:t>
      </w:r>
      <w:r w:rsidRPr="00201D9F">
        <w:rPr>
          <w:rFonts w:ascii="Book Antiqua" w:hAnsi="Book Antiqua" w:cs="Arial"/>
          <w:b/>
        </w:rPr>
        <w:t>is</w:t>
      </w:r>
      <w:r>
        <w:rPr>
          <w:rFonts w:ascii="Book Antiqua" w:hAnsi="Book Antiqua" w:cs="Arial"/>
        </w:rPr>
        <w:t xml:space="preserve"> unlawful under section 6…”.</w:t>
      </w:r>
      <w:r w:rsidR="00663C92">
        <w:rPr>
          <w:rFonts w:ascii="Book Antiqua" w:hAnsi="Book Antiqua" w:cs="Arial"/>
        </w:rPr>
        <w:t xml:space="preserve">  </w:t>
      </w:r>
      <w:r w:rsidR="003556CC">
        <w:rPr>
          <w:rFonts w:ascii="Book Antiqua" w:hAnsi="Book Antiqua" w:cs="Arial"/>
        </w:rPr>
        <w:t xml:space="preserve">  I therefore reject the first limb of the Appellant’s appeal, namely the assertion that the findings on past compliance with Appendix FM should be determinative of her present human rights appeal.</w:t>
      </w:r>
    </w:p>
    <w:p w:rsidR="003556CC" w:rsidRDefault="003556CC" w:rsidP="003556CC">
      <w:pPr>
        <w:pStyle w:val="ListParagraph"/>
        <w:rPr>
          <w:rFonts w:ascii="Book Antiqua" w:hAnsi="Book Antiqua" w:cs="Arial"/>
        </w:rPr>
      </w:pPr>
    </w:p>
    <w:p w:rsidR="003556CC" w:rsidRPr="003556CC" w:rsidRDefault="003556CC" w:rsidP="003556CC">
      <w:pPr>
        <w:tabs>
          <w:tab w:val="left" w:pos="567"/>
        </w:tabs>
        <w:ind w:left="567" w:right="567"/>
        <w:jc w:val="both"/>
        <w:rPr>
          <w:rFonts w:ascii="Book Antiqua" w:hAnsi="Book Antiqua" w:cs="Arial"/>
          <w:b/>
        </w:rPr>
      </w:pPr>
      <w:r w:rsidRPr="003556CC">
        <w:rPr>
          <w:rFonts w:ascii="Book Antiqua" w:hAnsi="Book Antiqua" w:cs="Arial"/>
          <w:b/>
        </w:rPr>
        <w:t>Proportionality</w:t>
      </w:r>
    </w:p>
    <w:p w:rsidR="003556CC" w:rsidRDefault="003556CC" w:rsidP="003556CC">
      <w:pPr>
        <w:tabs>
          <w:tab w:val="left" w:pos="567"/>
        </w:tabs>
        <w:ind w:left="567" w:right="567"/>
        <w:jc w:val="both"/>
        <w:rPr>
          <w:rFonts w:ascii="Book Antiqua" w:hAnsi="Book Antiqua" w:cs="Arial"/>
        </w:rPr>
      </w:pPr>
    </w:p>
    <w:p w:rsidR="007C5A02" w:rsidRDefault="007C5A02" w:rsidP="00D0079B">
      <w:pPr>
        <w:numPr>
          <w:ilvl w:val="0"/>
          <w:numId w:val="1"/>
        </w:numPr>
        <w:tabs>
          <w:tab w:val="left" w:pos="567"/>
        </w:tabs>
        <w:ind w:left="567" w:right="567"/>
        <w:jc w:val="both"/>
        <w:rPr>
          <w:rFonts w:ascii="Book Antiqua" w:hAnsi="Book Antiqua" w:cs="Arial"/>
        </w:rPr>
      </w:pPr>
      <w:r>
        <w:rPr>
          <w:rFonts w:ascii="Book Antiqua" w:hAnsi="Book Antiqua" w:cs="Arial"/>
        </w:rPr>
        <w:lastRenderedPageBreak/>
        <w:t>I am satisfied that there are two discrete errors in the First-tier Tribunal’s reasoning on proportionality.</w:t>
      </w:r>
    </w:p>
    <w:p w:rsidR="007C5A02" w:rsidRDefault="007C5A02" w:rsidP="007C5A02">
      <w:pPr>
        <w:tabs>
          <w:tab w:val="left" w:pos="567"/>
        </w:tabs>
        <w:ind w:left="567" w:right="567"/>
        <w:jc w:val="both"/>
        <w:rPr>
          <w:rFonts w:ascii="Book Antiqua" w:hAnsi="Book Antiqua" w:cs="Arial"/>
        </w:rPr>
      </w:pPr>
    </w:p>
    <w:p w:rsidR="00607851" w:rsidRPr="00607851" w:rsidRDefault="007C5A02" w:rsidP="00607851">
      <w:pPr>
        <w:numPr>
          <w:ilvl w:val="0"/>
          <w:numId w:val="1"/>
        </w:numPr>
        <w:tabs>
          <w:tab w:val="left" w:pos="567"/>
        </w:tabs>
        <w:ind w:left="567" w:right="567"/>
        <w:jc w:val="both"/>
        <w:rPr>
          <w:rFonts w:ascii="Book Antiqua" w:hAnsi="Book Antiqua" w:cs="Arial"/>
        </w:rPr>
      </w:pPr>
      <w:r>
        <w:rPr>
          <w:rFonts w:ascii="Book Antiqua" w:hAnsi="Book Antiqua" w:cs="Arial"/>
        </w:rPr>
        <w:t>As I have noted above, the Tribunal accepted that the Appellant met the relevant requirements of Appendix FM at the date of decision</w:t>
      </w:r>
      <w:r w:rsidR="00607851">
        <w:rPr>
          <w:rFonts w:ascii="Book Antiqua" w:hAnsi="Book Antiqua" w:cs="Arial"/>
        </w:rPr>
        <w:t>. I</w:t>
      </w:r>
      <w:r w:rsidR="00EC2734">
        <w:rPr>
          <w:rFonts w:ascii="Book Antiqua" w:hAnsi="Book Antiqua" w:cs="Arial"/>
        </w:rPr>
        <w:t xml:space="preserve">n June 2016 </w:t>
      </w:r>
      <w:r w:rsidR="00607851">
        <w:rPr>
          <w:rFonts w:ascii="Book Antiqua" w:hAnsi="Book Antiqua" w:cs="Arial"/>
        </w:rPr>
        <w:t xml:space="preserve">it was – applying the Tribunal’s findings to the Respondent’s position - </w:t>
      </w:r>
      <w:r w:rsidR="00EC2734">
        <w:rPr>
          <w:rFonts w:ascii="Book Antiqua" w:hAnsi="Book Antiqua" w:cs="Arial"/>
        </w:rPr>
        <w:t xml:space="preserve"> a disproportionate interference with her right to family life to exclude her from the United Kingdom.   Implicit in that is an acceptance that her relationship with her husband was of sufficient quality and depth to engage Article 8</w:t>
      </w:r>
      <w:r w:rsidR="00607851">
        <w:rPr>
          <w:rFonts w:ascii="Book Antiqua" w:hAnsi="Book Antiqua" w:cs="Arial"/>
        </w:rPr>
        <w:t xml:space="preserve"> and compel entry clearance</w:t>
      </w:r>
      <w:r w:rsidR="00EC2734">
        <w:rPr>
          <w:rFonts w:ascii="Book Antiqua" w:hAnsi="Book Antiqua" w:cs="Arial"/>
        </w:rPr>
        <w:t>.  It is therefore in my view anomalous that the First-tier Tribunal, in its assessment of proportionality, only attached little weight to the relationship, noting that it was of “fairly limited duration” and had been conducted exclus</w:t>
      </w:r>
      <w:r w:rsidR="00607851">
        <w:rPr>
          <w:rFonts w:ascii="Book Antiqua" w:hAnsi="Book Antiqua" w:cs="Arial"/>
        </w:rPr>
        <w:t xml:space="preserve">ively in Iraq. </w:t>
      </w:r>
      <w:r w:rsidR="00AF55D0">
        <w:rPr>
          <w:rFonts w:ascii="Book Antiqua" w:hAnsi="Book Antiqua" w:cs="Arial"/>
        </w:rPr>
        <w:t xml:space="preserve"> There was no reason</w:t>
      </w:r>
      <w:r w:rsidR="00607851">
        <w:rPr>
          <w:rFonts w:ascii="Book Antiqua" w:hAnsi="Book Antiqua" w:cs="Arial"/>
        </w:rPr>
        <w:t xml:space="preserve"> </w:t>
      </w:r>
      <w:r w:rsidR="00AF55D0">
        <w:rPr>
          <w:rFonts w:ascii="Book Antiqua" w:hAnsi="Book Antiqua" w:cs="Arial"/>
        </w:rPr>
        <w:t>to</w:t>
      </w:r>
      <w:r w:rsidR="00607851">
        <w:rPr>
          <w:rFonts w:ascii="Book Antiqua" w:hAnsi="Book Antiqua" w:cs="Arial"/>
        </w:rPr>
        <w:t xml:space="preserve"> diminish the weight to be attached to the relationship where, in the 15 months between decision and determination, it had in fact strengthened: a</w:t>
      </w:r>
      <w:r w:rsidR="00607851" w:rsidRPr="00607851">
        <w:rPr>
          <w:rFonts w:ascii="Book Antiqua" w:hAnsi="Book Antiqua" w:cs="Arial"/>
        </w:rPr>
        <w:t xml:space="preserve">t the date of the ECO’s decision the couple had been married only a few months and the Sponsor had only spent a matter of weeks with her after the wedding; by the date of the appeal they had been married for a further 15 months and the Sponsor had been to Iraq on “several” occasions to see her.   </w:t>
      </w:r>
    </w:p>
    <w:p w:rsidR="00AF55D0" w:rsidRDefault="00AF55D0" w:rsidP="00AF55D0">
      <w:pPr>
        <w:tabs>
          <w:tab w:val="left" w:pos="567"/>
        </w:tabs>
        <w:ind w:left="567" w:right="567"/>
        <w:jc w:val="both"/>
        <w:rPr>
          <w:rFonts w:ascii="Book Antiqua" w:hAnsi="Book Antiqua" w:cs="Arial"/>
        </w:rPr>
      </w:pPr>
    </w:p>
    <w:p w:rsidR="00607851" w:rsidRDefault="00AF55D0" w:rsidP="00D0079B">
      <w:pPr>
        <w:numPr>
          <w:ilvl w:val="0"/>
          <w:numId w:val="1"/>
        </w:numPr>
        <w:tabs>
          <w:tab w:val="left" w:pos="567"/>
        </w:tabs>
        <w:ind w:left="567" w:right="567"/>
        <w:jc w:val="both"/>
        <w:rPr>
          <w:rFonts w:ascii="Book Antiqua" w:hAnsi="Book Antiqua" w:cs="Arial"/>
        </w:rPr>
      </w:pPr>
      <w:r>
        <w:rPr>
          <w:rFonts w:ascii="Book Antiqua" w:hAnsi="Book Antiqua" w:cs="Arial"/>
        </w:rPr>
        <w:t xml:space="preserve">Having made its observations about ‘family life’ the Tribunal went on to say this [at §16]: </w:t>
      </w:r>
    </w:p>
    <w:p w:rsidR="00AF55D0" w:rsidRDefault="00AF55D0" w:rsidP="00AF55D0">
      <w:pPr>
        <w:pStyle w:val="ListParagraph"/>
        <w:rPr>
          <w:rFonts w:ascii="Book Antiqua" w:hAnsi="Book Antiqua" w:cs="Arial"/>
        </w:rPr>
      </w:pPr>
    </w:p>
    <w:p w:rsidR="00AF55D0" w:rsidRDefault="00AF55D0" w:rsidP="00737E0F">
      <w:pPr>
        <w:tabs>
          <w:tab w:val="left" w:pos="567"/>
        </w:tabs>
        <w:ind w:left="1134" w:right="1134"/>
        <w:jc w:val="both"/>
        <w:rPr>
          <w:rFonts w:ascii="Book Antiqua" w:hAnsi="Book Antiqua" w:cs="Arial"/>
        </w:rPr>
      </w:pPr>
      <w:r>
        <w:rPr>
          <w:rFonts w:ascii="Book Antiqua" w:hAnsi="Book Antiqua" w:cs="Arial"/>
        </w:rPr>
        <w:t>“</w:t>
      </w:r>
      <w:proofErr w:type="gramStart"/>
      <w:r>
        <w:rPr>
          <w:rFonts w:ascii="Book Antiqua" w:hAnsi="Book Antiqua" w:cs="Arial"/>
        </w:rPr>
        <w:t>…..</w:t>
      </w:r>
      <w:proofErr w:type="gramEnd"/>
      <w:r>
        <w:rPr>
          <w:rFonts w:ascii="Book Antiqua" w:hAnsi="Book Antiqua" w:cs="Arial"/>
        </w:rPr>
        <w:t xml:space="preserve">At the time of making this decision </w:t>
      </w:r>
      <w:r w:rsidR="00737E0F">
        <w:rPr>
          <w:rFonts w:ascii="Book Antiqua" w:hAnsi="Book Antiqua" w:cs="Arial"/>
        </w:rPr>
        <w:t xml:space="preserve">it is clear that on financial grounds at least the balance weighs against the appellant being granted leave. </w:t>
      </w:r>
      <w:proofErr w:type="gramStart"/>
      <w:r w:rsidR="00737E0F">
        <w:rPr>
          <w:rFonts w:ascii="Book Antiqua" w:hAnsi="Book Antiqua" w:cs="Arial"/>
        </w:rPr>
        <w:t>So</w:t>
      </w:r>
      <w:proofErr w:type="gramEnd"/>
      <w:r w:rsidR="00737E0F">
        <w:rPr>
          <w:rFonts w:ascii="Book Antiqua" w:hAnsi="Book Antiqua" w:cs="Arial"/>
        </w:rPr>
        <w:t xml:space="preserve"> I have to go on to consider whether any other grounds exist, outside the provisions of the rules, that would justify a grant of leave. The appellant lives at home with her parents, and has always done so. It is clear that she does not have significant health problems, as made clear in the marriage certificate. The sponsor is a British citizen of Iraqi origin. He is in insecure employment, having had a period unemployed and on benefits. While he has some health problems, and is clearly not fit to drive, the evidence does not suggest that he has any specific needs in terms of health or social care that his wife would meet. I can see nothing in the circumstances of this case that would mean a refusal of leave would be a disproportionate interference in the right to family life of either the appellant or her sponsor”.</w:t>
      </w:r>
    </w:p>
    <w:p w:rsidR="00607851" w:rsidRDefault="00607851" w:rsidP="00607851">
      <w:pPr>
        <w:pStyle w:val="ListParagraph"/>
        <w:rPr>
          <w:rFonts w:ascii="Book Antiqua" w:hAnsi="Book Antiqua" w:cs="Arial"/>
        </w:rPr>
      </w:pPr>
    </w:p>
    <w:p w:rsidR="009E032D" w:rsidRDefault="00B00EA6" w:rsidP="009E032D">
      <w:pPr>
        <w:numPr>
          <w:ilvl w:val="0"/>
          <w:numId w:val="1"/>
        </w:numPr>
        <w:tabs>
          <w:tab w:val="left" w:pos="567"/>
        </w:tabs>
        <w:ind w:left="567" w:right="567"/>
        <w:jc w:val="both"/>
        <w:rPr>
          <w:rFonts w:ascii="Book Antiqua" w:hAnsi="Book Antiqua" w:cs="Arial"/>
        </w:rPr>
      </w:pPr>
      <w:r>
        <w:rPr>
          <w:rFonts w:ascii="Book Antiqua" w:hAnsi="Book Antiqua" w:cs="Arial"/>
        </w:rPr>
        <w:t xml:space="preserve">There is in that passage no weighing in the balance of of the Tribunal’s own finding regarding the ECO’s mistake.  The fact that the Appellant was wrongly denied a visa in 2016 is in my view plainly relevant to the proportionality of the continuing decision to refuse. </w:t>
      </w:r>
      <w:r w:rsidR="009E032D">
        <w:rPr>
          <w:rFonts w:ascii="Book Antiqua" w:hAnsi="Book Antiqua" w:cs="Arial"/>
        </w:rPr>
        <w:t xml:space="preserve">It is a factor that should have attracted at least </w:t>
      </w:r>
      <w:r w:rsidR="009E032D" w:rsidRPr="009E032D">
        <w:rPr>
          <w:rFonts w:ascii="Book Antiqua" w:hAnsi="Book Antiqua" w:cs="Arial"/>
          <w:i/>
        </w:rPr>
        <w:t xml:space="preserve">some </w:t>
      </w:r>
      <w:r w:rsidR="009E032D">
        <w:rPr>
          <w:rFonts w:ascii="Book Antiqua" w:hAnsi="Book Antiqua" w:cs="Arial"/>
        </w:rPr>
        <w:t xml:space="preserve">weight, particularly where there is some suggestion in the evidence – I put it no higher than that – that Mr </w:t>
      </w:r>
      <w:proofErr w:type="spellStart"/>
      <w:r w:rsidR="009E032D">
        <w:rPr>
          <w:rFonts w:ascii="Book Antiqua" w:hAnsi="Book Antiqua" w:cs="Arial"/>
        </w:rPr>
        <w:t>Abdoullahi’s</w:t>
      </w:r>
      <w:proofErr w:type="spellEnd"/>
      <w:r w:rsidR="009E032D">
        <w:rPr>
          <w:rFonts w:ascii="Book Antiqua" w:hAnsi="Book Antiqua" w:cs="Arial"/>
        </w:rPr>
        <w:t xml:space="preserve"> health difficulties are related to the ongoing strain of separation from his wife.</w:t>
      </w:r>
    </w:p>
    <w:p w:rsidR="009E032D" w:rsidRDefault="009E032D" w:rsidP="009E032D">
      <w:pPr>
        <w:tabs>
          <w:tab w:val="left" w:pos="567"/>
        </w:tabs>
        <w:ind w:left="567" w:right="567"/>
        <w:jc w:val="both"/>
        <w:rPr>
          <w:rFonts w:ascii="Book Antiqua" w:hAnsi="Book Antiqua" w:cs="Arial"/>
        </w:rPr>
      </w:pPr>
    </w:p>
    <w:p w:rsidR="009E032D" w:rsidRPr="00F23807" w:rsidRDefault="009E032D" w:rsidP="00956A41">
      <w:pPr>
        <w:numPr>
          <w:ilvl w:val="0"/>
          <w:numId w:val="1"/>
        </w:numPr>
        <w:tabs>
          <w:tab w:val="left" w:pos="567"/>
        </w:tabs>
        <w:ind w:left="567" w:right="567"/>
        <w:jc w:val="both"/>
        <w:rPr>
          <w:rFonts w:ascii="Book Antiqua" w:hAnsi="Book Antiqua" w:cs="Arial"/>
        </w:rPr>
      </w:pPr>
      <w:r w:rsidRPr="00F23807">
        <w:rPr>
          <w:rFonts w:ascii="Book Antiqua" w:hAnsi="Book Antiqua" w:cs="Arial"/>
        </w:rPr>
        <w:t xml:space="preserve">Satisfied as I am that the proportionality assessment was flawed for these reasons, I am unable to find these errors, even considered cumulatively, to be such that the decision should be set aside.   That is because the core finding – that the couple currently fail to meet the minimum income requirement – was, as the First-tier Tribunal found, a matter of some considerable weight.    I should add that had there been before the First-tier Tribunal clear medical evidence connecting Mr </w:t>
      </w:r>
      <w:proofErr w:type="spellStart"/>
      <w:r w:rsidRPr="00F23807">
        <w:rPr>
          <w:rFonts w:ascii="Book Antiqua" w:hAnsi="Book Antiqua" w:cs="Arial"/>
        </w:rPr>
        <w:t>Abdoullahi’s</w:t>
      </w:r>
      <w:proofErr w:type="spellEnd"/>
      <w:r w:rsidRPr="00F23807">
        <w:rPr>
          <w:rFonts w:ascii="Book Antiqua" w:hAnsi="Book Antiqua" w:cs="Arial"/>
        </w:rPr>
        <w:t xml:space="preserve"> heart issues to the </w:t>
      </w:r>
      <w:r w:rsidR="00B00EA6" w:rsidRPr="00F23807">
        <w:rPr>
          <w:rFonts w:ascii="Book Antiqua" w:hAnsi="Book Antiqua" w:cs="Arial"/>
        </w:rPr>
        <w:t>“severe anxieties and depression”</w:t>
      </w:r>
      <w:r w:rsidRPr="00F23807">
        <w:rPr>
          <w:rFonts w:ascii="Book Antiqua" w:hAnsi="Book Antiqua" w:cs="Arial"/>
        </w:rPr>
        <w:t xml:space="preserve"> he speaks of in his witness statement, my decision would have been otherwise. In such circumstances the First-tier Tribunal would have been bound to place substantial weight on the ECO’s mistake and the consequences thereof for this family. </w:t>
      </w:r>
      <w:r w:rsidR="00F23807" w:rsidRPr="00F23807">
        <w:rPr>
          <w:rFonts w:ascii="Book Antiqua" w:hAnsi="Book Antiqua" w:cs="Arial"/>
        </w:rPr>
        <w:t xml:space="preserve">  Absent such evidence the finding as to the position in June 2016 was not </w:t>
      </w:r>
      <w:r w:rsidR="00F23807">
        <w:rPr>
          <w:rFonts w:ascii="Book Antiqua" w:hAnsi="Book Antiqua" w:cs="Arial"/>
        </w:rPr>
        <w:t>capable of outweighing the public interest.</w:t>
      </w:r>
    </w:p>
    <w:p w:rsidR="009E032D" w:rsidRPr="009E032D" w:rsidRDefault="009E032D" w:rsidP="00F23807">
      <w:pPr>
        <w:tabs>
          <w:tab w:val="left" w:pos="567"/>
        </w:tabs>
        <w:ind w:left="567" w:right="567"/>
        <w:jc w:val="both"/>
        <w:rPr>
          <w:rFonts w:ascii="Book Antiqua" w:hAnsi="Book Antiqua" w:cs="Arial"/>
        </w:rPr>
      </w:pPr>
    </w:p>
    <w:bookmarkEnd w:id="1"/>
    <w:p w:rsidR="00B93485" w:rsidRPr="00377999" w:rsidRDefault="00B93485" w:rsidP="00B93485">
      <w:pPr>
        <w:tabs>
          <w:tab w:val="left" w:pos="567"/>
        </w:tabs>
        <w:ind w:left="567" w:right="567"/>
        <w:jc w:val="both"/>
        <w:rPr>
          <w:rFonts w:ascii="Book Antiqua" w:hAnsi="Book Antiqua" w:cs="Arial"/>
          <w:b/>
        </w:rPr>
      </w:pPr>
      <w:r w:rsidRPr="00377999">
        <w:rPr>
          <w:rFonts w:ascii="Book Antiqua" w:hAnsi="Book Antiqua" w:cs="Arial"/>
          <w:b/>
        </w:rPr>
        <w:t xml:space="preserve">Decisions </w:t>
      </w:r>
    </w:p>
    <w:p w:rsidR="00B93485" w:rsidRPr="00377999" w:rsidRDefault="00B93485" w:rsidP="00B93485">
      <w:pPr>
        <w:tabs>
          <w:tab w:val="left" w:pos="567"/>
        </w:tabs>
        <w:ind w:left="567" w:right="567"/>
        <w:jc w:val="both"/>
        <w:rPr>
          <w:rFonts w:ascii="Book Antiqua" w:hAnsi="Book Antiqua" w:cs="Arial"/>
        </w:rPr>
      </w:pPr>
    </w:p>
    <w:p w:rsidR="00F23807" w:rsidRDefault="00B93485" w:rsidP="00B93485">
      <w:pPr>
        <w:numPr>
          <w:ilvl w:val="0"/>
          <w:numId w:val="1"/>
        </w:numPr>
        <w:tabs>
          <w:tab w:val="clear" w:pos="786"/>
          <w:tab w:val="left" w:pos="567"/>
          <w:tab w:val="num" w:pos="1080"/>
        </w:tabs>
        <w:ind w:left="567" w:right="567"/>
        <w:jc w:val="both"/>
        <w:rPr>
          <w:rFonts w:ascii="Book Antiqua" w:hAnsi="Book Antiqua" w:cs="Arial"/>
        </w:rPr>
      </w:pPr>
      <w:r w:rsidRPr="00377999">
        <w:rPr>
          <w:rFonts w:ascii="Book Antiqua" w:hAnsi="Book Antiqua" w:cs="Arial"/>
        </w:rPr>
        <w:t xml:space="preserve">The decision of the First-tier Tribunal </w:t>
      </w:r>
      <w:r w:rsidR="00F23807">
        <w:rPr>
          <w:rFonts w:ascii="Book Antiqua" w:hAnsi="Book Antiqua" w:cs="Arial"/>
        </w:rPr>
        <w:t>is upheld.</w:t>
      </w:r>
    </w:p>
    <w:p w:rsidR="00B93485" w:rsidRPr="00377999" w:rsidRDefault="00B93485" w:rsidP="00B93485">
      <w:pPr>
        <w:pStyle w:val="ListParagraph"/>
        <w:rPr>
          <w:rFonts w:ascii="Book Antiqua" w:hAnsi="Book Antiqua" w:cs="Arial"/>
        </w:rPr>
      </w:pPr>
    </w:p>
    <w:p w:rsidR="00B93485" w:rsidRPr="00377999" w:rsidRDefault="00F23807" w:rsidP="00B93485">
      <w:pPr>
        <w:numPr>
          <w:ilvl w:val="0"/>
          <w:numId w:val="1"/>
        </w:numPr>
        <w:tabs>
          <w:tab w:val="clear" w:pos="786"/>
          <w:tab w:val="left" w:pos="567"/>
          <w:tab w:val="num" w:pos="1080"/>
        </w:tabs>
        <w:ind w:left="567" w:right="567"/>
        <w:jc w:val="both"/>
        <w:rPr>
          <w:rFonts w:ascii="Book Antiqua" w:hAnsi="Book Antiqua" w:cs="Arial"/>
        </w:rPr>
      </w:pPr>
      <w:r>
        <w:rPr>
          <w:rFonts w:ascii="Book Antiqua" w:hAnsi="Book Antiqua" w:cs="Arial"/>
        </w:rPr>
        <w:t>There is no</w:t>
      </w:r>
      <w:r w:rsidR="00B93485" w:rsidRPr="00377999">
        <w:rPr>
          <w:rFonts w:ascii="Book Antiqua" w:hAnsi="Book Antiqua" w:cs="Arial"/>
        </w:rPr>
        <w:t xml:space="preserve"> order for anonymity.</w:t>
      </w:r>
    </w:p>
    <w:p w:rsidR="00F66F55" w:rsidRPr="00377999" w:rsidRDefault="005316D4" w:rsidP="00377999">
      <w:pPr>
        <w:tabs>
          <w:tab w:val="left" w:pos="567"/>
        </w:tabs>
        <w:ind w:right="567"/>
        <w:jc w:val="both"/>
        <w:rPr>
          <w:rFonts w:ascii="Book Antiqua" w:hAnsi="Book Antiqua" w:cs="Arial"/>
          <w:highlight w:val="cyan"/>
        </w:rPr>
      </w:pPr>
      <w:r>
        <w:rPr>
          <w:rFonts w:ascii="Book Antiqua" w:hAnsi="Book Antiqua" w:cs="Arial"/>
          <w:highlight w:val="cyan"/>
        </w:rPr>
        <w:t xml:space="preserve"> </w:t>
      </w:r>
    </w:p>
    <w:p w:rsidR="00F62C83" w:rsidRPr="00B1620C" w:rsidRDefault="00F62C83" w:rsidP="00F62C83">
      <w:pPr>
        <w:tabs>
          <w:tab w:val="left" w:pos="567"/>
        </w:tabs>
        <w:ind w:left="567" w:right="567"/>
        <w:jc w:val="both"/>
        <w:rPr>
          <w:rFonts w:ascii="Book Antiqua" w:hAnsi="Book Antiqua" w:cs="Arial"/>
        </w:rPr>
      </w:pPr>
    </w:p>
    <w:p w:rsidR="00F62C83" w:rsidRPr="00F62C83" w:rsidRDefault="00F62C83" w:rsidP="00F62C83">
      <w:pPr>
        <w:tabs>
          <w:tab w:val="left" w:pos="567"/>
        </w:tabs>
        <w:ind w:left="567" w:right="567"/>
        <w:jc w:val="both"/>
        <w:rPr>
          <w:rFonts w:ascii="Book Antiqua" w:hAnsi="Book Antiqua" w:cs="Arial"/>
          <w:highlight w:val="yellow"/>
        </w:rPr>
      </w:pPr>
    </w:p>
    <w:p w:rsidR="00D219F1" w:rsidRDefault="00D219F1" w:rsidP="00503887">
      <w:pPr>
        <w:tabs>
          <w:tab w:val="left" w:pos="567"/>
        </w:tabs>
        <w:ind w:left="720"/>
        <w:jc w:val="right"/>
        <w:rPr>
          <w:rFonts w:ascii="Book Antiqua" w:hAnsi="Book Antiqua" w:cs="Arial"/>
        </w:rPr>
      </w:pPr>
      <w:r>
        <w:rPr>
          <w:rFonts w:ascii="Book Antiqua" w:hAnsi="Book Antiqua" w:cs="Arial"/>
        </w:rPr>
        <w:t>Upper Tribunal Judge Bruce</w:t>
      </w:r>
    </w:p>
    <w:p w:rsidR="00D219F1" w:rsidRDefault="00C2553B" w:rsidP="008C6613">
      <w:pPr>
        <w:tabs>
          <w:tab w:val="left" w:pos="567"/>
        </w:tabs>
        <w:ind w:left="720"/>
        <w:jc w:val="center"/>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F23807">
        <w:rPr>
          <w:rFonts w:ascii="Book Antiqua" w:hAnsi="Book Antiqua" w:cs="Arial"/>
        </w:rPr>
        <w:t xml:space="preserve">    </w:t>
      </w:r>
      <w:r>
        <w:rPr>
          <w:rFonts w:ascii="Book Antiqua" w:hAnsi="Book Antiqua" w:cs="Arial"/>
        </w:rPr>
        <w:tab/>
      </w:r>
      <w:r w:rsidR="00F8447E">
        <w:rPr>
          <w:rFonts w:ascii="Book Antiqua" w:hAnsi="Book Antiqua" w:cs="Arial"/>
        </w:rPr>
        <w:t xml:space="preserve">   </w:t>
      </w:r>
      <w:r w:rsidR="00F62C83">
        <w:rPr>
          <w:rFonts w:ascii="Book Antiqua" w:hAnsi="Book Antiqua" w:cs="Arial"/>
        </w:rPr>
        <w:t xml:space="preserve"> </w:t>
      </w:r>
      <w:r w:rsidR="00AA3BE8">
        <w:rPr>
          <w:rFonts w:ascii="Book Antiqua" w:hAnsi="Book Antiqua" w:cs="Arial"/>
        </w:rPr>
        <w:t xml:space="preserve"> </w:t>
      </w:r>
      <w:r w:rsidR="00A10FB9">
        <w:rPr>
          <w:rFonts w:ascii="Book Antiqua" w:hAnsi="Book Antiqua" w:cs="Arial"/>
        </w:rPr>
        <w:t xml:space="preserve">    </w:t>
      </w:r>
      <w:r w:rsidR="00AA3BE8">
        <w:rPr>
          <w:rFonts w:ascii="Book Antiqua" w:hAnsi="Book Antiqua" w:cs="Arial"/>
        </w:rPr>
        <w:t xml:space="preserve"> </w:t>
      </w:r>
      <w:r w:rsidR="00135F51">
        <w:rPr>
          <w:rFonts w:ascii="Book Antiqua" w:hAnsi="Book Antiqua" w:cs="Arial"/>
        </w:rPr>
        <w:t xml:space="preserve">         </w:t>
      </w:r>
      <w:r w:rsidR="00F66F55">
        <w:rPr>
          <w:rFonts w:ascii="Book Antiqua" w:hAnsi="Book Antiqua" w:cs="Arial"/>
        </w:rPr>
        <w:t xml:space="preserve">   </w:t>
      </w:r>
      <w:r w:rsidR="00135F51">
        <w:rPr>
          <w:rFonts w:ascii="Book Antiqua" w:hAnsi="Book Antiqua" w:cs="Arial"/>
        </w:rPr>
        <w:t xml:space="preserve">  </w:t>
      </w:r>
      <w:r w:rsidR="004A7171">
        <w:rPr>
          <w:rFonts w:ascii="Book Antiqua" w:hAnsi="Book Antiqua" w:cs="Arial"/>
        </w:rPr>
        <w:t xml:space="preserve">     </w:t>
      </w:r>
      <w:r w:rsidR="00F23807">
        <w:rPr>
          <w:rFonts w:ascii="Book Antiqua" w:hAnsi="Book Antiqua" w:cs="Arial"/>
        </w:rPr>
        <w:t xml:space="preserve">      20</w:t>
      </w:r>
      <w:r w:rsidR="00F23807" w:rsidRPr="00F23807">
        <w:rPr>
          <w:rFonts w:ascii="Book Antiqua" w:hAnsi="Book Antiqua" w:cs="Arial"/>
          <w:vertAlign w:val="superscript"/>
        </w:rPr>
        <w:t>th</w:t>
      </w:r>
      <w:r w:rsidR="00F23807">
        <w:rPr>
          <w:rFonts w:ascii="Book Antiqua" w:hAnsi="Book Antiqua" w:cs="Arial"/>
        </w:rPr>
        <w:t xml:space="preserve"> August </w:t>
      </w:r>
      <w:r w:rsidR="00846230">
        <w:rPr>
          <w:rFonts w:ascii="Book Antiqua" w:hAnsi="Book Antiqua" w:cs="Arial"/>
        </w:rPr>
        <w:t>2018</w:t>
      </w:r>
    </w:p>
    <w:p w:rsidR="00135F51" w:rsidRDefault="00135F51" w:rsidP="008C6613">
      <w:pPr>
        <w:tabs>
          <w:tab w:val="left" w:pos="567"/>
        </w:tabs>
        <w:ind w:left="720"/>
        <w:jc w:val="center"/>
        <w:rPr>
          <w:rFonts w:ascii="Book Antiqua" w:hAnsi="Book Antiqua" w:cs="Arial"/>
        </w:rPr>
      </w:pPr>
    </w:p>
    <w:p w:rsidR="00135F51" w:rsidRDefault="00135F51" w:rsidP="008C6613">
      <w:pPr>
        <w:tabs>
          <w:tab w:val="left" w:pos="567"/>
        </w:tabs>
        <w:ind w:left="720"/>
        <w:jc w:val="center"/>
        <w:rPr>
          <w:rFonts w:ascii="Book Antiqua" w:hAnsi="Book Antiqua" w:cs="Arial"/>
        </w:rPr>
      </w:pPr>
    </w:p>
    <w:p w:rsidR="00135F51" w:rsidRDefault="00135F51" w:rsidP="008C6613">
      <w:pPr>
        <w:tabs>
          <w:tab w:val="left" w:pos="567"/>
        </w:tabs>
        <w:ind w:left="720"/>
        <w:jc w:val="center"/>
        <w:rPr>
          <w:rFonts w:ascii="Book Antiqua" w:hAnsi="Book Antiqua" w:cs="Arial"/>
        </w:rPr>
      </w:pPr>
    </w:p>
    <w:p w:rsidR="00135F51" w:rsidRPr="008C6613" w:rsidRDefault="00135F51" w:rsidP="008C6613">
      <w:pPr>
        <w:tabs>
          <w:tab w:val="left" w:pos="567"/>
        </w:tabs>
        <w:ind w:left="720"/>
        <w:jc w:val="center"/>
        <w:rPr>
          <w:rFonts w:ascii="Book Antiqua" w:hAnsi="Book Antiqua" w:cs="Arial"/>
        </w:rPr>
      </w:pPr>
    </w:p>
    <w:sectPr w:rsidR="00135F51" w:rsidRPr="008C6613" w:rsidSect="00256F9B">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1C84" w:rsidRDefault="00831C84">
      <w:r>
        <w:separator/>
      </w:r>
    </w:p>
  </w:endnote>
  <w:endnote w:type="continuationSeparator" w:id="0">
    <w:p w:rsidR="00831C84" w:rsidRDefault="00831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MS ??">
    <w:altName w:val="Yu Gothic"/>
    <w:panose1 w:val="00000000000000000000"/>
    <w:charset w:val="80"/>
    <w:family w:val="auto"/>
    <w:notTrueType/>
    <w:pitch w:val="variable"/>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altName w:val="Arial Unicode MS"/>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774" w:rsidRPr="00593795" w:rsidRDefault="00DD0774" w:rsidP="00256F9B">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3C53D9">
      <w:rPr>
        <w:rStyle w:val="PageNumber"/>
        <w:rFonts w:ascii="Arial" w:hAnsi="Arial" w:cs="Arial"/>
        <w:noProof/>
        <w:sz w:val="16"/>
        <w:szCs w:val="16"/>
      </w:rPr>
      <w:t>7</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774" w:rsidRPr="00090CF9" w:rsidRDefault="00DD0774" w:rsidP="00256F9B">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1C84" w:rsidRDefault="00831C84">
      <w:r>
        <w:separator/>
      </w:r>
    </w:p>
  </w:footnote>
  <w:footnote w:type="continuationSeparator" w:id="0">
    <w:p w:rsidR="00831C84" w:rsidRDefault="00831C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774" w:rsidRPr="00FE1BCE" w:rsidRDefault="000A1E56" w:rsidP="00575A1F">
    <w:pPr>
      <w:tabs>
        <w:tab w:val="right" w:pos="9720"/>
      </w:tabs>
      <w:ind w:right="-82"/>
      <w:jc w:val="right"/>
      <w:rPr>
        <w:rFonts w:ascii="Book Antiqua" w:hAnsi="Book Antiqua" w:cs="Arial"/>
        <w:color w:val="000000"/>
        <w:sz w:val="20"/>
        <w:szCs w:val="20"/>
      </w:rPr>
    </w:pPr>
    <w:r>
      <w:rPr>
        <w:rFonts w:ascii="Book Antiqua" w:hAnsi="Book Antiqua" w:cs="Arial"/>
        <w:color w:val="000000"/>
        <w:sz w:val="20"/>
        <w:szCs w:val="20"/>
      </w:rPr>
      <w:t>HU/17945/</w:t>
    </w:r>
    <w:r w:rsidR="006A45BF">
      <w:rPr>
        <w:rFonts w:ascii="Book Antiqua" w:hAnsi="Book Antiqua" w:cs="Arial"/>
        <w:color w:val="000000"/>
        <w:sz w:val="20"/>
        <w:szCs w:val="20"/>
      </w:rPr>
      <w:t>20</w:t>
    </w:r>
    <w:r>
      <w:rPr>
        <w:rFonts w:ascii="Book Antiqua" w:hAnsi="Book Antiqua" w:cs="Arial"/>
        <w:color w:val="000000"/>
        <w:sz w:val="20"/>
        <w:szCs w:val="20"/>
      </w:rPr>
      <w:t>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600F"/>
    <w:multiLevelType w:val="hybridMultilevel"/>
    <w:tmpl w:val="E8FCA7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6C55F2F"/>
    <w:multiLevelType w:val="hybridMultilevel"/>
    <w:tmpl w:val="9A4CD864"/>
    <w:lvl w:ilvl="0" w:tplc="E02C7BB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88E6252"/>
    <w:multiLevelType w:val="hybridMultilevel"/>
    <w:tmpl w:val="D85E3A48"/>
    <w:lvl w:ilvl="0" w:tplc="EC2E420A">
      <w:start w:val="1"/>
      <w:numFmt w:val="lowerLetter"/>
      <w:lvlText w:val="%1)"/>
      <w:lvlJc w:val="left"/>
      <w:pPr>
        <w:ind w:left="2526" w:hanging="360"/>
      </w:pPr>
      <w:rPr>
        <w:rFonts w:hint="default"/>
      </w:rPr>
    </w:lvl>
    <w:lvl w:ilvl="1" w:tplc="08090019" w:tentative="1">
      <w:start w:val="1"/>
      <w:numFmt w:val="lowerLetter"/>
      <w:lvlText w:val="%2."/>
      <w:lvlJc w:val="left"/>
      <w:pPr>
        <w:ind w:left="3246" w:hanging="360"/>
      </w:pPr>
    </w:lvl>
    <w:lvl w:ilvl="2" w:tplc="0809001B" w:tentative="1">
      <w:start w:val="1"/>
      <w:numFmt w:val="lowerRoman"/>
      <w:lvlText w:val="%3."/>
      <w:lvlJc w:val="right"/>
      <w:pPr>
        <w:ind w:left="3966" w:hanging="180"/>
      </w:pPr>
    </w:lvl>
    <w:lvl w:ilvl="3" w:tplc="0809000F" w:tentative="1">
      <w:start w:val="1"/>
      <w:numFmt w:val="decimal"/>
      <w:lvlText w:val="%4."/>
      <w:lvlJc w:val="left"/>
      <w:pPr>
        <w:ind w:left="4686" w:hanging="360"/>
      </w:pPr>
    </w:lvl>
    <w:lvl w:ilvl="4" w:tplc="08090019" w:tentative="1">
      <w:start w:val="1"/>
      <w:numFmt w:val="lowerLetter"/>
      <w:lvlText w:val="%5."/>
      <w:lvlJc w:val="left"/>
      <w:pPr>
        <w:ind w:left="5406" w:hanging="360"/>
      </w:pPr>
    </w:lvl>
    <w:lvl w:ilvl="5" w:tplc="0809001B" w:tentative="1">
      <w:start w:val="1"/>
      <w:numFmt w:val="lowerRoman"/>
      <w:lvlText w:val="%6."/>
      <w:lvlJc w:val="right"/>
      <w:pPr>
        <w:ind w:left="6126" w:hanging="180"/>
      </w:pPr>
    </w:lvl>
    <w:lvl w:ilvl="6" w:tplc="0809000F" w:tentative="1">
      <w:start w:val="1"/>
      <w:numFmt w:val="decimal"/>
      <w:lvlText w:val="%7."/>
      <w:lvlJc w:val="left"/>
      <w:pPr>
        <w:ind w:left="6846" w:hanging="360"/>
      </w:pPr>
    </w:lvl>
    <w:lvl w:ilvl="7" w:tplc="08090019" w:tentative="1">
      <w:start w:val="1"/>
      <w:numFmt w:val="lowerLetter"/>
      <w:lvlText w:val="%8."/>
      <w:lvlJc w:val="left"/>
      <w:pPr>
        <w:ind w:left="7566" w:hanging="360"/>
      </w:pPr>
    </w:lvl>
    <w:lvl w:ilvl="8" w:tplc="0809001B" w:tentative="1">
      <w:start w:val="1"/>
      <w:numFmt w:val="lowerRoman"/>
      <w:lvlText w:val="%9."/>
      <w:lvlJc w:val="right"/>
      <w:pPr>
        <w:ind w:left="8286" w:hanging="180"/>
      </w:pPr>
    </w:lvl>
  </w:abstractNum>
  <w:abstractNum w:abstractNumId="3" w15:restartNumberingAfterBreak="0">
    <w:nsid w:val="0A580A28"/>
    <w:multiLevelType w:val="hybridMultilevel"/>
    <w:tmpl w:val="36362774"/>
    <w:lvl w:ilvl="0" w:tplc="61905102">
      <w:start w:val="2"/>
      <w:numFmt w:val="bullet"/>
      <w:lvlText w:val="-"/>
      <w:lvlJc w:val="left"/>
      <w:pPr>
        <w:ind w:left="927" w:hanging="360"/>
      </w:pPr>
      <w:rPr>
        <w:rFonts w:ascii="Book Antiqua" w:eastAsia="MS ??" w:hAnsi="Book Antiqua" w:cs="Aria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4" w15:restartNumberingAfterBreak="0">
    <w:nsid w:val="1BD9028F"/>
    <w:multiLevelType w:val="hybridMultilevel"/>
    <w:tmpl w:val="535E932A"/>
    <w:lvl w:ilvl="0" w:tplc="E08CF64C">
      <w:start w:val="1"/>
      <w:numFmt w:val="lowerLetter"/>
      <w:lvlText w:val="%1)"/>
      <w:lvlJc w:val="left"/>
      <w:pPr>
        <w:ind w:left="1803" w:hanging="360"/>
      </w:pPr>
      <w:rPr>
        <w:rFonts w:hint="eastAsia"/>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5" w15:restartNumberingAfterBreak="0">
    <w:nsid w:val="1BDD2F2D"/>
    <w:multiLevelType w:val="multilevel"/>
    <w:tmpl w:val="0B9A5E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E15CF1"/>
    <w:multiLevelType w:val="hybridMultilevel"/>
    <w:tmpl w:val="8028E696"/>
    <w:lvl w:ilvl="0" w:tplc="D982F674">
      <w:start w:val="1"/>
      <w:numFmt w:val="lowerLetter"/>
      <w:lvlText w:val="(%1)"/>
      <w:lvlJc w:val="left"/>
      <w:pPr>
        <w:ind w:left="2727" w:hanging="360"/>
      </w:pPr>
      <w:rPr>
        <w:rFonts w:hint="default"/>
      </w:rPr>
    </w:lvl>
    <w:lvl w:ilvl="1" w:tplc="08090019">
      <w:start w:val="1"/>
      <w:numFmt w:val="lowerLetter"/>
      <w:lvlText w:val="%2."/>
      <w:lvlJc w:val="left"/>
      <w:pPr>
        <w:ind w:left="3447" w:hanging="360"/>
      </w:pPr>
    </w:lvl>
    <w:lvl w:ilvl="2" w:tplc="0809001B" w:tentative="1">
      <w:start w:val="1"/>
      <w:numFmt w:val="lowerRoman"/>
      <w:lvlText w:val="%3."/>
      <w:lvlJc w:val="right"/>
      <w:pPr>
        <w:ind w:left="4167" w:hanging="180"/>
      </w:pPr>
    </w:lvl>
    <w:lvl w:ilvl="3" w:tplc="0809000F" w:tentative="1">
      <w:start w:val="1"/>
      <w:numFmt w:val="decimal"/>
      <w:lvlText w:val="%4."/>
      <w:lvlJc w:val="left"/>
      <w:pPr>
        <w:ind w:left="4887" w:hanging="360"/>
      </w:pPr>
    </w:lvl>
    <w:lvl w:ilvl="4" w:tplc="08090019" w:tentative="1">
      <w:start w:val="1"/>
      <w:numFmt w:val="lowerLetter"/>
      <w:lvlText w:val="%5."/>
      <w:lvlJc w:val="left"/>
      <w:pPr>
        <w:ind w:left="5607" w:hanging="360"/>
      </w:pPr>
    </w:lvl>
    <w:lvl w:ilvl="5" w:tplc="0809001B" w:tentative="1">
      <w:start w:val="1"/>
      <w:numFmt w:val="lowerRoman"/>
      <w:lvlText w:val="%6."/>
      <w:lvlJc w:val="right"/>
      <w:pPr>
        <w:ind w:left="6327" w:hanging="180"/>
      </w:pPr>
    </w:lvl>
    <w:lvl w:ilvl="6" w:tplc="0809000F" w:tentative="1">
      <w:start w:val="1"/>
      <w:numFmt w:val="decimal"/>
      <w:lvlText w:val="%7."/>
      <w:lvlJc w:val="left"/>
      <w:pPr>
        <w:ind w:left="7047" w:hanging="360"/>
      </w:pPr>
    </w:lvl>
    <w:lvl w:ilvl="7" w:tplc="08090019" w:tentative="1">
      <w:start w:val="1"/>
      <w:numFmt w:val="lowerLetter"/>
      <w:lvlText w:val="%8."/>
      <w:lvlJc w:val="left"/>
      <w:pPr>
        <w:ind w:left="7767" w:hanging="360"/>
      </w:pPr>
    </w:lvl>
    <w:lvl w:ilvl="8" w:tplc="0809001B" w:tentative="1">
      <w:start w:val="1"/>
      <w:numFmt w:val="lowerRoman"/>
      <w:lvlText w:val="%9."/>
      <w:lvlJc w:val="right"/>
      <w:pPr>
        <w:ind w:left="8487" w:hanging="180"/>
      </w:pPr>
    </w:lvl>
  </w:abstractNum>
  <w:abstractNum w:abstractNumId="7" w15:restartNumberingAfterBreak="0">
    <w:nsid w:val="2F5511AE"/>
    <w:multiLevelType w:val="hybridMultilevel"/>
    <w:tmpl w:val="CC183FF8"/>
    <w:lvl w:ilvl="0" w:tplc="DD5A458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FEC3F29"/>
    <w:multiLevelType w:val="hybridMultilevel"/>
    <w:tmpl w:val="85FCA14A"/>
    <w:lvl w:ilvl="0" w:tplc="8904C15C">
      <w:start w:val="1"/>
      <w:numFmt w:val="decimal"/>
      <w:lvlText w:val="%1."/>
      <w:lvlJc w:val="left"/>
      <w:pPr>
        <w:tabs>
          <w:tab w:val="num" w:pos="786"/>
        </w:tabs>
        <w:ind w:left="786"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320944E2"/>
    <w:multiLevelType w:val="hybridMultilevel"/>
    <w:tmpl w:val="48EC01AE"/>
    <w:lvl w:ilvl="0" w:tplc="4B686D30">
      <w:start w:val="1"/>
      <w:numFmt w:val="lowerLetter"/>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10" w15:restartNumberingAfterBreak="0">
    <w:nsid w:val="38D46239"/>
    <w:multiLevelType w:val="hybridMultilevel"/>
    <w:tmpl w:val="32D22DEE"/>
    <w:lvl w:ilvl="0" w:tplc="E6AE599C">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1" w15:restartNumberingAfterBreak="0">
    <w:nsid w:val="3B77776E"/>
    <w:multiLevelType w:val="hybridMultilevel"/>
    <w:tmpl w:val="AB0A3BAC"/>
    <w:lvl w:ilvl="0" w:tplc="F090788A">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2" w15:restartNumberingAfterBreak="0">
    <w:nsid w:val="3DAD4DB7"/>
    <w:multiLevelType w:val="hybridMultilevel"/>
    <w:tmpl w:val="5BBA4114"/>
    <w:lvl w:ilvl="0" w:tplc="22DEEBCA">
      <w:start w:val="1"/>
      <w:numFmt w:val="decimal"/>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3" w15:restartNumberingAfterBreak="0">
    <w:nsid w:val="413250B3"/>
    <w:multiLevelType w:val="hybridMultilevel"/>
    <w:tmpl w:val="2FFE689A"/>
    <w:lvl w:ilvl="0" w:tplc="08090001">
      <w:start w:val="1"/>
      <w:numFmt w:val="bullet"/>
      <w:lvlText w:val=""/>
      <w:lvlJc w:val="left"/>
      <w:pPr>
        <w:ind w:left="2007" w:hanging="360"/>
      </w:pPr>
      <w:rPr>
        <w:rFonts w:ascii="Symbol" w:hAnsi="Symbol" w:hint="default"/>
      </w:rPr>
    </w:lvl>
    <w:lvl w:ilvl="1" w:tplc="08090003" w:tentative="1">
      <w:start w:val="1"/>
      <w:numFmt w:val="bullet"/>
      <w:lvlText w:val="o"/>
      <w:lvlJc w:val="left"/>
      <w:pPr>
        <w:ind w:left="2727" w:hanging="360"/>
      </w:pPr>
      <w:rPr>
        <w:rFonts w:ascii="Courier New" w:hAnsi="Courier New" w:cs="Courier New" w:hint="default"/>
      </w:rPr>
    </w:lvl>
    <w:lvl w:ilvl="2" w:tplc="08090005" w:tentative="1">
      <w:start w:val="1"/>
      <w:numFmt w:val="bullet"/>
      <w:lvlText w:val=""/>
      <w:lvlJc w:val="left"/>
      <w:pPr>
        <w:ind w:left="3447" w:hanging="360"/>
      </w:pPr>
      <w:rPr>
        <w:rFonts w:ascii="Wingdings" w:hAnsi="Wingdings" w:hint="default"/>
      </w:rPr>
    </w:lvl>
    <w:lvl w:ilvl="3" w:tplc="08090001" w:tentative="1">
      <w:start w:val="1"/>
      <w:numFmt w:val="bullet"/>
      <w:lvlText w:val=""/>
      <w:lvlJc w:val="left"/>
      <w:pPr>
        <w:ind w:left="4167" w:hanging="360"/>
      </w:pPr>
      <w:rPr>
        <w:rFonts w:ascii="Symbol" w:hAnsi="Symbol" w:hint="default"/>
      </w:rPr>
    </w:lvl>
    <w:lvl w:ilvl="4" w:tplc="08090003" w:tentative="1">
      <w:start w:val="1"/>
      <w:numFmt w:val="bullet"/>
      <w:lvlText w:val="o"/>
      <w:lvlJc w:val="left"/>
      <w:pPr>
        <w:ind w:left="4887" w:hanging="360"/>
      </w:pPr>
      <w:rPr>
        <w:rFonts w:ascii="Courier New" w:hAnsi="Courier New" w:cs="Courier New" w:hint="default"/>
      </w:rPr>
    </w:lvl>
    <w:lvl w:ilvl="5" w:tplc="08090005" w:tentative="1">
      <w:start w:val="1"/>
      <w:numFmt w:val="bullet"/>
      <w:lvlText w:val=""/>
      <w:lvlJc w:val="left"/>
      <w:pPr>
        <w:ind w:left="5607" w:hanging="360"/>
      </w:pPr>
      <w:rPr>
        <w:rFonts w:ascii="Wingdings" w:hAnsi="Wingdings" w:hint="default"/>
      </w:rPr>
    </w:lvl>
    <w:lvl w:ilvl="6" w:tplc="08090001" w:tentative="1">
      <w:start w:val="1"/>
      <w:numFmt w:val="bullet"/>
      <w:lvlText w:val=""/>
      <w:lvlJc w:val="left"/>
      <w:pPr>
        <w:ind w:left="6327" w:hanging="360"/>
      </w:pPr>
      <w:rPr>
        <w:rFonts w:ascii="Symbol" w:hAnsi="Symbol" w:hint="default"/>
      </w:rPr>
    </w:lvl>
    <w:lvl w:ilvl="7" w:tplc="08090003" w:tentative="1">
      <w:start w:val="1"/>
      <w:numFmt w:val="bullet"/>
      <w:lvlText w:val="o"/>
      <w:lvlJc w:val="left"/>
      <w:pPr>
        <w:ind w:left="7047" w:hanging="360"/>
      </w:pPr>
      <w:rPr>
        <w:rFonts w:ascii="Courier New" w:hAnsi="Courier New" w:cs="Courier New" w:hint="default"/>
      </w:rPr>
    </w:lvl>
    <w:lvl w:ilvl="8" w:tplc="08090005" w:tentative="1">
      <w:start w:val="1"/>
      <w:numFmt w:val="bullet"/>
      <w:lvlText w:val=""/>
      <w:lvlJc w:val="left"/>
      <w:pPr>
        <w:ind w:left="7767" w:hanging="360"/>
      </w:pPr>
      <w:rPr>
        <w:rFonts w:ascii="Wingdings" w:hAnsi="Wingdings" w:hint="default"/>
      </w:rPr>
    </w:lvl>
  </w:abstractNum>
  <w:abstractNum w:abstractNumId="14" w15:restartNumberingAfterBreak="0">
    <w:nsid w:val="41F0632E"/>
    <w:multiLevelType w:val="hybridMultilevel"/>
    <w:tmpl w:val="0DB2CAF6"/>
    <w:lvl w:ilvl="0" w:tplc="DEEA5AAC">
      <w:start w:val="1"/>
      <w:numFmt w:val="lowerRoman"/>
      <w:lvlText w:val="%1)"/>
      <w:lvlJc w:val="left"/>
      <w:pPr>
        <w:ind w:left="2877" w:hanging="720"/>
      </w:pPr>
      <w:rPr>
        <w:rFonts w:hint="default"/>
      </w:rPr>
    </w:lvl>
    <w:lvl w:ilvl="1" w:tplc="08090019" w:tentative="1">
      <w:start w:val="1"/>
      <w:numFmt w:val="lowerLetter"/>
      <w:lvlText w:val="%2."/>
      <w:lvlJc w:val="left"/>
      <w:pPr>
        <w:ind w:left="3237" w:hanging="360"/>
      </w:pPr>
    </w:lvl>
    <w:lvl w:ilvl="2" w:tplc="0809001B" w:tentative="1">
      <w:start w:val="1"/>
      <w:numFmt w:val="lowerRoman"/>
      <w:lvlText w:val="%3."/>
      <w:lvlJc w:val="right"/>
      <w:pPr>
        <w:ind w:left="3957" w:hanging="180"/>
      </w:pPr>
    </w:lvl>
    <w:lvl w:ilvl="3" w:tplc="0809000F" w:tentative="1">
      <w:start w:val="1"/>
      <w:numFmt w:val="decimal"/>
      <w:lvlText w:val="%4."/>
      <w:lvlJc w:val="left"/>
      <w:pPr>
        <w:ind w:left="4677" w:hanging="360"/>
      </w:pPr>
    </w:lvl>
    <w:lvl w:ilvl="4" w:tplc="08090019" w:tentative="1">
      <w:start w:val="1"/>
      <w:numFmt w:val="lowerLetter"/>
      <w:lvlText w:val="%5."/>
      <w:lvlJc w:val="left"/>
      <w:pPr>
        <w:ind w:left="5397" w:hanging="360"/>
      </w:pPr>
    </w:lvl>
    <w:lvl w:ilvl="5" w:tplc="0809001B" w:tentative="1">
      <w:start w:val="1"/>
      <w:numFmt w:val="lowerRoman"/>
      <w:lvlText w:val="%6."/>
      <w:lvlJc w:val="right"/>
      <w:pPr>
        <w:ind w:left="6117" w:hanging="180"/>
      </w:pPr>
    </w:lvl>
    <w:lvl w:ilvl="6" w:tplc="0809000F" w:tentative="1">
      <w:start w:val="1"/>
      <w:numFmt w:val="decimal"/>
      <w:lvlText w:val="%7."/>
      <w:lvlJc w:val="left"/>
      <w:pPr>
        <w:ind w:left="6837" w:hanging="360"/>
      </w:pPr>
    </w:lvl>
    <w:lvl w:ilvl="7" w:tplc="08090019" w:tentative="1">
      <w:start w:val="1"/>
      <w:numFmt w:val="lowerLetter"/>
      <w:lvlText w:val="%8."/>
      <w:lvlJc w:val="left"/>
      <w:pPr>
        <w:ind w:left="7557" w:hanging="360"/>
      </w:pPr>
    </w:lvl>
    <w:lvl w:ilvl="8" w:tplc="0809001B" w:tentative="1">
      <w:start w:val="1"/>
      <w:numFmt w:val="lowerRoman"/>
      <w:lvlText w:val="%9."/>
      <w:lvlJc w:val="right"/>
      <w:pPr>
        <w:ind w:left="8277" w:hanging="180"/>
      </w:pPr>
    </w:lvl>
  </w:abstractNum>
  <w:abstractNum w:abstractNumId="15" w15:restartNumberingAfterBreak="0">
    <w:nsid w:val="4B4301E5"/>
    <w:multiLevelType w:val="multilevel"/>
    <w:tmpl w:val="A3021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9D6815"/>
    <w:multiLevelType w:val="hybridMultilevel"/>
    <w:tmpl w:val="868294BA"/>
    <w:lvl w:ilvl="0" w:tplc="B2864138">
      <w:start w:val="98"/>
      <w:numFmt w:val="bullet"/>
      <w:lvlText w:val="-"/>
      <w:lvlJc w:val="left"/>
      <w:pPr>
        <w:ind w:left="1080" w:hanging="360"/>
      </w:pPr>
      <w:rPr>
        <w:rFonts w:ascii="Book Antiqua" w:eastAsia="MS ??" w:hAnsi="Book Antiqua"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32571D3"/>
    <w:multiLevelType w:val="hybridMultilevel"/>
    <w:tmpl w:val="8ADCA4B6"/>
    <w:lvl w:ilvl="0" w:tplc="19341EBC">
      <w:start w:val="1"/>
      <w:numFmt w:val="lowerLetter"/>
      <w:lvlText w:val="%1)"/>
      <w:lvlJc w:val="left"/>
      <w:pPr>
        <w:ind w:left="1803" w:hanging="36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8" w15:restartNumberingAfterBreak="0">
    <w:nsid w:val="534C4AE9"/>
    <w:multiLevelType w:val="hybridMultilevel"/>
    <w:tmpl w:val="1F0800C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5A6C1D66"/>
    <w:multiLevelType w:val="multilevel"/>
    <w:tmpl w:val="F72E4E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3D790D"/>
    <w:multiLevelType w:val="multilevel"/>
    <w:tmpl w:val="64382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611738"/>
    <w:multiLevelType w:val="hybridMultilevel"/>
    <w:tmpl w:val="D40ED734"/>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2" w15:restartNumberingAfterBreak="0">
    <w:nsid w:val="68EF55CA"/>
    <w:multiLevelType w:val="hybridMultilevel"/>
    <w:tmpl w:val="38FC84FE"/>
    <w:lvl w:ilvl="0" w:tplc="2418044C">
      <w:start w:val="1"/>
      <w:numFmt w:val="lowerRoman"/>
      <w:lvlText w:val="%1)"/>
      <w:lvlJc w:val="left"/>
      <w:pPr>
        <w:ind w:left="2877" w:hanging="720"/>
      </w:pPr>
      <w:rPr>
        <w:rFonts w:hint="default"/>
      </w:rPr>
    </w:lvl>
    <w:lvl w:ilvl="1" w:tplc="08090019" w:tentative="1">
      <w:start w:val="1"/>
      <w:numFmt w:val="lowerLetter"/>
      <w:lvlText w:val="%2."/>
      <w:lvlJc w:val="left"/>
      <w:pPr>
        <w:ind w:left="3237" w:hanging="360"/>
      </w:pPr>
    </w:lvl>
    <w:lvl w:ilvl="2" w:tplc="0809001B" w:tentative="1">
      <w:start w:val="1"/>
      <w:numFmt w:val="lowerRoman"/>
      <w:lvlText w:val="%3."/>
      <w:lvlJc w:val="right"/>
      <w:pPr>
        <w:ind w:left="3957" w:hanging="180"/>
      </w:pPr>
    </w:lvl>
    <w:lvl w:ilvl="3" w:tplc="0809000F" w:tentative="1">
      <w:start w:val="1"/>
      <w:numFmt w:val="decimal"/>
      <w:lvlText w:val="%4."/>
      <w:lvlJc w:val="left"/>
      <w:pPr>
        <w:ind w:left="4677" w:hanging="360"/>
      </w:pPr>
    </w:lvl>
    <w:lvl w:ilvl="4" w:tplc="08090019" w:tentative="1">
      <w:start w:val="1"/>
      <w:numFmt w:val="lowerLetter"/>
      <w:lvlText w:val="%5."/>
      <w:lvlJc w:val="left"/>
      <w:pPr>
        <w:ind w:left="5397" w:hanging="360"/>
      </w:pPr>
    </w:lvl>
    <w:lvl w:ilvl="5" w:tplc="0809001B" w:tentative="1">
      <w:start w:val="1"/>
      <w:numFmt w:val="lowerRoman"/>
      <w:lvlText w:val="%6."/>
      <w:lvlJc w:val="right"/>
      <w:pPr>
        <w:ind w:left="6117" w:hanging="180"/>
      </w:pPr>
    </w:lvl>
    <w:lvl w:ilvl="6" w:tplc="0809000F" w:tentative="1">
      <w:start w:val="1"/>
      <w:numFmt w:val="decimal"/>
      <w:lvlText w:val="%7."/>
      <w:lvlJc w:val="left"/>
      <w:pPr>
        <w:ind w:left="6837" w:hanging="360"/>
      </w:pPr>
    </w:lvl>
    <w:lvl w:ilvl="7" w:tplc="08090019" w:tentative="1">
      <w:start w:val="1"/>
      <w:numFmt w:val="lowerLetter"/>
      <w:lvlText w:val="%8."/>
      <w:lvlJc w:val="left"/>
      <w:pPr>
        <w:ind w:left="7557" w:hanging="360"/>
      </w:pPr>
    </w:lvl>
    <w:lvl w:ilvl="8" w:tplc="0809001B" w:tentative="1">
      <w:start w:val="1"/>
      <w:numFmt w:val="lowerRoman"/>
      <w:lvlText w:val="%9."/>
      <w:lvlJc w:val="right"/>
      <w:pPr>
        <w:ind w:left="8277" w:hanging="180"/>
      </w:pPr>
    </w:lvl>
  </w:abstractNum>
  <w:abstractNum w:abstractNumId="23" w15:restartNumberingAfterBreak="0">
    <w:nsid w:val="71D96B95"/>
    <w:multiLevelType w:val="hybridMultilevel"/>
    <w:tmpl w:val="9F94924A"/>
    <w:lvl w:ilvl="0" w:tplc="917EFBF6">
      <w:start w:val="1"/>
      <w:numFmt w:val="lowerRoman"/>
      <w:lvlText w:val="%1)"/>
      <w:lvlJc w:val="left"/>
      <w:pPr>
        <w:ind w:left="2163" w:hanging="720"/>
      </w:pPr>
      <w:rPr>
        <w:rFonts w:hint="eastAsia"/>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4" w15:restartNumberingAfterBreak="0">
    <w:nsid w:val="734A3446"/>
    <w:multiLevelType w:val="hybridMultilevel"/>
    <w:tmpl w:val="DF263958"/>
    <w:lvl w:ilvl="0" w:tplc="77266DC6">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5" w15:restartNumberingAfterBreak="0">
    <w:nsid w:val="7DF503C7"/>
    <w:multiLevelType w:val="hybridMultilevel"/>
    <w:tmpl w:val="3684C9E0"/>
    <w:lvl w:ilvl="0" w:tplc="D592E4E2">
      <w:start w:val="1"/>
      <w:numFmt w:val="lowerLetter"/>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num w:numId="1">
    <w:abstractNumId w:val="8"/>
  </w:num>
  <w:num w:numId="2">
    <w:abstractNumId w:val="22"/>
  </w:num>
  <w:num w:numId="3">
    <w:abstractNumId w:val="9"/>
  </w:num>
  <w:num w:numId="4">
    <w:abstractNumId w:val="14"/>
  </w:num>
  <w:num w:numId="5">
    <w:abstractNumId w:val="7"/>
  </w:num>
  <w:num w:numId="6">
    <w:abstractNumId w:val="25"/>
  </w:num>
  <w:num w:numId="7">
    <w:abstractNumId w:val="0"/>
  </w:num>
  <w:num w:numId="8">
    <w:abstractNumId w:val="5"/>
  </w:num>
  <w:num w:numId="9">
    <w:abstractNumId w:val="19"/>
  </w:num>
  <w:num w:numId="10">
    <w:abstractNumId w:val="20"/>
  </w:num>
  <w:num w:numId="11">
    <w:abstractNumId w:val="15"/>
  </w:num>
  <w:num w:numId="12">
    <w:abstractNumId w:val="23"/>
  </w:num>
  <w:num w:numId="13">
    <w:abstractNumId w:val="4"/>
  </w:num>
  <w:num w:numId="14">
    <w:abstractNumId w:val="10"/>
  </w:num>
  <w:num w:numId="15">
    <w:abstractNumId w:val="6"/>
  </w:num>
  <w:num w:numId="16">
    <w:abstractNumId w:val="2"/>
  </w:num>
  <w:num w:numId="17">
    <w:abstractNumId w:val="18"/>
  </w:num>
  <w:num w:numId="18">
    <w:abstractNumId w:val="11"/>
  </w:num>
  <w:num w:numId="19">
    <w:abstractNumId w:val="1"/>
  </w:num>
  <w:num w:numId="20">
    <w:abstractNumId w:val="21"/>
  </w:num>
  <w:num w:numId="21">
    <w:abstractNumId w:val="13"/>
  </w:num>
  <w:num w:numId="22">
    <w:abstractNumId w:val="3"/>
  </w:num>
  <w:num w:numId="23">
    <w:abstractNumId w:val="24"/>
  </w:num>
  <w:num w:numId="24">
    <w:abstractNumId w:val="17"/>
  </w:num>
  <w:num w:numId="25">
    <w:abstractNumId w:val="12"/>
  </w:num>
  <w:num w:numId="26">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887"/>
    <w:rsid w:val="000001D8"/>
    <w:rsid w:val="00002895"/>
    <w:rsid w:val="00002B9F"/>
    <w:rsid w:val="000047C3"/>
    <w:rsid w:val="00010BC8"/>
    <w:rsid w:val="00010F16"/>
    <w:rsid w:val="0001157F"/>
    <w:rsid w:val="0001581F"/>
    <w:rsid w:val="00016034"/>
    <w:rsid w:val="0001755E"/>
    <w:rsid w:val="00022437"/>
    <w:rsid w:val="00026010"/>
    <w:rsid w:val="000303CD"/>
    <w:rsid w:val="000306E4"/>
    <w:rsid w:val="00030A29"/>
    <w:rsid w:val="000314AA"/>
    <w:rsid w:val="00031577"/>
    <w:rsid w:val="00031EE3"/>
    <w:rsid w:val="000359E1"/>
    <w:rsid w:val="000367D1"/>
    <w:rsid w:val="000456D9"/>
    <w:rsid w:val="0005329F"/>
    <w:rsid w:val="0005475F"/>
    <w:rsid w:val="000573C1"/>
    <w:rsid w:val="000603B5"/>
    <w:rsid w:val="00061881"/>
    <w:rsid w:val="00061A71"/>
    <w:rsid w:val="00061DAB"/>
    <w:rsid w:val="00062F11"/>
    <w:rsid w:val="00063897"/>
    <w:rsid w:val="000709A6"/>
    <w:rsid w:val="000724F8"/>
    <w:rsid w:val="00073049"/>
    <w:rsid w:val="00074353"/>
    <w:rsid w:val="00075593"/>
    <w:rsid w:val="000771DD"/>
    <w:rsid w:val="00077465"/>
    <w:rsid w:val="00080881"/>
    <w:rsid w:val="0008143E"/>
    <w:rsid w:val="000815D1"/>
    <w:rsid w:val="000826B0"/>
    <w:rsid w:val="000828AC"/>
    <w:rsid w:val="000840CD"/>
    <w:rsid w:val="00085742"/>
    <w:rsid w:val="00090CF9"/>
    <w:rsid w:val="0009125E"/>
    <w:rsid w:val="00094C92"/>
    <w:rsid w:val="00095218"/>
    <w:rsid w:val="0009524D"/>
    <w:rsid w:val="00095273"/>
    <w:rsid w:val="000A0053"/>
    <w:rsid w:val="000A1E56"/>
    <w:rsid w:val="000A4723"/>
    <w:rsid w:val="000A48CD"/>
    <w:rsid w:val="000A4F53"/>
    <w:rsid w:val="000B62F5"/>
    <w:rsid w:val="000C2A47"/>
    <w:rsid w:val="000C4611"/>
    <w:rsid w:val="000C4C40"/>
    <w:rsid w:val="000E1274"/>
    <w:rsid w:val="000E2DE4"/>
    <w:rsid w:val="000F0936"/>
    <w:rsid w:val="000F53CD"/>
    <w:rsid w:val="000F53DF"/>
    <w:rsid w:val="001072D3"/>
    <w:rsid w:val="00107AFB"/>
    <w:rsid w:val="00107DD5"/>
    <w:rsid w:val="0011297E"/>
    <w:rsid w:val="0011342C"/>
    <w:rsid w:val="00114635"/>
    <w:rsid w:val="00114FC1"/>
    <w:rsid w:val="00115B62"/>
    <w:rsid w:val="00120ACC"/>
    <w:rsid w:val="00121965"/>
    <w:rsid w:val="00125F39"/>
    <w:rsid w:val="00127055"/>
    <w:rsid w:val="001343F7"/>
    <w:rsid w:val="00135F51"/>
    <w:rsid w:val="00137136"/>
    <w:rsid w:val="0014298F"/>
    <w:rsid w:val="0014562B"/>
    <w:rsid w:val="001463BD"/>
    <w:rsid w:val="0014764F"/>
    <w:rsid w:val="00150B50"/>
    <w:rsid w:val="001515D9"/>
    <w:rsid w:val="001526BE"/>
    <w:rsid w:val="0015610E"/>
    <w:rsid w:val="0017242D"/>
    <w:rsid w:val="00176367"/>
    <w:rsid w:val="0018031B"/>
    <w:rsid w:val="001835EF"/>
    <w:rsid w:val="00184C72"/>
    <w:rsid w:val="00187C19"/>
    <w:rsid w:val="00195782"/>
    <w:rsid w:val="0019638F"/>
    <w:rsid w:val="001A2673"/>
    <w:rsid w:val="001A4307"/>
    <w:rsid w:val="001A52DE"/>
    <w:rsid w:val="001B026B"/>
    <w:rsid w:val="001B7FB0"/>
    <w:rsid w:val="001C02C2"/>
    <w:rsid w:val="001C13D1"/>
    <w:rsid w:val="001C1BBC"/>
    <w:rsid w:val="001D0A72"/>
    <w:rsid w:val="001D1E88"/>
    <w:rsid w:val="001E0004"/>
    <w:rsid w:val="001E2BF6"/>
    <w:rsid w:val="001E4A2B"/>
    <w:rsid w:val="001E79EF"/>
    <w:rsid w:val="001F0771"/>
    <w:rsid w:val="001F1C8A"/>
    <w:rsid w:val="001F2745"/>
    <w:rsid w:val="001F2D22"/>
    <w:rsid w:val="001F5A49"/>
    <w:rsid w:val="00200B97"/>
    <w:rsid w:val="00201D9F"/>
    <w:rsid w:val="00201EDB"/>
    <w:rsid w:val="00202103"/>
    <w:rsid w:val="002022F5"/>
    <w:rsid w:val="00206BBA"/>
    <w:rsid w:val="0021355E"/>
    <w:rsid w:val="0021520B"/>
    <w:rsid w:val="00230487"/>
    <w:rsid w:val="00233627"/>
    <w:rsid w:val="00234616"/>
    <w:rsid w:val="0023493B"/>
    <w:rsid w:val="00237E82"/>
    <w:rsid w:val="002438F7"/>
    <w:rsid w:val="00243C50"/>
    <w:rsid w:val="0024659B"/>
    <w:rsid w:val="00250646"/>
    <w:rsid w:val="0025455C"/>
    <w:rsid w:val="00254594"/>
    <w:rsid w:val="00256F9B"/>
    <w:rsid w:val="002621B2"/>
    <w:rsid w:val="0026298A"/>
    <w:rsid w:val="002641D7"/>
    <w:rsid w:val="002648D3"/>
    <w:rsid w:val="00264B7B"/>
    <w:rsid w:val="00265D5A"/>
    <w:rsid w:val="00266A8E"/>
    <w:rsid w:val="00270B84"/>
    <w:rsid w:val="00270E3C"/>
    <w:rsid w:val="00271175"/>
    <w:rsid w:val="00276B95"/>
    <w:rsid w:val="0029559E"/>
    <w:rsid w:val="002965A3"/>
    <w:rsid w:val="002A2EA9"/>
    <w:rsid w:val="002A363E"/>
    <w:rsid w:val="002A37A8"/>
    <w:rsid w:val="002A4453"/>
    <w:rsid w:val="002A75C1"/>
    <w:rsid w:val="002B4614"/>
    <w:rsid w:val="002B591E"/>
    <w:rsid w:val="002B5A2B"/>
    <w:rsid w:val="002B649D"/>
    <w:rsid w:val="002B781C"/>
    <w:rsid w:val="002C0DB8"/>
    <w:rsid w:val="002C0E62"/>
    <w:rsid w:val="002C30EF"/>
    <w:rsid w:val="002C3376"/>
    <w:rsid w:val="002C6905"/>
    <w:rsid w:val="002C703C"/>
    <w:rsid w:val="002D2CB5"/>
    <w:rsid w:val="002D6068"/>
    <w:rsid w:val="002D7C57"/>
    <w:rsid w:val="002D7D6C"/>
    <w:rsid w:val="002E3BAE"/>
    <w:rsid w:val="002E6B4A"/>
    <w:rsid w:val="002E6F61"/>
    <w:rsid w:val="002E6FC1"/>
    <w:rsid w:val="002F0807"/>
    <w:rsid w:val="002F0836"/>
    <w:rsid w:val="002F2603"/>
    <w:rsid w:val="002F55FA"/>
    <w:rsid w:val="002F6631"/>
    <w:rsid w:val="0030356D"/>
    <w:rsid w:val="003069DF"/>
    <w:rsid w:val="003136C6"/>
    <w:rsid w:val="003139B3"/>
    <w:rsid w:val="0031473D"/>
    <w:rsid w:val="00317ACD"/>
    <w:rsid w:val="003222CB"/>
    <w:rsid w:val="00323C1A"/>
    <w:rsid w:val="00326012"/>
    <w:rsid w:val="00326F1B"/>
    <w:rsid w:val="0032748C"/>
    <w:rsid w:val="00331032"/>
    <w:rsid w:val="00334C01"/>
    <w:rsid w:val="00337B01"/>
    <w:rsid w:val="00342564"/>
    <w:rsid w:val="00343950"/>
    <w:rsid w:val="003447F8"/>
    <w:rsid w:val="00346DB0"/>
    <w:rsid w:val="00347179"/>
    <w:rsid w:val="00350583"/>
    <w:rsid w:val="00352A26"/>
    <w:rsid w:val="00353CF1"/>
    <w:rsid w:val="003554AD"/>
    <w:rsid w:val="003556CC"/>
    <w:rsid w:val="00357D45"/>
    <w:rsid w:val="00362425"/>
    <w:rsid w:val="00363022"/>
    <w:rsid w:val="003631B2"/>
    <w:rsid w:val="00363205"/>
    <w:rsid w:val="003657EB"/>
    <w:rsid w:val="00365F83"/>
    <w:rsid w:val="00372DE9"/>
    <w:rsid w:val="0037354C"/>
    <w:rsid w:val="00373D18"/>
    <w:rsid w:val="0037541C"/>
    <w:rsid w:val="00377999"/>
    <w:rsid w:val="00380BB4"/>
    <w:rsid w:val="003816CC"/>
    <w:rsid w:val="003839E0"/>
    <w:rsid w:val="003847A2"/>
    <w:rsid w:val="0038531A"/>
    <w:rsid w:val="00385D5C"/>
    <w:rsid w:val="003874F8"/>
    <w:rsid w:val="0039024C"/>
    <w:rsid w:val="00390BCC"/>
    <w:rsid w:val="003950D6"/>
    <w:rsid w:val="00396522"/>
    <w:rsid w:val="00396E14"/>
    <w:rsid w:val="003A781E"/>
    <w:rsid w:val="003B04BA"/>
    <w:rsid w:val="003B1ADF"/>
    <w:rsid w:val="003B41AD"/>
    <w:rsid w:val="003C53D9"/>
    <w:rsid w:val="003C565F"/>
    <w:rsid w:val="003C5CE5"/>
    <w:rsid w:val="003C7807"/>
    <w:rsid w:val="003D0A31"/>
    <w:rsid w:val="003D0A9F"/>
    <w:rsid w:val="003D0CC1"/>
    <w:rsid w:val="003D49C9"/>
    <w:rsid w:val="003D6C95"/>
    <w:rsid w:val="003E0238"/>
    <w:rsid w:val="003E0433"/>
    <w:rsid w:val="003F1EF2"/>
    <w:rsid w:val="003F25C0"/>
    <w:rsid w:val="003F26D9"/>
    <w:rsid w:val="003F3816"/>
    <w:rsid w:val="003F6281"/>
    <w:rsid w:val="003F796A"/>
    <w:rsid w:val="004055F5"/>
    <w:rsid w:val="00414BBF"/>
    <w:rsid w:val="004161F1"/>
    <w:rsid w:val="004166D3"/>
    <w:rsid w:val="00425740"/>
    <w:rsid w:val="00430F12"/>
    <w:rsid w:val="004371A8"/>
    <w:rsid w:val="0044120F"/>
    <w:rsid w:val="00444DA1"/>
    <w:rsid w:val="00445B82"/>
    <w:rsid w:val="00447E1B"/>
    <w:rsid w:val="00455650"/>
    <w:rsid w:val="00456174"/>
    <w:rsid w:val="00461BBB"/>
    <w:rsid w:val="00466720"/>
    <w:rsid w:val="00466992"/>
    <w:rsid w:val="00466FED"/>
    <w:rsid w:val="00473C4B"/>
    <w:rsid w:val="0048104E"/>
    <w:rsid w:val="00485CCA"/>
    <w:rsid w:val="00487665"/>
    <w:rsid w:val="00490CEC"/>
    <w:rsid w:val="0049288D"/>
    <w:rsid w:val="00494224"/>
    <w:rsid w:val="004A0A2C"/>
    <w:rsid w:val="004A1354"/>
    <w:rsid w:val="004A7171"/>
    <w:rsid w:val="004A735E"/>
    <w:rsid w:val="004C0341"/>
    <w:rsid w:val="004C2070"/>
    <w:rsid w:val="004D12F7"/>
    <w:rsid w:val="004D34E4"/>
    <w:rsid w:val="004E180C"/>
    <w:rsid w:val="004E3787"/>
    <w:rsid w:val="004E43D8"/>
    <w:rsid w:val="004E5313"/>
    <w:rsid w:val="004F0D19"/>
    <w:rsid w:val="004F60D7"/>
    <w:rsid w:val="00500FFF"/>
    <w:rsid w:val="00503887"/>
    <w:rsid w:val="00503D82"/>
    <w:rsid w:val="00505059"/>
    <w:rsid w:val="0050522D"/>
    <w:rsid w:val="00505D89"/>
    <w:rsid w:val="005126FB"/>
    <w:rsid w:val="00512E56"/>
    <w:rsid w:val="005136B9"/>
    <w:rsid w:val="005145ED"/>
    <w:rsid w:val="00515521"/>
    <w:rsid w:val="005156F2"/>
    <w:rsid w:val="00516791"/>
    <w:rsid w:val="00522D04"/>
    <w:rsid w:val="00523269"/>
    <w:rsid w:val="00524664"/>
    <w:rsid w:val="0052675F"/>
    <w:rsid w:val="005316D4"/>
    <w:rsid w:val="00533FBE"/>
    <w:rsid w:val="005371B6"/>
    <w:rsid w:val="00555309"/>
    <w:rsid w:val="00555389"/>
    <w:rsid w:val="00557D4B"/>
    <w:rsid w:val="00560249"/>
    <w:rsid w:val="00565414"/>
    <w:rsid w:val="0056622B"/>
    <w:rsid w:val="00570AF5"/>
    <w:rsid w:val="00575A1F"/>
    <w:rsid w:val="00575E25"/>
    <w:rsid w:val="0058247C"/>
    <w:rsid w:val="005856F3"/>
    <w:rsid w:val="0058575E"/>
    <w:rsid w:val="0058601E"/>
    <w:rsid w:val="005871F4"/>
    <w:rsid w:val="005925A3"/>
    <w:rsid w:val="0059261D"/>
    <w:rsid w:val="00592BE6"/>
    <w:rsid w:val="00593795"/>
    <w:rsid w:val="00593EE8"/>
    <w:rsid w:val="00594CEF"/>
    <w:rsid w:val="005A4826"/>
    <w:rsid w:val="005A7B23"/>
    <w:rsid w:val="005B5104"/>
    <w:rsid w:val="005B67E3"/>
    <w:rsid w:val="005B74F3"/>
    <w:rsid w:val="005B75C6"/>
    <w:rsid w:val="005C6730"/>
    <w:rsid w:val="005D3C8B"/>
    <w:rsid w:val="005D53CE"/>
    <w:rsid w:val="005E51B0"/>
    <w:rsid w:val="005F4182"/>
    <w:rsid w:val="005F69C1"/>
    <w:rsid w:val="00600892"/>
    <w:rsid w:val="006033D6"/>
    <w:rsid w:val="00604B27"/>
    <w:rsid w:val="00604B2F"/>
    <w:rsid w:val="00607851"/>
    <w:rsid w:val="00611A62"/>
    <w:rsid w:val="00614229"/>
    <w:rsid w:val="00615376"/>
    <w:rsid w:val="006165A0"/>
    <w:rsid w:val="006167D5"/>
    <w:rsid w:val="006170AF"/>
    <w:rsid w:val="0063012A"/>
    <w:rsid w:val="006358B6"/>
    <w:rsid w:val="00643514"/>
    <w:rsid w:val="00651814"/>
    <w:rsid w:val="00653B67"/>
    <w:rsid w:val="006576AB"/>
    <w:rsid w:val="00662B43"/>
    <w:rsid w:val="00663C92"/>
    <w:rsid w:val="00667A06"/>
    <w:rsid w:val="00674F18"/>
    <w:rsid w:val="00676D39"/>
    <w:rsid w:val="00680FC9"/>
    <w:rsid w:val="00681497"/>
    <w:rsid w:val="006825A2"/>
    <w:rsid w:val="00682704"/>
    <w:rsid w:val="00686518"/>
    <w:rsid w:val="00687454"/>
    <w:rsid w:val="006946B1"/>
    <w:rsid w:val="00694C65"/>
    <w:rsid w:val="006A17DA"/>
    <w:rsid w:val="006A45BF"/>
    <w:rsid w:val="006A5B71"/>
    <w:rsid w:val="006B14FA"/>
    <w:rsid w:val="006B153F"/>
    <w:rsid w:val="006B6095"/>
    <w:rsid w:val="006C1A0A"/>
    <w:rsid w:val="006C6F7B"/>
    <w:rsid w:val="006D3255"/>
    <w:rsid w:val="006D375C"/>
    <w:rsid w:val="006D51E0"/>
    <w:rsid w:val="006E5178"/>
    <w:rsid w:val="006E555E"/>
    <w:rsid w:val="006E5F4A"/>
    <w:rsid w:val="006E5FBE"/>
    <w:rsid w:val="006F04C5"/>
    <w:rsid w:val="006F4E5F"/>
    <w:rsid w:val="006F514D"/>
    <w:rsid w:val="006F54E4"/>
    <w:rsid w:val="006F5F52"/>
    <w:rsid w:val="006F627E"/>
    <w:rsid w:val="006F6311"/>
    <w:rsid w:val="006F67CA"/>
    <w:rsid w:val="0070210A"/>
    <w:rsid w:val="00703916"/>
    <w:rsid w:val="00705639"/>
    <w:rsid w:val="007065FA"/>
    <w:rsid w:val="00706926"/>
    <w:rsid w:val="00706FF6"/>
    <w:rsid w:val="00707913"/>
    <w:rsid w:val="00737E0F"/>
    <w:rsid w:val="007406E4"/>
    <w:rsid w:val="00742C45"/>
    <w:rsid w:val="007453E2"/>
    <w:rsid w:val="007536DE"/>
    <w:rsid w:val="00756B08"/>
    <w:rsid w:val="007574AC"/>
    <w:rsid w:val="00760441"/>
    <w:rsid w:val="0076387F"/>
    <w:rsid w:val="00764A18"/>
    <w:rsid w:val="00765AD5"/>
    <w:rsid w:val="00766F15"/>
    <w:rsid w:val="0077136A"/>
    <w:rsid w:val="00773D2E"/>
    <w:rsid w:val="00773FBC"/>
    <w:rsid w:val="00777372"/>
    <w:rsid w:val="00782B90"/>
    <w:rsid w:val="00784A12"/>
    <w:rsid w:val="0078605C"/>
    <w:rsid w:val="00787920"/>
    <w:rsid w:val="007923D1"/>
    <w:rsid w:val="00792770"/>
    <w:rsid w:val="0079546D"/>
    <w:rsid w:val="00795F95"/>
    <w:rsid w:val="007977D5"/>
    <w:rsid w:val="007A1944"/>
    <w:rsid w:val="007A22FF"/>
    <w:rsid w:val="007A71DA"/>
    <w:rsid w:val="007B110F"/>
    <w:rsid w:val="007B30C6"/>
    <w:rsid w:val="007B4090"/>
    <w:rsid w:val="007B517B"/>
    <w:rsid w:val="007C081E"/>
    <w:rsid w:val="007C3E9C"/>
    <w:rsid w:val="007C5A02"/>
    <w:rsid w:val="007C6EC2"/>
    <w:rsid w:val="007D2AD0"/>
    <w:rsid w:val="007D2C89"/>
    <w:rsid w:val="007D6EA5"/>
    <w:rsid w:val="007E03D3"/>
    <w:rsid w:val="007E2269"/>
    <w:rsid w:val="007E389D"/>
    <w:rsid w:val="007E3E26"/>
    <w:rsid w:val="007E3F1B"/>
    <w:rsid w:val="007E4B90"/>
    <w:rsid w:val="007E7D61"/>
    <w:rsid w:val="007F42AD"/>
    <w:rsid w:val="007F5B43"/>
    <w:rsid w:val="007F6FD2"/>
    <w:rsid w:val="00800967"/>
    <w:rsid w:val="0080500E"/>
    <w:rsid w:val="008057DE"/>
    <w:rsid w:val="0080705C"/>
    <w:rsid w:val="00807669"/>
    <w:rsid w:val="008121E9"/>
    <w:rsid w:val="008133F6"/>
    <w:rsid w:val="00816297"/>
    <w:rsid w:val="00822B6E"/>
    <w:rsid w:val="008231B9"/>
    <w:rsid w:val="00824023"/>
    <w:rsid w:val="00827B48"/>
    <w:rsid w:val="00827F21"/>
    <w:rsid w:val="00831C84"/>
    <w:rsid w:val="00835D03"/>
    <w:rsid w:val="00841009"/>
    <w:rsid w:val="00841C15"/>
    <w:rsid w:val="00842F69"/>
    <w:rsid w:val="00843020"/>
    <w:rsid w:val="00846230"/>
    <w:rsid w:val="00846D18"/>
    <w:rsid w:val="00847DAC"/>
    <w:rsid w:val="00850A1F"/>
    <w:rsid w:val="00853044"/>
    <w:rsid w:val="00857867"/>
    <w:rsid w:val="00862503"/>
    <w:rsid w:val="00863892"/>
    <w:rsid w:val="0086511A"/>
    <w:rsid w:val="00865602"/>
    <w:rsid w:val="00865722"/>
    <w:rsid w:val="00866E62"/>
    <w:rsid w:val="0087176C"/>
    <w:rsid w:val="00872C6C"/>
    <w:rsid w:val="00875182"/>
    <w:rsid w:val="00880492"/>
    <w:rsid w:val="00880E5A"/>
    <w:rsid w:val="00880F97"/>
    <w:rsid w:val="008819F7"/>
    <w:rsid w:val="00883BC7"/>
    <w:rsid w:val="00883D7A"/>
    <w:rsid w:val="00887DBA"/>
    <w:rsid w:val="00890AC6"/>
    <w:rsid w:val="00890DFD"/>
    <w:rsid w:val="0089340E"/>
    <w:rsid w:val="00894E16"/>
    <w:rsid w:val="008963DD"/>
    <w:rsid w:val="0089795C"/>
    <w:rsid w:val="008A2190"/>
    <w:rsid w:val="008A3172"/>
    <w:rsid w:val="008A630F"/>
    <w:rsid w:val="008A66D0"/>
    <w:rsid w:val="008B0098"/>
    <w:rsid w:val="008B1F9A"/>
    <w:rsid w:val="008B20A2"/>
    <w:rsid w:val="008B472E"/>
    <w:rsid w:val="008B5E51"/>
    <w:rsid w:val="008B63CD"/>
    <w:rsid w:val="008C1448"/>
    <w:rsid w:val="008C2756"/>
    <w:rsid w:val="008C4081"/>
    <w:rsid w:val="008C5D92"/>
    <w:rsid w:val="008C6262"/>
    <w:rsid w:val="008C6613"/>
    <w:rsid w:val="008C6692"/>
    <w:rsid w:val="008D2AA6"/>
    <w:rsid w:val="008D6F05"/>
    <w:rsid w:val="008E1FFF"/>
    <w:rsid w:val="008E3E13"/>
    <w:rsid w:val="008E7314"/>
    <w:rsid w:val="008F1984"/>
    <w:rsid w:val="00901ED1"/>
    <w:rsid w:val="0090357B"/>
    <w:rsid w:val="00903D7E"/>
    <w:rsid w:val="009041D9"/>
    <w:rsid w:val="00915989"/>
    <w:rsid w:val="00915E38"/>
    <w:rsid w:val="0093283E"/>
    <w:rsid w:val="00932CE3"/>
    <w:rsid w:val="009330F5"/>
    <w:rsid w:val="00933A6F"/>
    <w:rsid w:val="00940FF9"/>
    <w:rsid w:val="00941832"/>
    <w:rsid w:val="009468E7"/>
    <w:rsid w:val="00946F89"/>
    <w:rsid w:val="00951D1B"/>
    <w:rsid w:val="009521DF"/>
    <w:rsid w:val="00955A8C"/>
    <w:rsid w:val="00956A41"/>
    <w:rsid w:val="0096131A"/>
    <w:rsid w:val="00963BE5"/>
    <w:rsid w:val="009641FD"/>
    <w:rsid w:val="00967518"/>
    <w:rsid w:val="009705A4"/>
    <w:rsid w:val="00971AC9"/>
    <w:rsid w:val="00972A0B"/>
    <w:rsid w:val="00980249"/>
    <w:rsid w:val="0098660F"/>
    <w:rsid w:val="00992AA1"/>
    <w:rsid w:val="009A0C65"/>
    <w:rsid w:val="009A1B4B"/>
    <w:rsid w:val="009A229B"/>
    <w:rsid w:val="009A33E5"/>
    <w:rsid w:val="009A4981"/>
    <w:rsid w:val="009A6A20"/>
    <w:rsid w:val="009A7C73"/>
    <w:rsid w:val="009B0184"/>
    <w:rsid w:val="009B0E5C"/>
    <w:rsid w:val="009B4535"/>
    <w:rsid w:val="009B5A21"/>
    <w:rsid w:val="009B7E6D"/>
    <w:rsid w:val="009C08B5"/>
    <w:rsid w:val="009C7831"/>
    <w:rsid w:val="009C7D5E"/>
    <w:rsid w:val="009E032D"/>
    <w:rsid w:val="009E27B2"/>
    <w:rsid w:val="009E515D"/>
    <w:rsid w:val="009E53A1"/>
    <w:rsid w:val="009F223E"/>
    <w:rsid w:val="009F2737"/>
    <w:rsid w:val="009F71CF"/>
    <w:rsid w:val="00A02099"/>
    <w:rsid w:val="00A04125"/>
    <w:rsid w:val="00A05EFA"/>
    <w:rsid w:val="00A10684"/>
    <w:rsid w:val="00A10FB9"/>
    <w:rsid w:val="00A145A7"/>
    <w:rsid w:val="00A1557E"/>
    <w:rsid w:val="00A16179"/>
    <w:rsid w:val="00A22C41"/>
    <w:rsid w:val="00A23505"/>
    <w:rsid w:val="00A240C8"/>
    <w:rsid w:val="00A24454"/>
    <w:rsid w:val="00A31E2D"/>
    <w:rsid w:val="00A32AF9"/>
    <w:rsid w:val="00A36B01"/>
    <w:rsid w:val="00A40021"/>
    <w:rsid w:val="00A418D6"/>
    <w:rsid w:val="00A460A8"/>
    <w:rsid w:val="00A463C0"/>
    <w:rsid w:val="00A46C64"/>
    <w:rsid w:val="00A50AB5"/>
    <w:rsid w:val="00A54F8B"/>
    <w:rsid w:val="00A74CBA"/>
    <w:rsid w:val="00A74F81"/>
    <w:rsid w:val="00A757FA"/>
    <w:rsid w:val="00A762C6"/>
    <w:rsid w:val="00A7647F"/>
    <w:rsid w:val="00A82F90"/>
    <w:rsid w:val="00A83C17"/>
    <w:rsid w:val="00A840FD"/>
    <w:rsid w:val="00A936B9"/>
    <w:rsid w:val="00A9395A"/>
    <w:rsid w:val="00A95CE6"/>
    <w:rsid w:val="00AA304D"/>
    <w:rsid w:val="00AA3BE8"/>
    <w:rsid w:val="00AA7821"/>
    <w:rsid w:val="00AB176C"/>
    <w:rsid w:val="00AB2694"/>
    <w:rsid w:val="00AB2D1A"/>
    <w:rsid w:val="00AB406F"/>
    <w:rsid w:val="00AB4441"/>
    <w:rsid w:val="00AB5DAF"/>
    <w:rsid w:val="00AB7E32"/>
    <w:rsid w:val="00AB7E58"/>
    <w:rsid w:val="00AC4DD4"/>
    <w:rsid w:val="00AC5228"/>
    <w:rsid w:val="00AC694F"/>
    <w:rsid w:val="00AC7467"/>
    <w:rsid w:val="00AC7984"/>
    <w:rsid w:val="00AD29BD"/>
    <w:rsid w:val="00AD44AB"/>
    <w:rsid w:val="00AD5EC2"/>
    <w:rsid w:val="00AD620F"/>
    <w:rsid w:val="00AE3221"/>
    <w:rsid w:val="00AE6286"/>
    <w:rsid w:val="00AE78CA"/>
    <w:rsid w:val="00AF55D0"/>
    <w:rsid w:val="00B00EA6"/>
    <w:rsid w:val="00B02B9C"/>
    <w:rsid w:val="00B15B31"/>
    <w:rsid w:val="00B1620C"/>
    <w:rsid w:val="00B16743"/>
    <w:rsid w:val="00B169D7"/>
    <w:rsid w:val="00B205E2"/>
    <w:rsid w:val="00B20C29"/>
    <w:rsid w:val="00B2408F"/>
    <w:rsid w:val="00B24E03"/>
    <w:rsid w:val="00B32EE4"/>
    <w:rsid w:val="00B3406D"/>
    <w:rsid w:val="00B341E5"/>
    <w:rsid w:val="00B35D97"/>
    <w:rsid w:val="00B401CC"/>
    <w:rsid w:val="00B444E9"/>
    <w:rsid w:val="00B4492F"/>
    <w:rsid w:val="00B44AE1"/>
    <w:rsid w:val="00B5019A"/>
    <w:rsid w:val="00B555FE"/>
    <w:rsid w:val="00B55D14"/>
    <w:rsid w:val="00B630C0"/>
    <w:rsid w:val="00B65EBB"/>
    <w:rsid w:val="00B66576"/>
    <w:rsid w:val="00B70C1A"/>
    <w:rsid w:val="00B71202"/>
    <w:rsid w:val="00B73838"/>
    <w:rsid w:val="00B740FB"/>
    <w:rsid w:val="00B84E76"/>
    <w:rsid w:val="00B8776D"/>
    <w:rsid w:val="00B908CC"/>
    <w:rsid w:val="00B92DD8"/>
    <w:rsid w:val="00B93485"/>
    <w:rsid w:val="00B93D0B"/>
    <w:rsid w:val="00B942E3"/>
    <w:rsid w:val="00B95862"/>
    <w:rsid w:val="00B958AC"/>
    <w:rsid w:val="00B96348"/>
    <w:rsid w:val="00BA1997"/>
    <w:rsid w:val="00BA601E"/>
    <w:rsid w:val="00BB0BED"/>
    <w:rsid w:val="00BB4460"/>
    <w:rsid w:val="00BB536A"/>
    <w:rsid w:val="00BC3EF5"/>
    <w:rsid w:val="00BC7132"/>
    <w:rsid w:val="00BC7D84"/>
    <w:rsid w:val="00BD31C7"/>
    <w:rsid w:val="00BE1923"/>
    <w:rsid w:val="00BE2005"/>
    <w:rsid w:val="00BE3664"/>
    <w:rsid w:val="00BE3DFF"/>
    <w:rsid w:val="00BF1D3C"/>
    <w:rsid w:val="00C03009"/>
    <w:rsid w:val="00C07D2D"/>
    <w:rsid w:val="00C11930"/>
    <w:rsid w:val="00C141C5"/>
    <w:rsid w:val="00C15791"/>
    <w:rsid w:val="00C15B27"/>
    <w:rsid w:val="00C20821"/>
    <w:rsid w:val="00C2165D"/>
    <w:rsid w:val="00C21AC1"/>
    <w:rsid w:val="00C22F56"/>
    <w:rsid w:val="00C2313A"/>
    <w:rsid w:val="00C24189"/>
    <w:rsid w:val="00C2553B"/>
    <w:rsid w:val="00C25708"/>
    <w:rsid w:val="00C26016"/>
    <w:rsid w:val="00C32979"/>
    <w:rsid w:val="00C32DD1"/>
    <w:rsid w:val="00C33717"/>
    <w:rsid w:val="00C34CAD"/>
    <w:rsid w:val="00C36DDB"/>
    <w:rsid w:val="00C4038C"/>
    <w:rsid w:val="00C419C9"/>
    <w:rsid w:val="00C4400E"/>
    <w:rsid w:val="00C565B6"/>
    <w:rsid w:val="00C5744C"/>
    <w:rsid w:val="00C63AB1"/>
    <w:rsid w:val="00C66600"/>
    <w:rsid w:val="00C67476"/>
    <w:rsid w:val="00C67A33"/>
    <w:rsid w:val="00C72990"/>
    <w:rsid w:val="00C736F2"/>
    <w:rsid w:val="00C763F5"/>
    <w:rsid w:val="00C837D6"/>
    <w:rsid w:val="00C8535C"/>
    <w:rsid w:val="00C85E53"/>
    <w:rsid w:val="00C869BC"/>
    <w:rsid w:val="00C87BD2"/>
    <w:rsid w:val="00C924BC"/>
    <w:rsid w:val="00C93F86"/>
    <w:rsid w:val="00C94463"/>
    <w:rsid w:val="00C9596E"/>
    <w:rsid w:val="00C97347"/>
    <w:rsid w:val="00CA25CA"/>
    <w:rsid w:val="00CA53B7"/>
    <w:rsid w:val="00CA7A46"/>
    <w:rsid w:val="00CB0A42"/>
    <w:rsid w:val="00CB32AF"/>
    <w:rsid w:val="00CB74B4"/>
    <w:rsid w:val="00CB7A6E"/>
    <w:rsid w:val="00CB7EA2"/>
    <w:rsid w:val="00CC2554"/>
    <w:rsid w:val="00CC71E2"/>
    <w:rsid w:val="00CD1205"/>
    <w:rsid w:val="00CD2141"/>
    <w:rsid w:val="00CD2B21"/>
    <w:rsid w:val="00CD3D71"/>
    <w:rsid w:val="00CD7808"/>
    <w:rsid w:val="00CD7A85"/>
    <w:rsid w:val="00CE4856"/>
    <w:rsid w:val="00CE5C5B"/>
    <w:rsid w:val="00CE6DB2"/>
    <w:rsid w:val="00CF00A1"/>
    <w:rsid w:val="00CF325C"/>
    <w:rsid w:val="00CF334F"/>
    <w:rsid w:val="00CF3D62"/>
    <w:rsid w:val="00CF47E7"/>
    <w:rsid w:val="00CF4F17"/>
    <w:rsid w:val="00D0079B"/>
    <w:rsid w:val="00D01F79"/>
    <w:rsid w:val="00D038BD"/>
    <w:rsid w:val="00D1099C"/>
    <w:rsid w:val="00D1200E"/>
    <w:rsid w:val="00D1415A"/>
    <w:rsid w:val="00D219F1"/>
    <w:rsid w:val="00D22E0B"/>
    <w:rsid w:val="00D25E1A"/>
    <w:rsid w:val="00D30A1B"/>
    <w:rsid w:val="00D346B2"/>
    <w:rsid w:val="00D35454"/>
    <w:rsid w:val="00D40585"/>
    <w:rsid w:val="00D42933"/>
    <w:rsid w:val="00D43B57"/>
    <w:rsid w:val="00D466BC"/>
    <w:rsid w:val="00D51CE6"/>
    <w:rsid w:val="00D57C07"/>
    <w:rsid w:val="00D600E0"/>
    <w:rsid w:val="00D61E5A"/>
    <w:rsid w:val="00D62E24"/>
    <w:rsid w:val="00D66004"/>
    <w:rsid w:val="00D66941"/>
    <w:rsid w:val="00D676BC"/>
    <w:rsid w:val="00D716F5"/>
    <w:rsid w:val="00D743A4"/>
    <w:rsid w:val="00D74572"/>
    <w:rsid w:val="00D7462C"/>
    <w:rsid w:val="00D80370"/>
    <w:rsid w:val="00D806C5"/>
    <w:rsid w:val="00D873D6"/>
    <w:rsid w:val="00DA0272"/>
    <w:rsid w:val="00DA454A"/>
    <w:rsid w:val="00DA6A1C"/>
    <w:rsid w:val="00DA77D9"/>
    <w:rsid w:val="00DC3931"/>
    <w:rsid w:val="00DC4D33"/>
    <w:rsid w:val="00DC5A54"/>
    <w:rsid w:val="00DD0774"/>
    <w:rsid w:val="00DD1F79"/>
    <w:rsid w:val="00DD3077"/>
    <w:rsid w:val="00DD4B9F"/>
    <w:rsid w:val="00DD53D9"/>
    <w:rsid w:val="00DD6FA2"/>
    <w:rsid w:val="00DD723F"/>
    <w:rsid w:val="00DE07E8"/>
    <w:rsid w:val="00DE25FF"/>
    <w:rsid w:val="00DE35A3"/>
    <w:rsid w:val="00DE3880"/>
    <w:rsid w:val="00DE5FA3"/>
    <w:rsid w:val="00DE7FF2"/>
    <w:rsid w:val="00DF2E88"/>
    <w:rsid w:val="00DF2FD9"/>
    <w:rsid w:val="00DF6E1C"/>
    <w:rsid w:val="00E06215"/>
    <w:rsid w:val="00E10C73"/>
    <w:rsid w:val="00E13CEE"/>
    <w:rsid w:val="00E147CF"/>
    <w:rsid w:val="00E14F96"/>
    <w:rsid w:val="00E174ED"/>
    <w:rsid w:val="00E20AE6"/>
    <w:rsid w:val="00E31F3E"/>
    <w:rsid w:val="00E32DD6"/>
    <w:rsid w:val="00E33B66"/>
    <w:rsid w:val="00E33EA4"/>
    <w:rsid w:val="00E352E3"/>
    <w:rsid w:val="00E40B2C"/>
    <w:rsid w:val="00E41883"/>
    <w:rsid w:val="00E41A12"/>
    <w:rsid w:val="00E421CF"/>
    <w:rsid w:val="00E45E96"/>
    <w:rsid w:val="00E536DD"/>
    <w:rsid w:val="00E55787"/>
    <w:rsid w:val="00E62B62"/>
    <w:rsid w:val="00E63C56"/>
    <w:rsid w:val="00E658C6"/>
    <w:rsid w:val="00E65A68"/>
    <w:rsid w:val="00E71723"/>
    <w:rsid w:val="00E722F7"/>
    <w:rsid w:val="00E7302F"/>
    <w:rsid w:val="00E75986"/>
    <w:rsid w:val="00E82D8A"/>
    <w:rsid w:val="00E84985"/>
    <w:rsid w:val="00E90DF8"/>
    <w:rsid w:val="00E91542"/>
    <w:rsid w:val="00E91D95"/>
    <w:rsid w:val="00E97964"/>
    <w:rsid w:val="00EA778D"/>
    <w:rsid w:val="00EB19CE"/>
    <w:rsid w:val="00EB3580"/>
    <w:rsid w:val="00EB3D21"/>
    <w:rsid w:val="00EC13DF"/>
    <w:rsid w:val="00EC2734"/>
    <w:rsid w:val="00EC35B3"/>
    <w:rsid w:val="00EC5FA8"/>
    <w:rsid w:val="00ED1A87"/>
    <w:rsid w:val="00ED2509"/>
    <w:rsid w:val="00ED7B88"/>
    <w:rsid w:val="00ED7C3A"/>
    <w:rsid w:val="00EE237B"/>
    <w:rsid w:val="00EF1AE3"/>
    <w:rsid w:val="00EF2367"/>
    <w:rsid w:val="00EF40EB"/>
    <w:rsid w:val="00F032E8"/>
    <w:rsid w:val="00F03917"/>
    <w:rsid w:val="00F03F51"/>
    <w:rsid w:val="00F118DE"/>
    <w:rsid w:val="00F1518B"/>
    <w:rsid w:val="00F205B2"/>
    <w:rsid w:val="00F22B04"/>
    <w:rsid w:val="00F2314D"/>
    <w:rsid w:val="00F23807"/>
    <w:rsid w:val="00F257EE"/>
    <w:rsid w:val="00F2600D"/>
    <w:rsid w:val="00F26576"/>
    <w:rsid w:val="00F27330"/>
    <w:rsid w:val="00F33AAC"/>
    <w:rsid w:val="00F33EF9"/>
    <w:rsid w:val="00F3749E"/>
    <w:rsid w:val="00F43936"/>
    <w:rsid w:val="00F504EE"/>
    <w:rsid w:val="00F540F1"/>
    <w:rsid w:val="00F60618"/>
    <w:rsid w:val="00F62C83"/>
    <w:rsid w:val="00F6633A"/>
    <w:rsid w:val="00F66F55"/>
    <w:rsid w:val="00F6716F"/>
    <w:rsid w:val="00F74D65"/>
    <w:rsid w:val="00F754CD"/>
    <w:rsid w:val="00F81530"/>
    <w:rsid w:val="00F81CDF"/>
    <w:rsid w:val="00F8447E"/>
    <w:rsid w:val="00F851D4"/>
    <w:rsid w:val="00F86DF2"/>
    <w:rsid w:val="00F94A95"/>
    <w:rsid w:val="00F96A6E"/>
    <w:rsid w:val="00F97369"/>
    <w:rsid w:val="00FA04E1"/>
    <w:rsid w:val="00FA3320"/>
    <w:rsid w:val="00FA48BD"/>
    <w:rsid w:val="00FB537F"/>
    <w:rsid w:val="00FB6EEF"/>
    <w:rsid w:val="00FB7FFE"/>
    <w:rsid w:val="00FC1FDF"/>
    <w:rsid w:val="00FC3B5B"/>
    <w:rsid w:val="00FC3D7C"/>
    <w:rsid w:val="00FD0696"/>
    <w:rsid w:val="00FD2B63"/>
    <w:rsid w:val="00FD43C3"/>
    <w:rsid w:val="00FD6447"/>
    <w:rsid w:val="00FD71BF"/>
    <w:rsid w:val="00FE0310"/>
    <w:rsid w:val="00FE1BCE"/>
    <w:rsid w:val="00FF0844"/>
    <w:rsid w:val="00FF19A9"/>
    <w:rsid w:val="00FF369D"/>
    <w:rsid w:val="00FF4292"/>
    <w:rsid w:val="00FF44A1"/>
    <w:rsid w:val="00FF4B52"/>
    <w:rsid w:val="00FF60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32462E6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 w:hAnsi="Cambria"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9"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3887"/>
    <w:rPr>
      <w:rFonts w:ascii="Times New Roman" w:hAnsi="Times New Roman"/>
      <w:sz w:val="24"/>
      <w:szCs w:val="24"/>
    </w:rPr>
  </w:style>
  <w:style w:type="paragraph" w:styleId="Heading3">
    <w:name w:val="heading 3"/>
    <w:basedOn w:val="Normal"/>
    <w:link w:val="Heading3Char"/>
    <w:uiPriority w:val="9"/>
    <w:qFormat/>
    <w:locked/>
    <w:rsid w:val="00C21AC1"/>
    <w:pPr>
      <w:spacing w:before="100" w:beforeAutospacing="1" w:after="100" w:afterAutospacing="1"/>
      <w:outlineLvl w:val="2"/>
    </w:pPr>
    <w:rPr>
      <w:rFonts w:eastAsia="Times New Roman"/>
      <w:b/>
      <w:bCs/>
      <w:sz w:val="27"/>
      <w:szCs w:val="27"/>
    </w:rPr>
  </w:style>
  <w:style w:type="paragraph" w:styleId="Heading5">
    <w:name w:val="heading 5"/>
    <w:basedOn w:val="Normal"/>
    <w:next w:val="Normal"/>
    <w:link w:val="Heading5Char"/>
    <w:semiHidden/>
    <w:unhideWhenUsed/>
    <w:qFormat/>
    <w:locked/>
    <w:rsid w:val="009B0184"/>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03887"/>
    <w:pPr>
      <w:tabs>
        <w:tab w:val="center" w:pos="4153"/>
        <w:tab w:val="right" w:pos="8306"/>
      </w:tabs>
    </w:pPr>
  </w:style>
  <w:style w:type="character" w:customStyle="1" w:styleId="HeaderChar">
    <w:name w:val="Header Char"/>
    <w:link w:val="Header"/>
    <w:uiPriority w:val="99"/>
    <w:locked/>
    <w:rsid w:val="00503887"/>
    <w:rPr>
      <w:rFonts w:ascii="Times New Roman" w:hAnsi="Times New Roman" w:cs="Times New Roman"/>
      <w:lang w:val="en-GB" w:eastAsia="en-GB"/>
    </w:rPr>
  </w:style>
  <w:style w:type="paragraph" w:styleId="Footer">
    <w:name w:val="footer"/>
    <w:basedOn w:val="Normal"/>
    <w:link w:val="FooterChar"/>
    <w:uiPriority w:val="99"/>
    <w:rsid w:val="00503887"/>
    <w:pPr>
      <w:tabs>
        <w:tab w:val="center" w:pos="4153"/>
        <w:tab w:val="right" w:pos="8306"/>
      </w:tabs>
    </w:pPr>
  </w:style>
  <w:style w:type="character" w:customStyle="1" w:styleId="FooterChar">
    <w:name w:val="Footer Char"/>
    <w:link w:val="Footer"/>
    <w:uiPriority w:val="99"/>
    <w:locked/>
    <w:rsid w:val="00503887"/>
    <w:rPr>
      <w:rFonts w:ascii="Times New Roman" w:hAnsi="Times New Roman" w:cs="Times New Roman"/>
      <w:lang w:val="en-GB" w:eastAsia="en-GB"/>
    </w:rPr>
  </w:style>
  <w:style w:type="character" w:styleId="PageNumber">
    <w:name w:val="page number"/>
    <w:uiPriority w:val="99"/>
    <w:rsid w:val="00503887"/>
    <w:rPr>
      <w:rFonts w:cs="Times New Roman"/>
    </w:rPr>
  </w:style>
  <w:style w:type="paragraph" w:styleId="BalloonText">
    <w:name w:val="Balloon Text"/>
    <w:basedOn w:val="Normal"/>
    <w:link w:val="BalloonTextChar"/>
    <w:uiPriority w:val="99"/>
    <w:semiHidden/>
    <w:rsid w:val="00503887"/>
    <w:rPr>
      <w:rFonts w:ascii="Lucida Grande" w:hAnsi="Lucida Grande" w:cs="Lucida Grande"/>
      <w:sz w:val="18"/>
      <w:szCs w:val="18"/>
    </w:rPr>
  </w:style>
  <w:style w:type="character" w:customStyle="1" w:styleId="BalloonTextChar">
    <w:name w:val="Balloon Text Char"/>
    <w:link w:val="BalloonText"/>
    <w:uiPriority w:val="99"/>
    <w:semiHidden/>
    <w:locked/>
    <w:rsid w:val="00503887"/>
    <w:rPr>
      <w:rFonts w:ascii="Lucida Grande" w:hAnsi="Lucida Grande" w:cs="Lucida Grande"/>
      <w:sz w:val="18"/>
      <w:szCs w:val="18"/>
      <w:lang w:val="en-GB" w:eastAsia="en-GB"/>
    </w:rPr>
  </w:style>
  <w:style w:type="paragraph" w:styleId="ListParagraph">
    <w:name w:val="List Paragraph"/>
    <w:basedOn w:val="Normal"/>
    <w:uiPriority w:val="34"/>
    <w:qFormat/>
    <w:rsid w:val="00662B43"/>
    <w:pPr>
      <w:ind w:left="720"/>
      <w:contextualSpacing/>
    </w:pPr>
  </w:style>
  <w:style w:type="paragraph" w:styleId="FootnoteText">
    <w:name w:val="footnote text"/>
    <w:basedOn w:val="Normal"/>
    <w:link w:val="FootnoteTextChar"/>
    <w:uiPriority w:val="99"/>
    <w:rsid w:val="003447F8"/>
  </w:style>
  <w:style w:type="character" w:customStyle="1" w:styleId="FootnoteTextChar">
    <w:name w:val="Footnote Text Char"/>
    <w:link w:val="FootnoteText"/>
    <w:uiPriority w:val="99"/>
    <w:locked/>
    <w:rsid w:val="003447F8"/>
    <w:rPr>
      <w:rFonts w:ascii="Times New Roman" w:hAnsi="Times New Roman" w:cs="Times New Roman"/>
      <w:lang w:val="en-GB" w:eastAsia="en-GB"/>
    </w:rPr>
  </w:style>
  <w:style w:type="character" w:styleId="FootnoteReference">
    <w:name w:val="footnote reference"/>
    <w:uiPriority w:val="99"/>
    <w:rsid w:val="003447F8"/>
    <w:rPr>
      <w:rFonts w:cs="Times New Roman"/>
      <w:vertAlign w:val="superscript"/>
    </w:rPr>
  </w:style>
  <w:style w:type="paragraph" w:styleId="NormalWeb">
    <w:name w:val="Normal (Web)"/>
    <w:basedOn w:val="Normal"/>
    <w:uiPriority w:val="99"/>
    <w:unhideWhenUsed/>
    <w:rsid w:val="0015610E"/>
    <w:pPr>
      <w:spacing w:before="100" w:beforeAutospacing="1" w:after="100" w:afterAutospacing="1"/>
    </w:pPr>
    <w:rPr>
      <w:rFonts w:ascii="Times" w:hAnsi="Times"/>
      <w:sz w:val="20"/>
      <w:szCs w:val="20"/>
      <w:lang w:eastAsia="en-US"/>
    </w:rPr>
  </w:style>
  <w:style w:type="paragraph" w:customStyle="1" w:styleId="parag">
    <w:name w:val="parag"/>
    <w:basedOn w:val="Normal"/>
    <w:link w:val="paragChar"/>
    <w:rsid w:val="002C0DB8"/>
    <w:pPr>
      <w:tabs>
        <w:tab w:val="left" w:pos="567"/>
      </w:tabs>
      <w:ind w:left="567" w:hanging="567"/>
      <w:jc w:val="both"/>
    </w:pPr>
    <w:rPr>
      <w:rFonts w:ascii="Book Antiqua" w:eastAsia="Times New Roman" w:hAnsi="Book Antiqua"/>
    </w:rPr>
  </w:style>
  <w:style w:type="character" w:customStyle="1" w:styleId="paragChar">
    <w:name w:val="parag Char"/>
    <w:link w:val="parag"/>
    <w:rsid w:val="002C0DB8"/>
    <w:rPr>
      <w:rFonts w:ascii="Book Antiqua" w:eastAsia="Times New Roman" w:hAnsi="Book Antiqua"/>
      <w:sz w:val="24"/>
      <w:szCs w:val="24"/>
      <w:lang w:val="en-GB" w:eastAsia="en-GB"/>
    </w:rPr>
  </w:style>
  <w:style w:type="paragraph" w:customStyle="1" w:styleId="Default">
    <w:name w:val="Default"/>
    <w:rsid w:val="003F1EF2"/>
    <w:pPr>
      <w:autoSpaceDE w:val="0"/>
      <w:autoSpaceDN w:val="0"/>
      <w:adjustRightInd w:val="0"/>
    </w:pPr>
    <w:rPr>
      <w:rFonts w:ascii="Arial" w:hAnsi="Arial" w:cs="Arial"/>
      <w:color w:val="000000"/>
      <w:sz w:val="24"/>
      <w:szCs w:val="24"/>
    </w:rPr>
  </w:style>
  <w:style w:type="character" w:customStyle="1" w:styleId="Heading3Char">
    <w:name w:val="Heading 3 Char"/>
    <w:link w:val="Heading3"/>
    <w:uiPriority w:val="9"/>
    <w:rsid w:val="00C21AC1"/>
    <w:rPr>
      <w:rFonts w:ascii="Times New Roman" w:eastAsia="Times New Roman" w:hAnsi="Times New Roman"/>
      <w:b/>
      <w:bCs/>
      <w:sz w:val="27"/>
      <w:szCs w:val="27"/>
    </w:rPr>
  </w:style>
  <w:style w:type="character" w:styleId="Hyperlink">
    <w:name w:val="Hyperlink"/>
    <w:uiPriority w:val="99"/>
    <w:semiHidden/>
    <w:unhideWhenUsed/>
    <w:rsid w:val="00135F51"/>
    <w:rPr>
      <w:color w:val="0000FF"/>
      <w:u w:val="single"/>
    </w:rPr>
  </w:style>
  <w:style w:type="character" w:customStyle="1" w:styleId="legamendquote1">
    <w:name w:val="legamendquote1"/>
    <w:rsid w:val="00265D5A"/>
    <w:rPr>
      <w:b w:val="0"/>
      <w:bCs w:val="0"/>
      <w:i w:val="0"/>
      <w:iCs w:val="0"/>
    </w:rPr>
  </w:style>
  <w:style w:type="character" w:customStyle="1" w:styleId="legds2">
    <w:name w:val="legds2"/>
    <w:rsid w:val="00265D5A"/>
    <w:rPr>
      <w:vanish w:val="0"/>
      <w:webHidden w:val="0"/>
      <w:specVanish w:val="0"/>
    </w:rPr>
  </w:style>
  <w:style w:type="character" w:customStyle="1" w:styleId="legamendingtext">
    <w:name w:val="legamendingtext"/>
    <w:rsid w:val="00265D5A"/>
  </w:style>
  <w:style w:type="paragraph" w:customStyle="1" w:styleId="legclearfix2">
    <w:name w:val="legclearfix2"/>
    <w:basedOn w:val="Normal"/>
    <w:rsid w:val="00265D5A"/>
    <w:pPr>
      <w:shd w:val="clear" w:color="auto" w:fill="FFFFFF"/>
      <w:spacing w:after="120" w:line="360" w:lineRule="atLeast"/>
    </w:pPr>
    <w:rPr>
      <w:rFonts w:eastAsia="Times New Roman"/>
      <w:color w:val="000000"/>
      <w:sz w:val="19"/>
      <w:szCs w:val="19"/>
    </w:rPr>
  </w:style>
  <w:style w:type="character" w:customStyle="1" w:styleId="legextentrestriction7">
    <w:name w:val="legextentrestriction7"/>
    <w:rsid w:val="00075593"/>
    <w:rPr>
      <w:b/>
      <w:bCs/>
      <w:i w:val="0"/>
      <w:iCs w:val="0"/>
      <w:vanish/>
      <w:webHidden w:val="0"/>
      <w:color w:val="FFFFFF"/>
      <w:sz w:val="22"/>
      <w:szCs w:val="22"/>
      <w:shd w:val="clear" w:color="auto" w:fill="660066"/>
      <w:specVanish w:val="0"/>
    </w:rPr>
  </w:style>
  <w:style w:type="character" w:customStyle="1" w:styleId="Heading5Char">
    <w:name w:val="Heading 5 Char"/>
    <w:link w:val="Heading5"/>
    <w:semiHidden/>
    <w:rsid w:val="009B0184"/>
    <w:rPr>
      <w:rFonts w:ascii="Calibri" w:eastAsia="Times New Roman" w:hAnsi="Calibri" w:cs="Times New Roman"/>
      <w:b/>
      <w:bCs/>
      <w:i/>
      <w:iCs/>
      <w:sz w:val="26"/>
      <w:szCs w:val="26"/>
    </w:rPr>
  </w:style>
  <w:style w:type="paragraph" w:customStyle="1" w:styleId="legclearfix">
    <w:name w:val="legclearfix"/>
    <w:basedOn w:val="Normal"/>
    <w:rsid w:val="009B0184"/>
    <w:pPr>
      <w:spacing w:before="100" w:beforeAutospacing="1" w:after="100" w:afterAutospacing="1"/>
    </w:pPr>
    <w:rPr>
      <w:rFonts w:eastAsia="Times New Roman"/>
    </w:rPr>
  </w:style>
  <w:style w:type="paragraph" w:customStyle="1" w:styleId="legrhs">
    <w:name w:val="legrhs"/>
    <w:basedOn w:val="Normal"/>
    <w:rsid w:val="009B0184"/>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1551">
      <w:bodyDiv w:val="1"/>
      <w:marLeft w:val="0"/>
      <w:marRight w:val="0"/>
      <w:marTop w:val="0"/>
      <w:marBottom w:val="0"/>
      <w:divBdr>
        <w:top w:val="none" w:sz="0" w:space="0" w:color="auto"/>
        <w:left w:val="none" w:sz="0" w:space="0" w:color="auto"/>
        <w:bottom w:val="none" w:sz="0" w:space="0" w:color="auto"/>
        <w:right w:val="none" w:sz="0" w:space="0" w:color="auto"/>
      </w:divBdr>
    </w:div>
    <w:div w:id="271015891">
      <w:bodyDiv w:val="1"/>
      <w:marLeft w:val="0"/>
      <w:marRight w:val="0"/>
      <w:marTop w:val="0"/>
      <w:marBottom w:val="0"/>
      <w:divBdr>
        <w:top w:val="none" w:sz="0" w:space="0" w:color="auto"/>
        <w:left w:val="none" w:sz="0" w:space="0" w:color="auto"/>
        <w:bottom w:val="none" w:sz="0" w:space="0" w:color="auto"/>
        <w:right w:val="none" w:sz="0" w:space="0" w:color="auto"/>
      </w:divBdr>
      <w:divsChild>
        <w:div w:id="1127355891">
          <w:marLeft w:val="0"/>
          <w:marRight w:val="0"/>
          <w:marTop w:val="0"/>
          <w:marBottom w:val="0"/>
          <w:divBdr>
            <w:top w:val="none" w:sz="0" w:space="0" w:color="auto"/>
            <w:left w:val="none" w:sz="0" w:space="0" w:color="auto"/>
            <w:bottom w:val="none" w:sz="0" w:space="0" w:color="auto"/>
            <w:right w:val="none" w:sz="0" w:space="0" w:color="auto"/>
          </w:divBdr>
          <w:divsChild>
            <w:div w:id="414325617">
              <w:marLeft w:val="0"/>
              <w:marRight w:val="0"/>
              <w:marTop w:val="0"/>
              <w:marBottom w:val="0"/>
              <w:divBdr>
                <w:top w:val="single" w:sz="2" w:space="0" w:color="FFFFFF"/>
                <w:left w:val="single" w:sz="6" w:space="0" w:color="FFFFFF"/>
                <w:bottom w:val="single" w:sz="6" w:space="0" w:color="FFFFFF"/>
                <w:right w:val="single" w:sz="6" w:space="0" w:color="FFFFFF"/>
              </w:divBdr>
              <w:divsChild>
                <w:div w:id="1481507847">
                  <w:marLeft w:val="0"/>
                  <w:marRight w:val="0"/>
                  <w:marTop w:val="0"/>
                  <w:marBottom w:val="0"/>
                  <w:divBdr>
                    <w:top w:val="single" w:sz="6" w:space="1" w:color="D3D3D3"/>
                    <w:left w:val="none" w:sz="0" w:space="0" w:color="auto"/>
                    <w:bottom w:val="none" w:sz="0" w:space="0" w:color="auto"/>
                    <w:right w:val="none" w:sz="0" w:space="0" w:color="auto"/>
                  </w:divBdr>
                  <w:divsChild>
                    <w:div w:id="12579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184015">
      <w:bodyDiv w:val="1"/>
      <w:marLeft w:val="375"/>
      <w:marRight w:val="375"/>
      <w:marTop w:val="75"/>
      <w:marBottom w:val="75"/>
      <w:divBdr>
        <w:top w:val="none" w:sz="0" w:space="0" w:color="auto"/>
        <w:left w:val="none" w:sz="0" w:space="0" w:color="auto"/>
        <w:bottom w:val="none" w:sz="0" w:space="0" w:color="auto"/>
        <w:right w:val="none" w:sz="0" w:space="0" w:color="auto"/>
      </w:divBdr>
      <w:divsChild>
        <w:div w:id="1930432267">
          <w:marLeft w:val="0"/>
          <w:marRight w:val="0"/>
          <w:marTop w:val="0"/>
          <w:marBottom w:val="0"/>
          <w:divBdr>
            <w:top w:val="none" w:sz="0" w:space="0" w:color="auto"/>
            <w:left w:val="none" w:sz="0" w:space="0" w:color="auto"/>
            <w:bottom w:val="none" w:sz="0" w:space="0" w:color="auto"/>
            <w:right w:val="none" w:sz="0" w:space="0" w:color="auto"/>
          </w:divBdr>
          <w:divsChild>
            <w:div w:id="393159355">
              <w:marLeft w:val="0"/>
              <w:marRight w:val="0"/>
              <w:marTop w:val="0"/>
              <w:marBottom w:val="0"/>
              <w:divBdr>
                <w:top w:val="none" w:sz="0" w:space="0" w:color="auto"/>
                <w:left w:val="none" w:sz="0" w:space="0" w:color="auto"/>
                <w:bottom w:val="none" w:sz="0" w:space="0" w:color="auto"/>
                <w:right w:val="none" w:sz="0" w:space="0" w:color="auto"/>
              </w:divBdr>
              <w:divsChild>
                <w:div w:id="558595642">
                  <w:marLeft w:val="0"/>
                  <w:marRight w:val="0"/>
                  <w:marTop w:val="0"/>
                  <w:marBottom w:val="0"/>
                  <w:divBdr>
                    <w:top w:val="none" w:sz="0" w:space="0" w:color="auto"/>
                    <w:left w:val="none" w:sz="0" w:space="0" w:color="auto"/>
                    <w:bottom w:val="none" w:sz="0" w:space="0" w:color="auto"/>
                    <w:right w:val="none" w:sz="0" w:space="0" w:color="auto"/>
                  </w:divBdr>
                  <w:divsChild>
                    <w:div w:id="1217283161">
                      <w:marLeft w:val="0"/>
                      <w:marRight w:val="0"/>
                      <w:marTop w:val="0"/>
                      <w:marBottom w:val="0"/>
                      <w:divBdr>
                        <w:top w:val="none" w:sz="0" w:space="0" w:color="auto"/>
                        <w:left w:val="none" w:sz="0" w:space="0" w:color="auto"/>
                        <w:bottom w:val="none" w:sz="0" w:space="0" w:color="auto"/>
                        <w:right w:val="none" w:sz="0" w:space="0" w:color="auto"/>
                      </w:divBdr>
                      <w:divsChild>
                        <w:div w:id="784540870">
                          <w:marLeft w:val="0"/>
                          <w:marRight w:val="0"/>
                          <w:marTop w:val="0"/>
                          <w:marBottom w:val="0"/>
                          <w:divBdr>
                            <w:top w:val="none" w:sz="0" w:space="0" w:color="auto"/>
                            <w:left w:val="none" w:sz="0" w:space="0" w:color="auto"/>
                            <w:bottom w:val="none" w:sz="0" w:space="0" w:color="auto"/>
                            <w:right w:val="none" w:sz="0" w:space="0" w:color="auto"/>
                          </w:divBdr>
                          <w:divsChild>
                            <w:div w:id="1487623757">
                              <w:marLeft w:val="0"/>
                              <w:marRight w:val="0"/>
                              <w:marTop w:val="0"/>
                              <w:marBottom w:val="0"/>
                              <w:divBdr>
                                <w:top w:val="none" w:sz="0" w:space="0" w:color="auto"/>
                                <w:left w:val="none" w:sz="0" w:space="0" w:color="auto"/>
                                <w:bottom w:val="none" w:sz="0" w:space="0" w:color="auto"/>
                                <w:right w:val="none" w:sz="0" w:space="0" w:color="auto"/>
                              </w:divBdr>
                            </w:div>
                            <w:div w:id="1497376903">
                              <w:marLeft w:val="0"/>
                              <w:marRight w:val="0"/>
                              <w:marTop w:val="0"/>
                              <w:marBottom w:val="0"/>
                              <w:divBdr>
                                <w:top w:val="none" w:sz="0" w:space="0" w:color="auto"/>
                                <w:left w:val="none" w:sz="0" w:space="0" w:color="auto"/>
                                <w:bottom w:val="none" w:sz="0" w:space="0" w:color="auto"/>
                                <w:right w:val="none" w:sz="0" w:space="0" w:color="auto"/>
                              </w:divBdr>
                            </w:div>
                            <w:div w:id="1622609045">
                              <w:marLeft w:val="0"/>
                              <w:marRight w:val="0"/>
                              <w:marTop w:val="0"/>
                              <w:marBottom w:val="0"/>
                              <w:divBdr>
                                <w:top w:val="none" w:sz="0" w:space="0" w:color="auto"/>
                                <w:left w:val="none" w:sz="0" w:space="0" w:color="auto"/>
                                <w:bottom w:val="none" w:sz="0" w:space="0" w:color="auto"/>
                                <w:right w:val="none" w:sz="0" w:space="0" w:color="auto"/>
                              </w:divBdr>
                            </w:div>
                          </w:divsChild>
                        </w:div>
                        <w:div w:id="15388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852773">
      <w:bodyDiv w:val="1"/>
      <w:marLeft w:val="0"/>
      <w:marRight w:val="0"/>
      <w:marTop w:val="0"/>
      <w:marBottom w:val="0"/>
      <w:divBdr>
        <w:top w:val="none" w:sz="0" w:space="0" w:color="auto"/>
        <w:left w:val="none" w:sz="0" w:space="0" w:color="auto"/>
        <w:bottom w:val="none" w:sz="0" w:space="0" w:color="auto"/>
        <w:right w:val="none" w:sz="0" w:space="0" w:color="auto"/>
      </w:divBdr>
      <w:divsChild>
        <w:div w:id="882404754">
          <w:marLeft w:val="0"/>
          <w:marRight w:val="0"/>
          <w:marTop w:val="0"/>
          <w:marBottom w:val="0"/>
          <w:divBdr>
            <w:top w:val="none" w:sz="0" w:space="0" w:color="auto"/>
            <w:left w:val="none" w:sz="0" w:space="0" w:color="auto"/>
            <w:bottom w:val="none" w:sz="0" w:space="0" w:color="auto"/>
            <w:right w:val="none" w:sz="0" w:space="0" w:color="auto"/>
          </w:divBdr>
          <w:divsChild>
            <w:div w:id="1571698253">
              <w:marLeft w:val="0"/>
              <w:marRight w:val="0"/>
              <w:marTop w:val="0"/>
              <w:marBottom w:val="0"/>
              <w:divBdr>
                <w:top w:val="none" w:sz="0" w:space="0" w:color="auto"/>
                <w:left w:val="none" w:sz="0" w:space="0" w:color="auto"/>
                <w:bottom w:val="none" w:sz="0" w:space="0" w:color="auto"/>
                <w:right w:val="none" w:sz="0" w:space="0" w:color="auto"/>
              </w:divBdr>
              <w:divsChild>
                <w:div w:id="1399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01647">
      <w:bodyDiv w:val="1"/>
      <w:marLeft w:val="0"/>
      <w:marRight w:val="0"/>
      <w:marTop w:val="0"/>
      <w:marBottom w:val="0"/>
      <w:divBdr>
        <w:top w:val="none" w:sz="0" w:space="0" w:color="auto"/>
        <w:left w:val="none" w:sz="0" w:space="0" w:color="auto"/>
        <w:bottom w:val="none" w:sz="0" w:space="0" w:color="auto"/>
        <w:right w:val="none" w:sz="0" w:space="0" w:color="auto"/>
      </w:divBdr>
      <w:divsChild>
        <w:div w:id="1704865917">
          <w:marLeft w:val="0"/>
          <w:marRight w:val="0"/>
          <w:marTop w:val="0"/>
          <w:marBottom w:val="0"/>
          <w:divBdr>
            <w:top w:val="none" w:sz="0" w:space="0" w:color="auto"/>
            <w:left w:val="none" w:sz="0" w:space="0" w:color="auto"/>
            <w:bottom w:val="none" w:sz="0" w:space="0" w:color="auto"/>
            <w:right w:val="none" w:sz="0" w:space="0" w:color="auto"/>
          </w:divBdr>
          <w:divsChild>
            <w:div w:id="725567666">
              <w:marLeft w:val="0"/>
              <w:marRight w:val="0"/>
              <w:marTop w:val="0"/>
              <w:marBottom w:val="0"/>
              <w:divBdr>
                <w:top w:val="none" w:sz="0" w:space="0" w:color="auto"/>
                <w:left w:val="none" w:sz="0" w:space="0" w:color="auto"/>
                <w:bottom w:val="none" w:sz="0" w:space="0" w:color="auto"/>
                <w:right w:val="none" w:sz="0" w:space="0" w:color="auto"/>
              </w:divBdr>
              <w:divsChild>
                <w:div w:id="1575117969">
                  <w:marLeft w:val="0"/>
                  <w:marRight w:val="0"/>
                  <w:marTop w:val="0"/>
                  <w:marBottom w:val="0"/>
                  <w:divBdr>
                    <w:top w:val="none" w:sz="0" w:space="0" w:color="auto"/>
                    <w:left w:val="none" w:sz="0" w:space="0" w:color="auto"/>
                    <w:bottom w:val="none" w:sz="0" w:space="0" w:color="auto"/>
                    <w:right w:val="none" w:sz="0" w:space="0" w:color="auto"/>
                  </w:divBdr>
                  <w:divsChild>
                    <w:div w:id="329019519">
                      <w:marLeft w:val="0"/>
                      <w:marRight w:val="0"/>
                      <w:marTop w:val="0"/>
                      <w:marBottom w:val="0"/>
                      <w:divBdr>
                        <w:top w:val="none" w:sz="0" w:space="0" w:color="auto"/>
                        <w:left w:val="none" w:sz="0" w:space="0" w:color="auto"/>
                        <w:bottom w:val="none" w:sz="0" w:space="0" w:color="auto"/>
                        <w:right w:val="none" w:sz="0" w:space="0" w:color="auto"/>
                      </w:divBdr>
                      <w:divsChild>
                        <w:div w:id="1860854721">
                          <w:marLeft w:val="0"/>
                          <w:marRight w:val="0"/>
                          <w:marTop w:val="0"/>
                          <w:marBottom w:val="0"/>
                          <w:divBdr>
                            <w:top w:val="none" w:sz="0" w:space="0" w:color="auto"/>
                            <w:left w:val="none" w:sz="0" w:space="0" w:color="auto"/>
                            <w:bottom w:val="none" w:sz="0" w:space="0" w:color="auto"/>
                            <w:right w:val="none" w:sz="0" w:space="0" w:color="auto"/>
                          </w:divBdr>
                          <w:divsChild>
                            <w:div w:id="559053041">
                              <w:marLeft w:val="0"/>
                              <w:marRight w:val="0"/>
                              <w:marTop w:val="0"/>
                              <w:marBottom w:val="0"/>
                              <w:divBdr>
                                <w:top w:val="none" w:sz="0" w:space="0" w:color="auto"/>
                                <w:left w:val="none" w:sz="0" w:space="0" w:color="auto"/>
                                <w:bottom w:val="none" w:sz="0" w:space="0" w:color="auto"/>
                                <w:right w:val="none" w:sz="0" w:space="0" w:color="auto"/>
                              </w:divBdr>
                              <w:divsChild>
                                <w:div w:id="940141606">
                                  <w:marLeft w:val="0"/>
                                  <w:marRight w:val="0"/>
                                  <w:marTop w:val="0"/>
                                  <w:marBottom w:val="0"/>
                                  <w:divBdr>
                                    <w:top w:val="none" w:sz="0" w:space="0" w:color="auto"/>
                                    <w:left w:val="none" w:sz="0" w:space="0" w:color="auto"/>
                                    <w:bottom w:val="none" w:sz="0" w:space="0" w:color="auto"/>
                                    <w:right w:val="none" w:sz="0" w:space="0" w:color="auto"/>
                                  </w:divBdr>
                                  <w:divsChild>
                                    <w:div w:id="8012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757888">
      <w:bodyDiv w:val="1"/>
      <w:marLeft w:val="0"/>
      <w:marRight w:val="0"/>
      <w:marTop w:val="0"/>
      <w:marBottom w:val="0"/>
      <w:divBdr>
        <w:top w:val="none" w:sz="0" w:space="0" w:color="auto"/>
        <w:left w:val="none" w:sz="0" w:space="0" w:color="auto"/>
        <w:bottom w:val="none" w:sz="0" w:space="0" w:color="auto"/>
        <w:right w:val="none" w:sz="0" w:space="0" w:color="auto"/>
      </w:divBdr>
    </w:div>
    <w:div w:id="1046179297">
      <w:bodyDiv w:val="1"/>
      <w:marLeft w:val="0"/>
      <w:marRight w:val="0"/>
      <w:marTop w:val="0"/>
      <w:marBottom w:val="0"/>
      <w:divBdr>
        <w:top w:val="none" w:sz="0" w:space="0" w:color="auto"/>
        <w:left w:val="none" w:sz="0" w:space="0" w:color="auto"/>
        <w:bottom w:val="none" w:sz="0" w:space="0" w:color="auto"/>
        <w:right w:val="none" w:sz="0" w:space="0" w:color="auto"/>
      </w:divBdr>
      <w:divsChild>
        <w:div w:id="1462068373">
          <w:marLeft w:val="0"/>
          <w:marRight w:val="0"/>
          <w:marTop w:val="0"/>
          <w:marBottom w:val="0"/>
          <w:divBdr>
            <w:top w:val="none" w:sz="0" w:space="0" w:color="auto"/>
            <w:left w:val="none" w:sz="0" w:space="0" w:color="auto"/>
            <w:bottom w:val="none" w:sz="0" w:space="0" w:color="auto"/>
            <w:right w:val="none" w:sz="0" w:space="0" w:color="auto"/>
          </w:divBdr>
          <w:divsChild>
            <w:div w:id="1265385749">
              <w:marLeft w:val="0"/>
              <w:marRight w:val="0"/>
              <w:marTop w:val="0"/>
              <w:marBottom w:val="0"/>
              <w:divBdr>
                <w:top w:val="none" w:sz="0" w:space="0" w:color="auto"/>
                <w:left w:val="none" w:sz="0" w:space="0" w:color="auto"/>
                <w:bottom w:val="none" w:sz="0" w:space="0" w:color="auto"/>
                <w:right w:val="none" w:sz="0" w:space="0" w:color="auto"/>
              </w:divBdr>
              <w:divsChild>
                <w:div w:id="2574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12174">
      <w:bodyDiv w:val="1"/>
      <w:marLeft w:val="0"/>
      <w:marRight w:val="0"/>
      <w:marTop w:val="0"/>
      <w:marBottom w:val="0"/>
      <w:divBdr>
        <w:top w:val="none" w:sz="0" w:space="0" w:color="auto"/>
        <w:left w:val="none" w:sz="0" w:space="0" w:color="auto"/>
        <w:bottom w:val="none" w:sz="0" w:space="0" w:color="auto"/>
        <w:right w:val="none" w:sz="0" w:space="0" w:color="auto"/>
      </w:divBdr>
      <w:divsChild>
        <w:div w:id="16591239">
          <w:marLeft w:val="0"/>
          <w:marRight w:val="0"/>
          <w:marTop w:val="0"/>
          <w:marBottom w:val="0"/>
          <w:divBdr>
            <w:top w:val="none" w:sz="0" w:space="0" w:color="auto"/>
            <w:left w:val="none" w:sz="0" w:space="0" w:color="auto"/>
            <w:bottom w:val="none" w:sz="0" w:space="0" w:color="auto"/>
            <w:right w:val="none" w:sz="0" w:space="0" w:color="auto"/>
          </w:divBdr>
          <w:divsChild>
            <w:div w:id="556864380">
              <w:marLeft w:val="0"/>
              <w:marRight w:val="0"/>
              <w:marTop w:val="0"/>
              <w:marBottom w:val="0"/>
              <w:divBdr>
                <w:top w:val="none" w:sz="0" w:space="0" w:color="auto"/>
                <w:left w:val="none" w:sz="0" w:space="0" w:color="auto"/>
                <w:bottom w:val="none" w:sz="0" w:space="0" w:color="auto"/>
                <w:right w:val="none" w:sz="0" w:space="0" w:color="auto"/>
              </w:divBdr>
              <w:divsChild>
                <w:div w:id="757674926">
                  <w:marLeft w:val="0"/>
                  <w:marRight w:val="0"/>
                  <w:marTop w:val="0"/>
                  <w:marBottom w:val="0"/>
                  <w:divBdr>
                    <w:top w:val="none" w:sz="0" w:space="0" w:color="auto"/>
                    <w:left w:val="none" w:sz="0" w:space="0" w:color="auto"/>
                    <w:bottom w:val="none" w:sz="0" w:space="0" w:color="auto"/>
                    <w:right w:val="none" w:sz="0" w:space="0" w:color="auto"/>
                  </w:divBdr>
                  <w:divsChild>
                    <w:div w:id="2007900177">
                      <w:marLeft w:val="0"/>
                      <w:marRight w:val="0"/>
                      <w:marTop w:val="0"/>
                      <w:marBottom w:val="0"/>
                      <w:divBdr>
                        <w:top w:val="none" w:sz="0" w:space="0" w:color="auto"/>
                        <w:left w:val="none" w:sz="0" w:space="0" w:color="auto"/>
                        <w:bottom w:val="none" w:sz="0" w:space="0" w:color="auto"/>
                        <w:right w:val="none" w:sz="0" w:space="0" w:color="auto"/>
                      </w:divBdr>
                      <w:divsChild>
                        <w:div w:id="1842161193">
                          <w:marLeft w:val="0"/>
                          <w:marRight w:val="0"/>
                          <w:marTop w:val="0"/>
                          <w:marBottom w:val="0"/>
                          <w:divBdr>
                            <w:top w:val="none" w:sz="0" w:space="0" w:color="auto"/>
                            <w:left w:val="none" w:sz="0" w:space="0" w:color="auto"/>
                            <w:bottom w:val="none" w:sz="0" w:space="0" w:color="auto"/>
                            <w:right w:val="none" w:sz="0" w:space="0" w:color="auto"/>
                          </w:divBdr>
                          <w:divsChild>
                            <w:div w:id="1760518517">
                              <w:marLeft w:val="0"/>
                              <w:marRight w:val="0"/>
                              <w:marTop w:val="0"/>
                              <w:marBottom w:val="0"/>
                              <w:divBdr>
                                <w:top w:val="none" w:sz="0" w:space="0" w:color="auto"/>
                                <w:left w:val="none" w:sz="0" w:space="0" w:color="auto"/>
                                <w:bottom w:val="none" w:sz="0" w:space="0" w:color="auto"/>
                                <w:right w:val="none" w:sz="0" w:space="0" w:color="auto"/>
                              </w:divBdr>
                              <w:divsChild>
                                <w:div w:id="2044404995">
                                  <w:marLeft w:val="0"/>
                                  <w:marRight w:val="0"/>
                                  <w:marTop w:val="0"/>
                                  <w:marBottom w:val="0"/>
                                  <w:divBdr>
                                    <w:top w:val="none" w:sz="0" w:space="0" w:color="auto"/>
                                    <w:left w:val="none" w:sz="0" w:space="0" w:color="auto"/>
                                    <w:bottom w:val="none" w:sz="0" w:space="0" w:color="auto"/>
                                    <w:right w:val="none" w:sz="0" w:space="0" w:color="auto"/>
                                  </w:divBdr>
                                  <w:divsChild>
                                    <w:div w:id="17934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572325">
      <w:bodyDiv w:val="1"/>
      <w:marLeft w:val="0"/>
      <w:marRight w:val="0"/>
      <w:marTop w:val="0"/>
      <w:marBottom w:val="0"/>
      <w:divBdr>
        <w:top w:val="none" w:sz="0" w:space="0" w:color="auto"/>
        <w:left w:val="none" w:sz="0" w:space="0" w:color="auto"/>
        <w:bottom w:val="none" w:sz="0" w:space="0" w:color="auto"/>
        <w:right w:val="none" w:sz="0" w:space="0" w:color="auto"/>
      </w:divBdr>
      <w:divsChild>
        <w:div w:id="190655090">
          <w:marLeft w:val="0"/>
          <w:marRight w:val="0"/>
          <w:marTop w:val="0"/>
          <w:marBottom w:val="0"/>
          <w:divBdr>
            <w:top w:val="none" w:sz="0" w:space="0" w:color="auto"/>
            <w:left w:val="none" w:sz="0" w:space="0" w:color="auto"/>
            <w:bottom w:val="none" w:sz="0" w:space="0" w:color="auto"/>
            <w:right w:val="none" w:sz="0" w:space="0" w:color="auto"/>
          </w:divBdr>
          <w:divsChild>
            <w:div w:id="439373606">
              <w:marLeft w:val="0"/>
              <w:marRight w:val="0"/>
              <w:marTop w:val="0"/>
              <w:marBottom w:val="0"/>
              <w:divBdr>
                <w:top w:val="none" w:sz="0" w:space="0" w:color="auto"/>
                <w:left w:val="none" w:sz="0" w:space="0" w:color="auto"/>
                <w:bottom w:val="none" w:sz="0" w:space="0" w:color="auto"/>
                <w:right w:val="none" w:sz="0" w:space="0" w:color="auto"/>
              </w:divBdr>
              <w:divsChild>
                <w:div w:id="413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8836">
          <w:marLeft w:val="0"/>
          <w:marRight w:val="0"/>
          <w:marTop w:val="0"/>
          <w:marBottom w:val="0"/>
          <w:divBdr>
            <w:top w:val="none" w:sz="0" w:space="0" w:color="auto"/>
            <w:left w:val="none" w:sz="0" w:space="0" w:color="auto"/>
            <w:bottom w:val="none" w:sz="0" w:space="0" w:color="auto"/>
            <w:right w:val="none" w:sz="0" w:space="0" w:color="auto"/>
          </w:divBdr>
          <w:divsChild>
            <w:div w:id="94179860">
              <w:marLeft w:val="0"/>
              <w:marRight w:val="0"/>
              <w:marTop w:val="0"/>
              <w:marBottom w:val="0"/>
              <w:divBdr>
                <w:top w:val="none" w:sz="0" w:space="0" w:color="auto"/>
                <w:left w:val="none" w:sz="0" w:space="0" w:color="auto"/>
                <w:bottom w:val="none" w:sz="0" w:space="0" w:color="auto"/>
                <w:right w:val="none" w:sz="0" w:space="0" w:color="auto"/>
              </w:divBdr>
              <w:divsChild>
                <w:div w:id="886378917">
                  <w:marLeft w:val="0"/>
                  <w:marRight w:val="0"/>
                  <w:marTop w:val="0"/>
                  <w:marBottom w:val="0"/>
                  <w:divBdr>
                    <w:top w:val="none" w:sz="0" w:space="0" w:color="auto"/>
                    <w:left w:val="none" w:sz="0" w:space="0" w:color="auto"/>
                    <w:bottom w:val="none" w:sz="0" w:space="0" w:color="auto"/>
                    <w:right w:val="none" w:sz="0" w:space="0" w:color="auto"/>
                  </w:divBdr>
                </w:div>
              </w:divsChild>
            </w:div>
            <w:div w:id="987978050">
              <w:marLeft w:val="0"/>
              <w:marRight w:val="0"/>
              <w:marTop w:val="0"/>
              <w:marBottom w:val="0"/>
              <w:divBdr>
                <w:top w:val="none" w:sz="0" w:space="0" w:color="auto"/>
                <w:left w:val="none" w:sz="0" w:space="0" w:color="auto"/>
                <w:bottom w:val="none" w:sz="0" w:space="0" w:color="auto"/>
                <w:right w:val="none" w:sz="0" w:space="0" w:color="auto"/>
              </w:divBdr>
              <w:divsChild>
                <w:div w:id="2034571097">
                  <w:marLeft w:val="0"/>
                  <w:marRight w:val="0"/>
                  <w:marTop w:val="0"/>
                  <w:marBottom w:val="0"/>
                  <w:divBdr>
                    <w:top w:val="none" w:sz="0" w:space="0" w:color="auto"/>
                    <w:left w:val="none" w:sz="0" w:space="0" w:color="auto"/>
                    <w:bottom w:val="none" w:sz="0" w:space="0" w:color="auto"/>
                    <w:right w:val="none" w:sz="0" w:space="0" w:color="auto"/>
                  </w:divBdr>
                </w:div>
              </w:divsChild>
            </w:div>
            <w:div w:id="1575430956">
              <w:marLeft w:val="0"/>
              <w:marRight w:val="0"/>
              <w:marTop w:val="0"/>
              <w:marBottom w:val="0"/>
              <w:divBdr>
                <w:top w:val="none" w:sz="0" w:space="0" w:color="auto"/>
                <w:left w:val="none" w:sz="0" w:space="0" w:color="auto"/>
                <w:bottom w:val="none" w:sz="0" w:space="0" w:color="auto"/>
                <w:right w:val="none" w:sz="0" w:space="0" w:color="auto"/>
              </w:divBdr>
              <w:divsChild>
                <w:div w:id="1768691099">
                  <w:marLeft w:val="0"/>
                  <w:marRight w:val="0"/>
                  <w:marTop w:val="0"/>
                  <w:marBottom w:val="0"/>
                  <w:divBdr>
                    <w:top w:val="none" w:sz="0" w:space="0" w:color="auto"/>
                    <w:left w:val="none" w:sz="0" w:space="0" w:color="auto"/>
                    <w:bottom w:val="none" w:sz="0" w:space="0" w:color="auto"/>
                    <w:right w:val="none" w:sz="0" w:space="0" w:color="auto"/>
                  </w:divBdr>
                </w:div>
              </w:divsChild>
            </w:div>
            <w:div w:id="1624455832">
              <w:marLeft w:val="0"/>
              <w:marRight w:val="0"/>
              <w:marTop w:val="0"/>
              <w:marBottom w:val="0"/>
              <w:divBdr>
                <w:top w:val="none" w:sz="0" w:space="0" w:color="auto"/>
                <w:left w:val="none" w:sz="0" w:space="0" w:color="auto"/>
                <w:bottom w:val="none" w:sz="0" w:space="0" w:color="auto"/>
                <w:right w:val="none" w:sz="0" w:space="0" w:color="auto"/>
              </w:divBdr>
              <w:divsChild>
                <w:div w:id="5905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955808">
      <w:bodyDiv w:val="1"/>
      <w:marLeft w:val="0"/>
      <w:marRight w:val="0"/>
      <w:marTop w:val="0"/>
      <w:marBottom w:val="0"/>
      <w:divBdr>
        <w:top w:val="none" w:sz="0" w:space="0" w:color="auto"/>
        <w:left w:val="none" w:sz="0" w:space="0" w:color="auto"/>
        <w:bottom w:val="none" w:sz="0" w:space="0" w:color="auto"/>
        <w:right w:val="none" w:sz="0" w:space="0" w:color="auto"/>
      </w:divBdr>
      <w:divsChild>
        <w:div w:id="1619872348">
          <w:marLeft w:val="0"/>
          <w:marRight w:val="0"/>
          <w:marTop w:val="0"/>
          <w:marBottom w:val="0"/>
          <w:divBdr>
            <w:top w:val="none" w:sz="0" w:space="0" w:color="auto"/>
            <w:left w:val="none" w:sz="0" w:space="0" w:color="auto"/>
            <w:bottom w:val="none" w:sz="0" w:space="0" w:color="auto"/>
            <w:right w:val="none" w:sz="0" w:space="0" w:color="auto"/>
          </w:divBdr>
          <w:divsChild>
            <w:div w:id="1048257621">
              <w:marLeft w:val="0"/>
              <w:marRight w:val="0"/>
              <w:marTop w:val="0"/>
              <w:marBottom w:val="0"/>
              <w:divBdr>
                <w:top w:val="none" w:sz="0" w:space="0" w:color="auto"/>
                <w:left w:val="none" w:sz="0" w:space="0" w:color="auto"/>
                <w:bottom w:val="none" w:sz="0" w:space="0" w:color="auto"/>
                <w:right w:val="none" w:sz="0" w:space="0" w:color="auto"/>
              </w:divBdr>
              <w:divsChild>
                <w:div w:id="5383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74489">
      <w:bodyDiv w:val="1"/>
      <w:marLeft w:val="0"/>
      <w:marRight w:val="0"/>
      <w:marTop w:val="0"/>
      <w:marBottom w:val="0"/>
      <w:divBdr>
        <w:top w:val="none" w:sz="0" w:space="0" w:color="auto"/>
        <w:left w:val="none" w:sz="0" w:space="0" w:color="auto"/>
        <w:bottom w:val="none" w:sz="0" w:space="0" w:color="auto"/>
        <w:right w:val="none" w:sz="0" w:space="0" w:color="auto"/>
      </w:divBdr>
    </w:div>
    <w:div w:id="1464343210">
      <w:bodyDiv w:val="1"/>
      <w:marLeft w:val="0"/>
      <w:marRight w:val="0"/>
      <w:marTop w:val="0"/>
      <w:marBottom w:val="0"/>
      <w:divBdr>
        <w:top w:val="none" w:sz="0" w:space="0" w:color="auto"/>
        <w:left w:val="none" w:sz="0" w:space="0" w:color="auto"/>
        <w:bottom w:val="none" w:sz="0" w:space="0" w:color="auto"/>
        <w:right w:val="none" w:sz="0" w:space="0" w:color="auto"/>
      </w:divBdr>
      <w:divsChild>
        <w:div w:id="1650286868">
          <w:marLeft w:val="0"/>
          <w:marRight w:val="0"/>
          <w:marTop w:val="0"/>
          <w:marBottom w:val="0"/>
          <w:divBdr>
            <w:top w:val="none" w:sz="0" w:space="0" w:color="auto"/>
            <w:left w:val="none" w:sz="0" w:space="0" w:color="auto"/>
            <w:bottom w:val="none" w:sz="0" w:space="0" w:color="auto"/>
            <w:right w:val="none" w:sz="0" w:space="0" w:color="auto"/>
          </w:divBdr>
          <w:divsChild>
            <w:div w:id="1552427313">
              <w:marLeft w:val="0"/>
              <w:marRight w:val="0"/>
              <w:marTop w:val="0"/>
              <w:marBottom w:val="0"/>
              <w:divBdr>
                <w:top w:val="none" w:sz="0" w:space="0" w:color="auto"/>
                <w:left w:val="none" w:sz="0" w:space="0" w:color="auto"/>
                <w:bottom w:val="none" w:sz="0" w:space="0" w:color="auto"/>
                <w:right w:val="none" w:sz="0" w:space="0" w:color="auto"/>
              </w:divBdr>
              <w:divsChild>
                <w:div w:id="20511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7029">
      <w:bodyDiv w:val="1"/>
      <w:marLeft w:val="0"/>
      <w:marRight w:val="0"/>
      <w:marTop w:val="0"/>
      <w:marBottom w:val="0"/>
      <w:divBdr>
        <w:top w:val="none" w:sz="0" w:space="0" w:color="auto"/>
        <w:left w:val="none" w:sz="0" w:space="0" w:color="auto"/>
        <w:bottom w:val="none" w:sz="0" w:space="0" w:color="auto"/>
        <w:right w:val="none" w:sz="0" w:space="0" w:color="auto"/>
      </w:divBdr>
      <w:divsChild>
        <w:div w:id="508834719">
          <w:marLeft w:val="0"/>
          <w:marRight w:val="0"/>
          <w:marTop w:val="0"/>
          <w:marBottom w:val="0"/>
          <w:divBdr>
            <w:top w:val="none" w:sz="0" w:space="0" w:color="auto"/>
            <w:left w:val="none" w:sz="0" w:space="0" w:color="auto"/>
            <w:bottom w:val="none" w:sz="0" w:space="0" w:color="auto"/>
            <w:right w:val="none" w:sz="0" w:space="0" w:color="auto"/>
          </w:divBdr>
          <w:divsChild>
            <w:div w:id="1312249813">
              <w:marLeft w:val="0"/>
              <w:marRight w:val="0"/>
              <w:marTop w:val="0"/>
              <w:marBottom w:val="0"/>
              <w:divBdr>
                <w:top w:val="none" w:sz="0" w:space="0" w:color="auto"/>
                <w:left w:val="none" w:sz="0" w:space="0" w:color="auto"/>
                <w:bottom w:val="none" w:sz="0" w:space="0" w:color="auto"/>
                <w:right w:val="none" w:sz="0" w:space="0" w:color="auto"/>
              </w:divBdr>
              <w:divsChild>
                <w:div w:id="1404252339">
                  <w:marLeft w:val="0"/>
                  <w:marRight w:val="0"/>
                  <w:marTop w:val="0"/>
                  <w:marBottom w:val="0"/>
                  <w:divBdr>
                    <w:top w:val="none" w:sz="0" w:space="0" w:color="auto"/>
                    <w:left w:val="none" w:sz="0" w:space="0" w:color="auto"/>
                    <w:bottom w:val="none" w:sz="0" w:space="0" w:color="auto"/>
                    <w:right w:val="none" w:sz="0" w:space="0" w:color="auto"/>
                  </w:divBdr>
                  <w:divsChild>
                    <w:div w:id="131673574">
                      <w:marLeft w:val="0"/>
                      <w:marRight w:val="0"/>
                      <w:marTop w:val="0"/>
                      <w:marBottom w:val="0"/>
                      <w:divBdr>
                        <w:top w:val="none" w:sz="0" w:space="0" w:color="auto"/>
                        <w:left w:val="none" w:sz="0" w:space="0" w:color="auto"/>
                        <w:bottom w:val="none" w:sz="0" w:space="0" w:color="auto"/>
                        <w:right w:val="none" w:sz="0" w:space="0" w:color="auto"/>
                      </w:divBdr>
                      <w:divsChild>
                        <w:div w:id="972254713">
                          <w:marLeft w:val="0"/>
                          <w:marRight w:val="0"/>
                          <w:marTop w:val="0"/>
                          <w:marBottom w:val="0"/>
                          <w:divBdr>
                            <w:top w:val="none" w:sz="0" w:space="0" w:color="auto"/>
                            <w:left w:val="none" w:sz="0" w:space="0" w:color="auto"/>
                            <w:bottom w:val="none" w:sz="0" w:space="0" w:color="auto"/>
                            <w:right w:val="none" w:sz="0" w:space="0" w:color="auto"/>
                          </w:divBdr>
                          <w:divsChild>
                            <w:div w:id="44069524">
                              <w:marLeft w:val="0"/>
                              <w:marRight w:val="0"/>
                              <w:marTop w:val="0"/>
                              <w:marBottom w:val="0"/>
                              <w:divBdr>
                                <w:top w:val="none" w:sz="0" w:space="0" w:color="auto"/>
                                <w:left w:val="none" w:sz="0" w:space="0" w:color="auto"/>
                                <w:bottom w:val="none" w:sz="0" w:space="0" w:color="auto"/>
                                <w:right w:val="none" w:sz="0" w:space="0" w:color="auto"/>
                              </w:divBdr>
                              <w:divsChild>
                                <w:div w:id="1707364945">
                                  <w:marLeft w:val="0"/>
                                  <w:marRight w:val="0"/>
                                  <w:marTop w:val="0"/>
                                  <w:marBottom w:val="0"/>
                                  <w:divBdr>
                                    <w:top w:val="none" w:sz="0" w:space="0" w:color="auto"/>
                                    <w:left w:val="none" w:sz="0" w:space="0" w:color="auto"/>
                                    <w:bottom w:val="none" w:sz="0" w:space="0" w:color="auto"/>
                                    <w:right w:val="none" w:sz="0" w:space="0" w:color="auto"/>
                                  </w:divBdr>
                                  <w:divsChild>
                                    <w:div w:id="11760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280254">
      <w:bodyDiv w:val="1"/>
      <w:marLeft w:val="0"/>
      <w:marRight w:val="0"/>
      <w:marTop w:val="0"/>
      <w:marBottom w:val="0"/>
      <w:divBdr>
        <w:top w:val="none" w:sz="0" w:space="0" w:color="auto"/>
        <w:left w:val="none" w:sz="0" w:space="0" w:color="auto"/>
        <w:bottom w:val="none" w:sz="0" w:space="0" w:color="auto"/>
        <w:right w:val="none" w:sz="0" w:space="0" w:color="auto"/>
      </w:divBdr>
      <w:divsChild>
        <w:div w:id="765002014">
          <w:marLeft w:val="0"/>
          <w:marRight w:val="0"/>
          <w:marTop w:val="0"/>
          <w:marBottom w:val="0"/>
          <w:divBdr>
            <w:top w:val="none" w:sz="0" w:space="0" w:color="auto"/>
            <w:left w:val="none" w:sz="0" w:space="0" w:color="auto"/>
            <w:bottom w:val="none" w:sz="0" w:space="0" w:color="auto"/>
            <w:right w:val="none" w:sz="0" w:space="0" w:color="auto"/>
          </w:divBdr>
          <w:divsChild>
            <w:div w:id="445858241">
              <w:marLeft w:val="0"/>
              <w:marRight w:val="0"/>
              <w:marTop w:val="0"/>
              <w:marBottom w:val="0"/>
              <w:divBdr>
                <w:top w:val="none" w:sz="0" w:space="0" w:color="auto"/>
                <w:left w:val="none" w:sz="0" w:space="0" w:color="auto"/>
                <w:bottom w:val="none" w:sz="0" w:space="0" w:color="auto"/>
                <w:right w:val="none" w:sz="0" w:space="0" w:color="auto"/>
              </w:divBdr>
              <w:divsChild>
                <w:div w:id="12853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17032">
      <w:bodyDiv w:val="1"/>
      <w:marLeft w:val="0"/>
      <w:marRight w:val="0"/>
      <w:marTop w:val="0"/>
      <w:marBottom w:val="0"/>
      <w:divBdr>
        <w:top w:val="none" w:sz="0" w:space="0" w:color="auto"/>
        <w:left w:val="none" w:sz="0" w:space="0" w:color="auto"/>
        <w:bottom w:val="none" w:sz="0" w:space="0" w:color="auto"/>
        <w:right w:val="none" w:sz="0" w:space="0" w:color="auto"/>
      </w:divBdr>
    </w:div>
    <w:div w:id="2071225445">
      <w:bodyDiv w:val="1"/>
      <w:marLeft w:val="0"/>
      <w:marRight w:val="0"/>
      <w:marTop w:val="0"/>
      <w:marBottom w:val="0"/>
      <w:divBdr>
        <w:top w:val="none" w:sz="0" w:space="0" w:color="auto"/>
        <w:left w:val="none" w:sz="0" w:space="0" w:color="auto"/>
        <w:bottom w:val="none" w:sz="0" w:space="0" w:color="auto"/>
        <w:right w:val="none" w:sz="0" w:space="0" w:color="auto"/>
      </w:divBdr>
      <w:divsChild>
        <w:div w:id="1474175629">
          <w:marLeft w:val="0"/>
          <w:marRight w:val="0"/>
          <w:marTop w:val="0"/>
          <w:marBottom w:val="0"/>
          <w:divBdr>
            <w:top w:val="none" w:sz="0" w:space="0" w:color="auto"/>
            <w:left w:val="none" w:sz="0" w:space="0" w:color="auto"/>
            <w:bottom w:val="none" w:sz="0" w:space="0" w:color="auto"/>
            <w:right w:val="none" w:sz="0" w:space="0" w:color="auto"/>
          </w:divBdr>
          <w:divsChild>
            <w:div w:id="120462620">
              <w:marLeft w:val="0"/>
              <w:marRight w:val="0"/>
              <w:marTop w:val="0"/>
              <w:marBottom w:val="0"/>
              <w:divBdr>
                <w:top w:val="single" w:sz="2" w:space="0" w:color="FFFFFF"/>
                <w:left w:val="single" w:sz="6" w:space="0" w:color="FFFFFF"/>
                <w:bottom w:val="single" w:sz="6" w:space="0" w:color="FFFFFF"/>
                <w:right w:val="single" w:sz="6" w:space="0" w:color="FFFFFF"/>
              </w:divBdr>
              <w:divsChild>
                <w:div w:id="605188941">
                  <w:marLeft w:val="0"/>
                  <w:marRight w:val="0"/>
                  <w:marTop w:val="0"/>
                  <w:marBottom w:val="0"/>
                  <w:divBdr>
                    <w:top w:val="single" w:sz="6" w:space="1" w:color="D3D3D3"/>
                    <w:left w:val="none" w:sz="0" w:space="0" w:color="auto"/>
                    <w:bottom w:val="none" w:sz="0" w:space="0" w:color="auto"/>
                    <w:right w:val="none" w:sz="0" w:space="0" w:color="auto"/>
                  </w:divBdr>
                  <w:divsChild>
                    <w:div w:id="121969760">
                      <w:marLeft w:val="0"/>
                      <w:marRight w:val="0"/>
                      <w:marTop w:val="0"/>
                      <w:marBottom w:val="0"/>
                      <w:divBdr>
                        <w:top w:val="none" w:sz="0" w:space="0" w:color="auto"/>
                        <w:left w:val="none" w:sz="0" w:space="0" w:color="auto"/>
                        <w:bottom w:val="none" w:sz="0" w:space="0" w:color="auto"/>
                        <w:right w:val="none" w:sz="0" w:space="0" w:color="auto"/>
                      </w:divBdr>
                      <w:divsChild>
                        <w:div w:id="141292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37FA1-E103-4F7C-9A92-6D85E94A5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2236</Words>
  <Characters>10943</Characters>
  <Application>Microsoft Office Word</Application>
  <DocSecurity>0</DocSecurity>
  <Lines>91</Lines>
  <Paragraphs>26</Paragraphs>
  <ScaleCrop>false</ScaleCrop>
  <Company/>
  <LinksUpToDate>false</LinksUpToDate>
  <CharactersWithSpaces>13153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2018-10-02T14:27:00Z</dcterms:created>
  <dcterms:modified xsi:type="dcterms:W3CDTF">2018-10-02T14:27:00Z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