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5CC0C" w14:textId="1D5736AD" w:rsidR="00BE3EF2" w:rsidRDefault="00954516" w:rsidP="00202C34">
      <w:pPr>
        <w:ind w:right="-82"/>
        <w:jc w:val="center"/>
        <w:rPr>
          <w:rFonts w:ascii="Book Antiqua" w:hAnsi="Book Antiqua"/>
          <w:b/>
          <w:bCs/>
          <w:color w:val="000000"/>
          <w:sz w:val="24"/>
          <w:szCs w:val="24"/>
        </w:rPr>
      </w:pPr>
      <w:r>
        <w:rPr>
          <w:noProof/>
        </w:rPr>
        <w:drawing>
          <wp:inline distT="0" distB="0" distL="0" distR="0" wp14:anchorId="331FC1DB" wp14:editId="5D6596CE">
            <wp:extent cx="1470025" cy="1053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r="81476" b="-7645"/>
                    <a:stretch>
                      <a:fillRect/>
                    </a:stretch>
                  </pic:blipFill>
                  <pic:spPr bwMode="auto">
                    <a:xfrm>
                      <a:off x="0" y="0"/>
                      <a:ext cx="1470025" cy="1053465"/>
                    </a:xfrm>
                    <a:prstGeom prst="rect">
                      <a:avLst/>
                    </a:prstGeom>
                    <a:noFill/>
                    <a:ln>
                      <a:noFill/>
                    </a:ln>
                  </pic:spPr>
                </pic:pic>
              </a:graphicData>
            </a:graphic>
          </wp:inline>
        </w:drawing>
      </w:r>
    </w:p>
    <w:p w14:paraId="1981D36F" w14:textId="77777777" w:rsidR="00384C0B" w:rsidRDefault="00384C0B" w:rsidP="00202C34">
      <w:pPr>
        <w:spacing w:after="0"/>
        <w:ind w:right="-82"/>
        <w:rPr>
          <w:rFonts w:ascii="Book Antiqua" w:hAnsi="Book Antiqua"/>
          <w:b/>
          <w:bCs/>
          <w:color w:val="000000"/>
          <w:sz w:val="24"/>
          <w:szCs w:val="24"/>
          <w:lang w:eastAsia="en-GB"/>
        </w:rPr>
      </w:pPr>
      <w:r>
        <w:rPr>
          <w:rFonts w:ascii="Book Antiqua" w:hAnsi="Book Antiqua"/>
          <w:b/>
          <w:bCs/>
          <w:color w:val="000000"/>
          <w:sz w:val="24"/>
          <w:szCs w:val="24"/>
        </w:rPr>
        <w:t>Upper Tribunal</w:t>
      </w:r>
    </w:p>
    <w:p w14:paraId="24991288" w14:textId="77777777" w:rsidR="00384C0B" w:rsidRDefault="00384C0B" w:rsidP="00384C0B">
      <w:pPr>
        <w:ind w:right="-82"/>
        <w:rPr>
          <w:rFonts w:ascii="Book Antiqua" w:hAnsi="Book Antiqua"/>
          <w:b/>
          <w:bCs/>
          <w:color w:val="000000"/>
          <w:sz w:val="24"/>
          <w:szCs w:val="24"/>
        </w:rPr>
      </w:pPr>
      <w:r>
        <w:rPr>
          <w:rFonts w:ascii="Book Antiqua" w:hAnsi="Book Antiqua"/>
          <w:b/>
          <w:bCs/>
          <w:color w:val="000000"/>
          <w:sz w:val="24"/>
          <w:szCs w:val="24"/>
        </w:rPr>
        <w:t xml:space="preserve">(Immigration and Asylum </w:t>
      </w:r>
      <w:proofErr w:type="gramStart"/>
      <w:r w:rsidR="00202C34">
        <w:rPr>
          <w:rFonts w:ascii="Book Antiqua" w:hAnsi="Book Antiqua"/>
          <w:b/>
          <w:bCs/>
          <w:color w:val="000000"/>
          <w:sz w:val="24"/>
          <w:szCs w:val="24"/>
        </w:rPr>
        <w:t xml:space="preserve">Chamber)  </w:t>
      </w:r>
      <w:r>
        <w:rPr>
          <w:rFonts w:ascii="Book Antiqua" w:hAnsi="Book Antiqua"/>
          <w:b/>
          <w:bCs/>
          <w:color w:val="000000"/>
          <w:sz w:val="24"/>
          <w:szCs w:val="24"/>
        </w:rPr>
        <w:t> </w:t>
      </w:r>
      <w:proofErr w:type="gramEnd"/>
      <w:r>
        <w:rPr>
          <w:rFonts w:ascii="Book Antiqua" w:hAnsi="Book Antiqua"/>
          <w:b/>
          <w:bCs/>
          <w:color w:val="000000"/>
          <w:sz w:val="24"/>
          <w:szCs w:val="24"/>
        </w:rPr>
        <w:t>             </w:t>
      </w:r>
      <w:r w:rsidR="00202C34">
        <w:rPr>
          <w:rFonts w:ascii="Book Antiqua" w:hAnsi="Book Antiqua"/>
          <w:b/>
          <w:bCs/>
          <w:color w:val="000000"/>
          <w:sz w:val="24"/>
          <w:szCs w:val="24"/>
        </w:rPr>
        <w:t xml:space="preserve">                </w:t>
      </w:r>
      <w:r w:rsidR="00CB7C82">
        <w:rPr>
          <w:rFonts w:ascii="Book Antiqua" w:hAnsi="Book Antiqua"/>
          <w:b/>
          <w:bCs/>
          <w:color w:val="000000"/>
          <w:sz w:val="24"/>
          <w:szCs w:val="24"/>
        </w:rPr>
        <w:t xml:space="preserve">Appeal Number: </w:t>
      </w:r>
      <w:bookmarkStart w:id="0" w:name="_GoBack"/>
      <w:r w:rsidR="00CB7C82">
        <w:rPr>
          <w:rFonts w:ascii="Book Antiqua" w:hAnsi="Book Antiqua"/>
          <w:b/>
          <w:bCs/>
          <w:color w:val="000000"/>
          <w:sz w:val="24"/>
          <w:szCs w:val="24"/>
        </w:rPr>
        <w:t>HU/18129/2016</w:t>
      </w:r>
      <w:bookmarkEnd w:id="0"/>
    </w:p>
    <w:p w14:paraId="1F68B0A4" w14:textId="77777777" w:rsidR="00384C0B" w:rsidRDefault="00384C0B" w:rsidP="00384C0B">
      <w:pPr>
        <w:ind w:right="-82"/>
        <w:rPr>
          <w:rFonts w:ascii="Book Antiqua" w:hAnsi="Book Antiqua"/>
          <w:b/>
          <w:bCs/>
          <w:color w:val="000000"/>
          <w:sz w:val="24"/>
          <w:szCs w:val="24"/>
        </w:rPr>
      </w:pPr>
      <w:r>
        <w:rPr>
          <w:rFonts w:ascii="Book Antiqua" w:hAnsi="Book Antiqua"/>
          <w:b/>
          <w:bCs/>
          <w:color w:val="000000"/>
          <w:sz w:val="24"/>
          <w:szCs w:val="24"/>
        </w:rPr>
        <w:t>                                                   </w:t>
      </w:r>
      <w:r w:rsidR="00202C34">
        <w:rPr>
          <w:rFonts w:ascii="Book Antiqua" w:hAnsi="Book Antiqua"/>
          <w:b/>
          <w:bCs/>
          <w:color w:val="000000"/>
          <w:sz w:val="24"/>
          <w:szCs w:val="24"/>
        </w:rPr>
        <w:t xml:space="preserve">                               </w:t>
      </w:r>
      <w:r>
        <w:rPr>
          <w:rFonts w:ascii="Book Antiqua" w:hAnsi="Book Antiqua"/>
          <w:b/>
          <w:bCs/>
          <w:color w:val="000000"/>
          <w:sz w:val="24"/>
          <w:szCs w:val="24"/>
        </w:rPr>
        <w:t>                                                                       </w:t>
      </w:r>
    </w:p>
    <w:p w14:paraId="0E4D5720" w14:textId="7507AD4E" w:rsidR="00384C0B" w:rsidRDefault="00202C34" w:rsidP="00202C34">
      <w:pPr>
        <w:jc w:val="center"/>
        <w:rPr>
          <w:rFonts w:ascii="Book Antiqua" w:hAnsi="Book Antiqua"/>
          <w:b/>
          <w:bCs/>
          <w:color w:val="000000"/>
          <w:sz w:val="24"/>
          <w:szCs w:val="24"/>
          <w:u w:val="single"/>
        </w:rPr>
      </w:pPr>
      <w:r>
        <w:rPr>
          <w:rFonts w:ascii="Book Antiqua" w:hAnsi="Book Antiqua"/>
          <w:b/>
          <w:bCs/>
          <w:color w:val="000000"/>
          <w:sz w:val="24"/>
          <w:szCs w:val="24"/>
          <w:u w:val="single"/>
        </w:rPr>
        <w:t>THE IMMIGRATION ACTS</w:t>
      </w:r>
    </w:p>
    <w:p w14:paraId="42906ECA" w14:textId="77777777" w:rsidR="00004270" w:rsidRPr="00202C34" w:rsidRDefault="00004270" w:rsidP="00202C34">
      <w:pPr>
        <w:jc w:val="center"/>
        <w:rPr>
          <w:rFonts w:ascii="Book Antiqua" w:hAnsi="Book Antiqua"/>
          <w:b/>
          <w:bCs/>
          <w:color w:val="000000"/>
          <w:sz w:val="24"/>
          <w:szCs w:val="24"/>
          <w:u w:val="single"/>
        </w:rPr>
      </w:pPr>
    </w:p>
    <w:tbl>
      <w:tblPr>
        <w:tblW w:w="10132" w:type="dxa"/>
        <w:tblCellMar>
          <w:left w:w="0" w:type="dxa"/>
          <w:right w:w="0" w:type="dxa"/>
        </w:tblCellMar>
        <w:tblLook w:val="04A0" w:firstRow="1" w:lastRow="0" w:firstColumn="1" w:lastColumn="0" w:noHBand="0" w:noVBand="1"/>
      </w:tblPr>
      <w:tblGrid>
        <w:gridCol w:w="6040"/>
        <w:gridCol w:w="4092"/>
      </w:tblGrid>
      <w:tr w:rsidR="00384C0B" w14:paraId="7CD255A7" w14:textId="77777777" w:rsidTr="00202C34">
        <w:trPr>
          <w:trHeight w:val="103"/>
        </w:trPr>
        <w:tc>
          <w:tcPr>
            <w:tcW w:w="6040" w:type="dxa"/>
            <w:tcMar>
              <w:top w:w="0" w:type="dxa"/>
              <w:left w:w="108" w:type="dxa"/>
              <w:bottom w:w="0" w:type="dxa"/>
              <w:right w:w="108" w:type="dxa"/>
            </w:tcMar>
            <w:hideMark/>
          </w:tcPr>
          <w:p w14:paraId="48142E68" w14:textId="77777777" w:rsidR="00384C0B" w:rsidRDefault="00384C0B" w:rsidP="00202C34">
            <w:pPr>
              <w:spacing w:after="0"/>
              <w:jc w:val="both"/>
              <w:rPr>
                <w:rFonts w:ascii="Book Antiqua" w:hAnsi="Book Antiqua"/>
                <w:b/>
                <w:bCs/>
                <w:sz w:val="24"/>
                <w:szCs w:val="24"/>
              </w:rPr>
            </w:pPr>
            <w:r>
              <w:rPr>
                <w:rFonts w:ascii="Book Antiqua" w:hAnsi="Book Antiqua"/>
                <w:b/>
                <w:bCs/>
                <w:sz w:val="24"/>
                <w:szCs w:val="24"/>
              </w:rPr>
              <w:t>Heard at Field House</w:t>
            </w:r>
          </w:p>
        </w:tc>
        <w:tc>
          <w:tcPr>
            <w:tcW w:w="4092" w:type="dxa"/>
            <w:tcMar>
              <w:top w:w="0" w:type="dxa"/>
              <w:left w:w="108" w:type="dxa"/>
              <w:bottom w:w="0" w:type="dxa"/>
              <w:right w:w="108" w:type="dxa"/>
            </w:tcMar>
            <w:hideMark/>
          </w:tcPr>
          <w:p w14:paraId="49452612" w14:textId="77777777" w:rsidR="00384C0B" w:rsidRDefault="00384C0B" w:rsidP="00202C34">
            <w:pPr>
              <w:spacing w:after="0"/>
              <w:jc w:val="both"/>
              <w:rPr>
                <w:rFonts w:ascii="Book Antiqua" w:hAnsi="Book Antiqua"/>
                <w:b/>
                <w:bCs/>
                <w:color w:val="000000"/>
                <w:sz w:val="24"/>
                <w:szCs w:val="24"/>
              </w:rPr>
            </w:pPr>
            <w:r>
              <w:rPr>
                <w:rFonts w:ascii="Book Antiqua" w:hAnsi="Book Antiqua"/>
                <w:b/>
                <w:bCs/>
                <w:color w:val="000000"/>
                <w:sz w:val="24"/>
                <w:szCs w:val="24"/>
              </w:rPr>
              <w:t>Determination Promulgated</w:t>
            </w:r>
          </w:p>
        </w:tc>
      </w:tr>
      <w:tr w:rsidR="00384C0B" w14:paraId="5712EA97" w14:textId="77777777" w:rsidTr="00202C34">
        <w:trPr>
          <w:trHeight w:val="103"/>
        </w:trPr>
        <w:tc>
          <w:tcPr>
            <w:tcW w:w="6040" w:type="dxa"/>
            <w:tcMar>
              <w:top w:w="0" w:type="dxa"/>
              <w:left w:w="108" w:type="dxa"/>
              <w:bottom w:w="0" w:type="dxa"/>
              <w:right w:w="108" w:type="dxa"/>
            </w:tcMar>
            <w:hideMark/>
          </w:tcPr>
          <w:p w14:paraId="2C2CF50F" w14:textId="77777777" w:rsidR="00384C0B" w:rsidRDefault="00CB7C82" w:rsidP="00202C34">
            <w:pPr>
              <w:spacing w:after="0"/>
              <w:jc w:val="both"/>
              <w:rPr>
                <w:rFonts w:ascii="Book Antiqua" w:hAnsi="Book Antiqua"/>
                <w:b/>
                <w:bCs/>
                <w:sz w:val="24"/>
                <w:szCs w:val="24"/>
              </w:rPr>
            </w:pPr>
            <w:r>
              <w:rPr>
                <w:rFonts w:ascii="Book Antiqua" w:hAnsi="Book Antiqua"/>
                <w:b/>
                <w:bCs/>
                <w:sz w:val="24"/>
                <w:szCs w:val="24"/>
              </w:rPr>
              <w:t>On 12 June</w:t>
            </w:r>
            <w:r w:rsidR="00384C0B">
              <w:rPr>
                <w:rFonts w:ascii="Book Antiqua" w:hAnsi="Book Antiqua"/>
                <w:b/>
                <w:bCs/>
                <w:sz w:val="24"/>
                <w:szCs w:val="24"/>
              </w:rPr>
              <w:t xml:space="preserve"> 2018</w:t>
            </w:r>
          </w:p>
        </w:tc>
        <w:tc>
          <w:tcPr>
            <w:tcW w:w="4092" w:type="dxa"/>
            <w:tcMar>
              <w:top w:w="0" w:type="dxa"/>
              <w:left w:w="108" w:type="dxa"/>
              <w:bottom w:w="0" w:type="dxa"/>
              <w:right w:w="108" w:type="dxa"/>
            </w:tcMar>
          </w:tcPr>
          <w:p w14:paraId="53C210FF" w14:textId="77777777" w:rsidR="00384C0B" w:rsidRDefault="00202C34" w:rsidP="00202C34">
            <w:pPr>
              <w:spacing w:after="0"/>
              <w:jc w:val="both"/>
              <w:rPr>
                <w:rFonts w:ascii="Book Antiqua" w:hAnsi="Book Antiqua"/>
                <w:b/>
                <w:bCs/>
                <w:sz w:val="24"/>
                <w:szCs w:val="24"/>
              </w:rPr>
            </w:pPr>
            <w:r>
              <w:rPr>
                <w:rFonts w:ascii="Book Antiqua" w:hAnsi="Book Antiqua" w:cs="Arial"/>
                <w:b/>
                <w:sz w:val="24"/>
                <w:szCs w:val="24"/>
                <w:lang w:bidi="ta-IN"/>
              </w:rPr>
              <w:t>On 13 June 2018</w:t>
            </w:r>
          </w:p>
        </w:tc>
      </w:tr>
      <w:tr w:rsidR="00384C0B" w14:paraId="42B7395B" w14:textId="77777777" w:rsidTr="00202C34">
        <w:trPr>
          <w:trHeight w:val="103"/>
        </w:trPr>
        <w:tc>
          <w:tcPr>
            <w:tcW w:w="6040" w:type="dxa"/>
            <w:tcMar>
              <w:top w:w="0" w:type="dxa"/>
              <w:left w:w="108" w:type="dxa"/>
              <w:bottom w:w="0" w:type="dxa"/>
              <w:right w:w="108" w:type="dxa"/>
            </w:tcMar>
          </w:tcPr>
          <w:p w14:paraId="0BBE8889" w14:textId="77777777" w:rsidR="00384C0B" w:rsidRDefault="00384C0B">
            <w:pPr>
              <w:jc w:val="both"/>
              <w:rPr>
                <w:rFonts w:ascii="Book Antiqua" w:hAnsi="Book Antiqua"/>
                <w:b/>
                <w:bCs/>
                <w:sz w:val="24"/>
                <w:szCs w:val="24"/>
              </w:rPr>
            </w:pPr>
          </w:p>
        </w:tc>
        <w:tc>
          <w:tcPr>
            <w:tcW w:w="4092" w:type="dxa"/>
            <w:tcMar>
              <w:top w:w="0" w:type="dxa"/>
              <w:left w:w="108" w:type="dxa"/>
              <w:bottom w:w="0" w:type="dxa"/>
              <w:right w:w="108" w:type="dxa"/>
            </w:tcMar>
            <w:hideMark/>
          </w:tcPr>
          <w:p w14:paraId="2788B5E7" w14:textId="77777777" w:rsidR="00384C0B" w:rsidRDefault="00384C0B">
            <w:pPr>
              <w:jc w:val="both"/>
              <w:rPr>
                <w:rFonts w:ascii="Book Antiqua" w:hAnsi="Book Antiqua"/>
                <w:b/>
                <w:bCs/>
                <w:sz w:val="24"/>
                <w:szCs w:val="24"/>
              </w:rPr>
            </w:pPr>
          </w:p>
        </w:tc>
      </w:tr>
    </w:tbl>
    <w:p w14:paraId="0A203B1E" w14:textId="77777777" w:rsidR="00384C0B" w:rsidRDefault="00384C0B" w:rsidP="00384C0B">
      <w:pPr>
        <w:jc w:val="center"/>
        <w:rPr>
          <w:rFonts w:ascii="Book Antiqua" w:hAnsi="Book Antiqua"/>
          <w:b/>
          <w:bCs/>
          <w:sz w:val="24"/>
          <w:szCs w:val="24"/>
        </w:rPr>
      </w:pPr>
      <w:r>
        <w:rPr>
          <w:rFonts w:ascii="Book Antiqua" w:hAnsi="Book Antiqua"/>
          <w:b/>
          <w:bCs/>
          <w:sz w:val="24"/>
          <w:szCs w:val="24"/>
        </w:rPr>
        <w:t>Before</w:t>
      </w:r>
    </w:p>
    <w:p w14:paraId="1188A653" w14:textId="77777777" w:rsidR="00384C0B" w:rsidRDefault="00384C0B" w:rsidP="00384C0B">
      <w:pPr>
        <w:jc w:val="center"/>
        <w:rPr>
          <w:rFonts w:ascii="Book Antiqua" w:hAnsi="Book Antiqua"/>
          <w:b/>
          <w:bCs/>
          <w:color w:val="000000"/>
          <w:sz w:val="24"/>
          <w:szCs w:val="24"/>
        </w:rPr>
      </w:pPr>
      <w:r>
        <w:rPr>
          <w:rFonts w:ascii="Book Antiqua" w:hAnsi="Book Antiqua"/>
          <w:b/>
          <w:bCs/>
          <w:color w:val="000000"/>
          <w:sz w:val="24"/>
          <w:szCs w:val="24"/>
        </w:rPr>
        <w:t xml:space="preserve">Deputy Upper Tribunal Judge MANUELL </w:t>
      </w:r>
    </w:p>
    <w:p w14:paraId="42616903" w14:textId="77777777" w:rsidR="00384C0B" w:rsidRDefault="00384C0B" w:rsidP="00384C0B">
      <w:pPr>
        <w:jc w:val="center"/>
        <w:rPr>
          <w:rFonts w:ascii="Book Antiqua" w:hAnsi="Book Antiqua"/>
          <w:b/>
          <w:bCs/>
          <w:sz w:val="24"/>
          <w:szCs w:val="24"/>
        </w:rPr>
      </w:pPr>
    </w:p>
    <w:p w14:paraId="2E066E09" w14:textId="77777777" w:rsidR="00384C0B" w:rsidRDefault="00384C0B" w:rsidP="00384C0B">
      <w:pPr>
        <w:jc w:val="center"/>
        <w:rPr>
          <w:rFonts w:ascii="Book Antiqua" w:hAnsi="Book Antiqua"/>
          <w:b/>
          <w:bCs/>
          <w:sz w:val="24"/>
          <w:szCs w:val="24"/>
        </w:rPr>
      </w:pPr>
      <w:r>
        <w:rPr>
          <w:rFonts w:ascii="Book Antiqua" w:hAnsi="Book Antiqua"/>
          <w:b/>
          <w:bCs/>
          <w:sz w:val="24"/>
          <w:szCs w:val="24"/>
        </w:rPr>
        <w:t>Between</w:t>
      </w:r>
    </w:p>
    <w:p w14:paraId="47B80FDC" w14:textId="77777777" w:rsidR="005553F8" w:rsidRDefault="00CB7C82" w:rsidP="00384C0B">
      <w:pPr>
        <w:jc w:val="center"/>
        <w:rPr>
          <w:rFonts w:ascii="Book Antiqua" w:hAnsi="Book Antiqua"/>
          <w:b/>
          <w:bCs/>
          <w:sz w:val="24"/>
          <w:szCs w:val="24"/>
        </w:rPr>
      </w:pPr>
      <w:r>
        <w:rPr>
          <w:rFonts w:ascii="Book Antiqua" w:hAnsi="Book Antiqua"/>
          <w:b/>
          <w:bCs/>
          <w:sz w:val="24"/>
          <w:szCs w:val="24"/>
        </w:rPr>
        <w:t>Mr THAM BAHADUR BURA MAGAR</w:t>
      </w:r>
    </w:p>
    <w:p w14:paraId="7B45346C" w14:textId="77777777" w:rsidR="00384C0B" w:rsidRPr="00004270" w:rsidRDefault="00384C0B" w:rsidP="00384C0B">
      <w:pPr>
        <w:jc w:val="center"/>
        <w:rPr>
          <w:rFonts w:ascii="Book Antiqua" w:hAnsi="Book Antiqua"/>
          <w:b/>
          <w:bCs/>
          <w:szCs w:val="24"/>
        </w:rPr>
      </w:pPr>
      <w:r w:rsidRPr="00004270">
        <w:rPr>
          <w:rFonts w:ascii="Book Antiqua" w:hAnsi="Book Antiqua"/>
          <w:b/>
          <w:bCs/>
          <w:szCs w:val="24"/>
        </w:rPr>
        <w:t>(ANONYMITY DIRECTION NOT MADE)</w:t>
      </w:r>
    </w:p>
    <w:p w14:paraId="28F91AB5" w14:textId="77777777" w:rsidR="00384C0B" w:rsidRDefault="00384C0B" w:rsidP="00384C0B">
      <w:pPr>
        <w:jc w:val="right"/>
        <w:rPr>
          <w:rFonts w:ascii="Book Antiqua" w:hAnsi="Book Antiqua"/>
          <w:sz w:val="24"/>
          <w:szCs w:val="24"/>
          <w:u w:val="single"/>
        </w:rPr>
      </w:pPr>
      <w:r>
        <w:rPr>
          <w:rFonts w:ascii="Book Antiqua" w:hAnsi="Book Antiqua"/>
          <w:sz w:val="24"/>
          <w:szCs w:val="24"/>
          <w:u w:val="single"/>
        </w:rPr>
        <w:t>Appellant</w:t>
      </w:r>
    </w:p>
    <w:p w14:paraId="778254D0" w14:textId="77777777" w:rsidR="00384C0B" w:rsidRDefault="00384C0B" w:rsidP="00384C0B">
      <w:pPr>
        <w:jc w:val="center"/>
        <w:rPr>
          <w:rFonts w:ascii="Book Antiqua" w:hAnsi="Book Antiqua"/>
          <w:b/>
          <w:bCs/>
          <w:sz w:val="24"/>
          <w:szCs w:val="24"/>
        </w:rPr>
      </w:pPr>
      <w:r>
        <w:rPr>
          <w:rFonts w:ascii="Book Antiqua" w:hAnsi="Book Antiqua"/>
          <w:b/>
          <w:bCs/>
          <w:sz w:val="24"/>
          <w:szCs w:val="24"/>
        </w:rPr>
        <w:t>and</w:t>
      </w:r>
    </w:p>
    <w:p w14:paraId="5DFC9F34" w14:textId="77777777" w:rsidR="00384C0B" w:rsidRDefault="00384C0B" w:rsidP="00384C0B">
      <w:pPr>
        <w:jc w:val="center"/>
        <w:rPr>
          <w:rFonts w:ascii="Book Antiqua" w:hAnsi="Book Antiqua"/>
          <w:b/>
          <w:bCs/>
          <w:sz w:val="24"/>
          <w:szCs w:val="24"/>
        </w:rPr>
      </w:pPr>
      <w:bookmarkStart w:id="1" w:name="Text7"/>
      <w:bookmarkEnd w:id="1"/>
      <w:r>
        <w:rPr>
          <w:rFonts w:ascii="Book Antiqua" w:hAnsi="Book Antiqua"/>
          <w:b/>
          <w:bCs/>
          <w:sz w:val="24"/>
          <w:szCs w:val="24"/>
        </w:rPr>
        <w:t xml:space="preserve">THE SECRETARY OF STATE FOR THE HOME DEPARTMENT </w:t>
      </w:r>
    </w:p>
    <w:p w14:paraId="3F74809B" w14:textId="77777777" w:rsidR="00384C0B" w:rsidRDefault="00384C0B" w:rsidP="005553F8">
      <w:pPr>
        <w:jc w:val="right"/>
        <w:rPr>
          <w:rFonts w:ascii="Book Antiqua" w:hAnsi="Book Antiqua"/>
          <w:sz w:val="24"/>
          <w:szCs w:val="24"/>
          <w:u w:val="single"/>
        </w:rPr>
      </w:pPr>
      <w:r>
        <w:rPr>
          <w:rFonts w:ascii="Book Antiqua" w:hAnsi="Book Antiqua"/>
          <w:sz w:val="24"/>
          <w:szCs w:val="24"/>
          <w:u w:val="single"/>
        </w:rPr>
        <w:t>Respondent</w:t>
      </w:r>
    </w:p>
    <w:p w14:paraId="138C5418" w14:textId="77777777" w:rsidR="00004270" w:rsidRDefault="00004270" w:rsidP="00384C0B">
      <w:pPr>
        <w:rPr>
          <w:rFonts w:ascii="Book Antiqua" w:hAnsi="Book Antiqua"/>
          <w:b/>
          <w:bCs/>
          <w:sz w:val="24"/>
          <w:szCs w:val="24"/>
          <w:u w:val="single"/>
        </w:rPr>
      </w:pPr>
    </w:p>
    <w:p w14:paraId="737697AB" w14:textId="310E7ADE" w:rsidR="00384C0B" w:rsidRDefault="00384C0B" w:rsidP="00384C0B">
      <w:pPr>
        <w:rPr>
          <w:rFonts w:ascii="Book Antiqua" w:hAnsi="Book Antiqua"/>
          <w:sz w:val="24"/>
          <w:szCs w:val="24"/>
        </w:rPr>
      </w:pPr>
      <w:r>
        <w:rPr>
          <w:rFonts w:ascii="Book Antiqua" w:hAnsi="Book Antiqua"/>
          <w:b/>
          <w:bCs/>
          <w:sz w:val="24"/>
          <w:szCs w:val="24"/>
          <w:u w:val="single"/>
        </w:rPr>
        <w:t>Representation</w:t>
      </w:r>
      <w:r>
        <w:rPr>
          <w:rFonts w:ascii="Book Antiqua" w:hAnsi="Book Antiqua"/>
          <w:b/>
          <w:bCs/>
          <w:sz w:val="24"/>
          <w:szCs w:val="24"/>
        </w:rPr>
        <w:t>:</w:t>
      </w:r>
    </w:p>
    <w:p w14:paraId="27A56166" w14:textId="77777777" w:rsidR="00CB7C82" w:rsidRDefault="00384C0B" w:rsidP="00202C34">
      <w:pPr>
        <w:spacing w:after="0"/>
        <w:rPr>
          <w:rFonts w:ascii="Book Antiqua" w:hAnsi="Book Antiqua"/>
          <w:sz w:val="24"/>
          <w:szCs w:val="24"/>
        </w:rPr>
      </w:pPr>
      <w:r>
        <w:rPr>
          <w:rFonts w:ascii="Book Antiqua" w:hAnsi="Book Antiqua"/>
          <w:sz w:val="24"/>
          <w:szCs w:val="24"/>
        </w:rPr>
        <w:t xml:space="preserve">For the Appellant:          </w:t>
      </w:r>
      <w:r w:rsidR="00CB7C82">
        <w:rPr>
          <w:rFonts w:ascii="Book Antiqua" w:hAnsi="Book Antiqua"/>
          <w:sz w:val="24"/>
          <w:szCs w:val="24"/>
        </w:rPr>
        <w:t xml:space="preserve">Mr B </w:t>
      </w:r>
      <w:proofErr w:type="spellStart"/>
      <w:r w:rsidR="00CB7C82">
        <w:rPr>
          <w:rFonts w:ascii="Book Antiqua" w:hAnsi="Book Antiqua"/>
          <w:sz w:val="24"/>
          <w:szCs w:val="24"/>
        </w:rPr>
        <w:t>B</w:t>
      </w:r>
      <w:proofErr w:type="spellEnd"/>
      <w:r w:rsidR="00CB7C82">
        <w:rPr>
          <w:rFonts w:ascii="Book Antiqua" w:hAnsi="Book Antiqua"/>
          <w:sz w:val="24"/>
          <w:szCs w:val="24"/>
        </w:rPr>
        <w:t xml:space="preserve"> </w:t>
      </w:r>
      <w:proofErr w:type="spellStart"/>
      <w:r w:rsidR="00CB7C82">
        <w:rPr>
          <w:rFonts w:ascii="Book Antiqua" w:hAnsi="Book Antiqua"/>
          <w:sz w:val="24"/>
          <w:szCs w:val="24"/>
        </w:rPr>
        <w:t>B</w:t>
      </w:r>
      <w:proofErr w:type="spellEnd"/>
      <w:r w:rsidR="00CB7C82">
        <w:rPr>
          <w:rFonts w:ascii="Book Antiqua" w:hAnsi="Book Antiqua"/>
          <w:sz w:val="24"/>
          <w:szCs w:val="24"/>
        </w:rPr>
        <w:t xml:space="preserve"> Magar (sponsor)</w:t>
      </w:r>
      <w:r>
        <w:rPr>
          <w:rFonts w:ascii="Book Antiqua" w:hAnsi="Book Antiqua"/>
          <w:sz w:val="24"/>
          <w:szCs w:val="24"/>
        </w:rPr>
        <w:t xml:space="preserve">  </w:t>
      </w:r>
    </w:p>
    <w:p w14:paraId="0E965DA6" w14:textId="77777777" w:rsidR="00384C0B" w:rsidRDefault="00384C0B" w:rsidP="00384C0B">
      <w:pPr>
        <w:rPr>
          <w:rFonts w:ascii="Book Antiqua" w:hAnsi="Book Antiqua"/>
          <w:sz w:val="24"/>
          <w:szCs w:val="24"/>
        </w:rPr>
      </w:pPr>
      <w:r>
        <w:rPr>
          <w:rFonts w:ascii="Book Antiqua" w:hAnsi="Book Antiqua"/>
          <w:sz w:val="24"/>
          <w:szCs w:val="24"/>
        </w:rPr>
        <w:t>For the Respondent:      M</w:t>
      </w:r>
      <w:r w:rsidR="00CB7C82">
        <w:rPr>
          <w:rFonts w:ascii="Book Antiqua" w:hAnsi="Book Antiqua"/>
          <w:sz w:val="24"/>
          <w:szCs w:val="24"/>
        </w:rPr>
        <w:t>r T Wilding</w:t>
      </w:r>
      <w:r>
        <w:rPr>
          <w:rFonts w:ascii="Book Antiqua" w:hAnsi="Book Antiqua"/>
          <w:sz w:val="24"/>
          <w:szCs w:val="24"/>
        </w:rPr>
        <w:t xml:space="preserve">, Home Office Presenting Officer                                 </w:t>
      </w:r>
    </w:p>
    <w:p w14:paraId="3DCA375D" w14:textId="77777777" w:rsidR="00004270" w:rsidRDefault="00004270" w:rsidP="00202C34">
      <w:pPr>
        <w:jc w:val="center"/>
        <w:rPr>
          <w:rFonts w:ascii="Book Antiqua" w:hAnsi="Book Antiqua"/>
          <w:b/>
          <w:bCs/>
          <w:sz w:val="24"/>
          <w:szCs w:val="24"/>
          <w:u w:val="single"/>
        </w:rPr>
      </w:pPr>
    </w:p>
    <w:p w14:paraId="399369BE" w14:textId="0BEDD327" w:rsidR="00384C0B" w:rsidRDefault="00384C0B" w:rsidP="00202C34">
      <w:pPr>
        <w:jc w:val="center"/>
        <w:rPr>
          <w:rFonts w:ascii="Book Antiqua" w:hAnsi="Book Antiqua"/>
          <w:b/>
          <w:bCs/>
          <w:sz w:val="24"/>
          <w:szCs w:val="24"/>
          <w:u w:val="single"/>
        </w:rPr>
      </w:pPr>
      <w:r>
        <w:rPr>
          <w:rFonts w:ascii="Book Antiqua" w:hAnsi="Book Antiqua"/>
          <w:b/>
          <w:bCs/>
          <w:sz w:val="24"/>
          <w:szCs w:val="24"/>
          <w:u w:val="single"/>
        </w:rPr>
        <w:t xml:space="preserve">DETERMINATION </w:t>
      </w:r>
      <w:smartTag w:uri="urn:schemas-microsoft-com:office:smarttags" w:element="stockticker">
        <w:r>
          <w:rPr>
            <w:rFonts w:ascii="Book Antiqua" w:hAnsi="Book Antiqua"/>
            <w:b/>
            <w:bCs/>
            <w:sz w:val="24"/>
            <w:szCs w:val="24"/>
            <w:u w:val="single"/>
          </w:rPr>
          <w:t>AND</w:t>
        </w:r>
      </w:smartTag>
      <w:r>
        <w:rPr>
          <w:rFonts w:ascii="Book Antiqua" w:hAnsi="Book Antiqua"/>
          <w:b/>
          <w:bCs/>
          <w:sz w:val="24"/>
          <w:szCs w:val="24"/>
          <w:u w:val="single"/>
        </w:rPr>
        <w:t xml:space="preserve"> R</w:t>
      </w:r>
      <w:r w:rsidR="00202C34">
        <w:rPr>
          <w:rFonts w:ascii="Book Antiqua" w:hAnsi="Book Antiqua"/>
          <w:b/>
          <w:bCs/>
          <w:sz w:val="24"/>
          <w:szCs w:val="24"/>
          <w:u w:val="single"/>
        </w:rPr>
        <w:t>EASONS</w:t>
      </w:r>
    </w:p>
    <w:p w14:paraId="674C7FF4" w14:textId="77777777" w:rsidR="00384C0B" w:rsidRDefault="00202C34" w:rsidP="00202C34">
      <w:pPr>
        <w:ind w:left="1440" w:hanging="720"/>
        <w:jc w:val="both"/>
        <w:rPr>
          <w:rFonts w:ascii="Book Antiqua" w:hAnsi="Book Antiqua"/>
          <w:i/>
          <w:iCs/>
          <w:sz w:val="24"/>
          <w:szCs w:val="24"/>
        </w:rPr>
      </w:pPr>
      <w:r>
        <w:rPr>
          <w:rFonts w:ascii="Book Antiqua" w:hAnsi="Book Antiqua"/>
          <w:i/>
          <w:iCs/>
          <w:sz w:val="24"/>
          <w:szCs w:val="24"/>
        </w:rPr>
        <w:t>Introduction</w:t>
      </w:r>
    </w:p>
    <w:p w14:paraId="7CD59CFD" w14:textId="77777777" w:rsidR="00384C0B" w:rsidRDefault="00384C0B" w:rsidP="00384C0B">
      <w:pPr>
        <w:ind w:left="1440" w:hanging="720"/>
        <w:jc w:val="both"/>
        <w:rPr>
          <w:rFonts w:ascii="Book Antiqua" w:hAnsi="Book Antiqua"/>
          <w:sz w:val="24"/>
          <w:szCs w:val="24"/>
        </w:rPr>
      </w:pPr>
      <w:r>
        <w:rPr>
          <w:rFonts w:ascii="Book Antiqua" w:hAnsi="Book Antiqua"/>
          <w:sz w:val="24"/>
          <w:szCs w:val="24"/>
        </w:rPr>
        <w:t xml:space="preserve">1.         The Appellant appealed with </w:t>
      </w:r>
      <w:r w:rsidR="00CB7C82">
        <w:rPr>
          <w:rFonts w:ascii="Book Antiqua" w:hAnsi="Book Antiqua"/>
          <w:sz w:val="24"/>
          <w:szCs w:val="24"/>
        </w:rPr>
        <w:t>permission granted by</w:t>
      </w:r>
      <w:r>
        <w:rPr>
          <w:rFonts w:ascii="Book Antiqua" w:hAnsi="Book Antiqua"/>
          <w:sz w:val="24"/>
          <w:szCs w:val="24"/>
        </w:rPr>
        <w:t xml:space="preserve"> Fi</w:t>
      </w:r>
      <w:r w:rsidR="00CB7C82">
        <w:rPr>
          <w:rFonts w:ascii="Book Antiqua" w:hAnsi="Book Antiqua"/>
          <w:sz w:val="24"/>
          <w:szCs w:val="24"/>
        </w:rPr>
        <w:t>rst-tier Tribunal Judge Hollingworth</w:t>
      </w:r>
      <w:r>
        <w:rPr>
          <w:rFonts w:ascii="Book Antiqua" w:hAnsi="Book Antiqua"/>
          <w:sz w:val="24"/>
          <w:szCs w:val="24"/>
        </w:rPr>
        <w:t xml:space="preserve"> against the decision and reasons of</w:t>
      </w:r>
      <w:r w:rsidR="00CB7C82">
        <w:rPr>
          <w:rFonts w:ascii="Book Antiqua" w:hAnsi="Book Antiqua"/>
          <w:sz w:val="24"/>
          <w:szCs w:val="24"/>
        </w:rPr>
        <w:t xml:space="preserve"> First-tier Tribunal </w:t>
      </w:r>
      <w:r w:rsidR="00CB7C82">
        <w:rPr>
          <w:rFonts w:ascii="Book Antiqua" w:hAnsi="Book Antiqua"/>
          <w:sz w:val="24"/>
          <w:szCs w:val="24"/>
        </w:rPr>
        <w:lastRenderedPageBreak/>
        <w:t>Judge P-J White</w:t>
      </w:r>
      <w:r>
        <w:rPr>
          <w:rFonts w:ascii="Book Antiqua" w:hAnsi="Book Antiqua"/>
          <w:sz w:val="24"/>
          <w:szCs w:val="24"/>
        </w:rPr>
        <w:t xml:space="preserve"> who had dismissed the Appellant’s entry clearance appeal (made on human rights grounds) in a decision and reasons promulgated on 9 November 2017. </w:t>
      </w:r>
    </w:p>
    <w:p w14:paraId="29F47E96" w14:textId="77777777" w:rsidR="00321504" w:rsidRDefault="00384C0B" w:rsidP="00384C0B">
      <w:pPr>
        <w:ind w:left="1440" w:hanging="720"/>
        <w:jc w:val="both"/>
        <w:rPr>
          <w:rFonts w:ascii="Book Antiqua" w:hAnsi="Book Antiqua"/>
          <w:sz w:val="24"/>
          <w:szCs w:val="24"/>
        </w:rPr>
      </w:pPr>
      <w:r>
        <w:rPr>
          <w:rFonts w:ascii="Book Antiqua" w:hAnsi="Book Antiqua"/>
          <w:sz w:val="24"/>
          <w:szCs w:val="24"/>
        </w:rPr>
        <w:t>2.         The App</w:t>
      </w:r>
      <w:r w:rsidR="00CB7C82">
        <w:rPr>
          <w:rFonts w:ascii="Book Antiqua" w:hAnsi="Book Antiqua"/>
          <w:sz w:val="24"/>
          <w:szCs w:val="24"/>
        </w:rPr>
        <w:t>ellant is a national of Nepal</w:t>
      </w:r>
      <w:r>
        <w:rPr>
          <w:rFonts w:ascii="Book Antiqua" w:hAnsi="Book Antiqua"/>
          <w:sz w:val="24"/>
          <w:szCs w:val="24"/>
        </w:rPr>
        <w:t>, born on</w:t>
      </w:r>
      <w:r w:rsidR="00CB7C82">
        <w:rPr>
          <w:rFonts w:ascii="Book Antiqua" w:hAnsi="Book Antiqua"/>
          <w:sz w:val="24"/>
          <w:szCs w:val="24"/>
        </w:rPr>
        <w:t xml:space="preserve"> 28 June 1987</w:t>
      </w:r>
      <w:r>
        <w:rPr>
          <w:rFonts w:ascii="Book Antiqua" w:hAnsi="Book Antiqua"/>
          <w:sz w:val="24"/>
          <w:szCs w:val="24"/>
        </w:rPr>
        <w:t xml:space="preserve"> and thus already </w:t>
      </w:r>
      <w:r w:rsidR="00CB7C82">
        <w:rPr>
          <w:rFonts w:ascii="Book Antiqua" w:hAnsi="Book Antiqua"/>
          <w:sz w:val="24"/>
          <w:szCs w:val="24"/>
        </w:rPr>
        <w:t xml:space="preserve">well into </w:t>
      </w:r>
      <w:r>
        <w:rPr>
          <w:rFonts w:ascii="Book Antiqua" w:hAnsi="Book Antiqua"/>
          <w:sz w:val="24"/>
          <w:szCs w:val="24"/>
        </w:rPr>
        <w:t>adult</w:t>
      </w:r>
      <w:r w:rsidR="00CB7C82">
        <w:rPr>
          <w:rFonts w:ascii="Book Antiqua" w:hAnsi="Book Antiqua"/>
          <w:sz w:val="24"/>
          <w:szCs w:val="24"/>
        </w:rPr>
        <w:t>hood by the time his</w:t>
      </w:r>
      <w:r>
        <w:rPr>
          <w:rFonts w:ascii="Book Antiqua" w:hAnsi="Book Antiqua"/>
          <w:sz w:val="24"/>
          <w:szCs w:val="24"/>
        </w:rPr>
        <w:t xml:space="preserve"> appeal was heard.  As noted already, the appeal lay on human rights grounds only, although that question had to be approached through the</w:t>
      </w:r>
      <w:r w:rsidR="00CB7C82">
        <w:rPr>
          <w:rFonts w:ascii="Book Antiqua" w:hAnsi="Book Antiqua"/>
          <w:sz w:val="24"/>
          <w:szCs w:val="24"/>
        </w:rPr>
        <w:t xml:space="preserve"> lens of the Immigration Rules and Home Office policy, </w:t>
      </w:r>
      <w:r>
        <w:rPr>
          <w:rFonts w:ascii="Book Antiqua" w:hAnsi="Book Antiqua"/>
          <w:sz w:val="24"/>
          <w:szCs w:val="24"/>
        </w:rPr>
        <w:t xml:space="preserve">as the judge did.  The judge found that the Appellant </w:t>
      </w:r>
      <w:r w:rsidR="00E030B2">
        <w:rPr>
          <w:rFonts w:ascii="Book Antiqua" w:hAnsi="Book Antiqua"/>
          <w:sz w:val="24"/>
          <w:szCs w:val="24"/>
        </w:rPr>
        <w:t>was not financially or emotionally dependent on his parents, that there was no interference with family life under Article 8 ECHR</w:t>
      </w:r>
      <w:r w:rsidR="00321504">
        <w:rPr>
          <w:rFonts w:ascii="Book Antiqua" w:hAnsi="Book Antiqua"/>
          <w:sz w:val="24"/>
          <w:szCs w:val="24"/>
        </w:rPr>
        <w:t>,</w:t>
      </w:r>
      <w:r w:rsidR="00E030B2">
        <w:rPr>
          <w:rFonts w:ascii="Book Antiqua" w:hAnsi="Book Antiqua"/>
          <w:sz w:val="24"/>
          <w:szCs w:val="24"/>
        </w:rPr>
        <w:t xml:space="preserve"> such that Article 8 ECHR was not engaged.  </w:t>
      </w:r>
    </w:p>
    <w:p w14:paraId="23A910E4" w14:textId="77777777" w:rsidR="00384C0B" w:rsidRDefault="00384C0B" w:rsidP="00384C0B">
      <w:pPr>
        <w:ind w:left="1440" w:hanging="720"/>
        <w:jc w:val="both"/>
        <w:rPr>
          <w:rFonts w:ascii="Book Antiqua" w:hAnsi="Book Antiqua"/>
          <w:sz w:val="24"/>
          <w:szCs w:val="24"/>
        </w:rPr>
      </w:pPr>
      <w:r>
        <w:rPr>
          <w:rFonts w:ascii="Book Antiqua" w:hAnsi="Book Antiqua"/>
          <w:sz w:val="24"/>
          <w:szCs w:val="24"/>
        </w:rPr>
        <w:t>3.        Permission to appeal was granted</w:t>
      </w:r>
      <w:r w:rsidR="00E030B2">
        <w:rPr>
          <w:rFonts w:ascii="Book Antiqua" w:hAnsi="Book Antiqua"/>
          <w:sz w:val="24"/>
          <w:szCs w:val="24"/>
        </w:rPr>
        <w:t xml:space="preserve"> to the Appellant by </w:t>
      </w:r>
      <w:r>
        <w:rPr>
          <w:rFonts w:ascii="Book Antiqua" w:hAnsi="Book Antiqua"/>
          <w:sz w:val="24"/>
          <w:szCs w:val="24"/>
        </w:rPr>
        <w:t>Judg</w:t>
      </w:r>
      <w:r w:rsidR="00E030B2">
        <w:rPr>
          <w:rFonts w:ascii="Book Antiqua" w:hAnsi="Book Antiqua"/>
          <w:sz w:val="24"/>
          <w:szCs w:val="24"/>
        </w:rPr>
        <w:t>e Hollingworth</w:t>
      </w:r>
      <w:r>
        <w:rPr>
          <w:rFonts w:ascii="Book Antiqua" w:hAnsi="Book Antiqua"/>
          <w:sz w:val="24"/>
          <w:szCs w:val="24"/>
        </w:rPr>
        <w:t xml:space="preserve"> because he considered that the judge had arguably erred by failing to </w:t>
      </w:r>
      <w:r w:rsidR="00E030B2">
        <w:rPr>
          <w:rFonts w:ascii="Book Antiqua" w:hAnsi="Book Antiqua"/>
          <w:sz w:val="24"/>
          <w:szCs w:val="24"/>
        </w:rPr>
        <w:t xml:space="preserve">give sufficient weight to the “matrix of matters going to the issue of financial and emotional dependency relating to the Appellant.”  The opportunity should have been given to the Appellant to produced further evidence, although it was unclear whether or not that had in fact been done.  This may have affected the proportionality exercise.  </w:t>
      </w:r>
    </w:p>
    <w:p w14:paraId="27F9D0D9" w14:textId="77777777" w:rsidR="00384C0B" w:rsidRDefault="00384C0B" w:rsidP="00384C0B">
      <w:pPr>
        <w:ind w:left="1440" w:hanging="720"/>
        <w:jc w:val="both"/>
        <w:rPr>
          <w:rFonts w:ascii="Book Antiqua" w:hAnsi="Book Antiqua"/>
          <w:sz w:val="24"/>
          <w:szCs w:val="24"/>
        </w:rPr>
      </w:pPr>
      <w:r>
        <w:rPr>
          <w:rFonts w:ascii="Book Antiqua" w:hAnsi="Book Antiqua"/>
          <w:sz w:val="24"/>
          <w:szCs w:val="24"/>
        </w:rPr>
        <w:t xml:space="preserve">4.         Standard directions were made by the tribunal.   </w:t>
      </w:r>
    </w:p>
    <w:p w14:paraId="35CDDC64" w14:textId="77777777" w:rsidR="00384C0B" w:rsidRDefault="00384C0B" w:rsidP="00384C0B">
      <w:pPr>
        <w:ind w:left="1440" w:hanging="720"/>
        <w:jc w:val="both"/>
        <w:rPr>
          <w:rFonts w:ascii="Book Antiqua" w:hAnsi="Book Antiqua"/>
          <w:sz w:val="24"/>
          <w:szCs w:val="24"/>
        </w:rPr>
      </w:pPr>
    </w:p>
    <w:p w14:paraId="358CADB6" w14:textId="77777777" w:rsidR="00384C0B" w:rsidRDefault="00384C0B" w:rsidP="00384C0B">
      <w:pPr>
        <w:ind w:left="1440" w:hanging="720"/>
        <w:jc w:val="both"/>
        <w:rPr>
          <w:rFonts w:ascii="Book Antiqua" w:hAnsi="Book Antiqua"/>
          <w:i/>
          <w:iCs/>
          <w:sz w:val="24"/>
          <w:szCs w:val="24"/>
        </w:rPr>
      </w:pPr>
      <w:r>
        <w:rPr>
          <w:rFonts w:ascii="Book Antiqua" w:hAnsi="Book Antiqua"/>
          <w:i/>
          <w:iCs/>
          <w:sz w:val="24"/>
          <w:szCs w:val="24"/>
        </w:rPr>
        <w:t>Submissions</w:t>
      </w:r>
    </w:p>
    <w:p w14:paraId="70F10099" w14:textId="77777777" w:rsidR="00384C0B" w:rsidRDefault="00384C0B" w:rsidP="00384C0B">
      <w:pPr>
        <w:ind w:left="1440" w:hanging="720"/>
        <w:jc w:val="both"/>
        <w:rPr>
          <w:rFonts w:ascii="Book Antiqua" w:hAnsi="Book Antiqua"/>
          <w:i/>
          <w:iCs/>
          <w:sz w:val="24"/>
          <w:szCs w:val="24"/>
        </w:rPr>
      </w:pPr>
    </w:p>
    <w:p w14:paraId="68B0D37B" w14:textId="77777777" w:rsidR="00384C0B" w:rsidRDefault="00384C0B" w:rsidP="00384C0B">
      <w:pPr>
        <w:ind w:left="1440" w:hanging="720"/>
        <w:jc w:val="both"/>
        <w:rPr>
          <w:rFonts w:ascii="Book Antiqua" w:hAnsi="Book Antiqua"/>
          <w:sz w:val="24"/>
          <w:szCs w:val="24"/>
        </w:rPr>
      </w:pPr>
      <w:r>
        <w:rPr>
          <w:rFonts w:ascii="Book Antiqua" w:hAnsi="Book Antiqua"/>
          <w:sz w:val="24"/>
          <w:szCs w:val="24"/>
        </w:rPr>
        <w:t>5.        </w:t>
      </w:r>
      <w:r w:rsidR="00E030B2">
        <w:rPr>
          <w:rFonts w:ascii="Book Antiqua" w:hAnsi="Book Antiqua"/>
          <w:sz w:val="24"/>
          <w:szCs w:val="24"/>
        </w:rPr>
        <w:t xml:space="preserve">The Appellant was unrepresented, but his father (and sponsor) attended the hearing as had happened in the First-tier Tribunal.  A helpful and competent Nepalese interpreter had been provided and all communication </w:t>
      </w:r>
      <w:r w:rsidR="00950A99">
        <w:rPr>
          <w:rFonts w:ascii="Book Antiqua" w:hAnsi="Book Antiqua"/>
          <w:sz w:val="24"/>
          <w:szCs w:val="24"/>
        </w:rPr>
        <w:t xml:space="preserve">at the hearing </w:t>
      </w:r>
      <w:r w:rsidR="00E030B2">
        <w:rPr>
          <w:rFonts w:ascii="Book Antiqua" w:hAnsi="Book Antiqua"/>
          <w:sz w:val="24"/>
          <w:szCs w:val="24"/>
        </w:rPr>
        <w:t>took place through him.  The tribunal explained that the hearing was to determine whether there was a material error of law and that this was not a question of what decision the tribunal might have made for itself.  The question was whether the decision reached was open to the judge on the evidence.</w:t>
      </w:r>
    </w:p>
    <w:p w14:paraId="62AE1715" w14:textId="77777777" w:rsidR="00384C0B" w:rsidRDefault="00384C0B" w:rsidP="00384C0B">
      <w:pPr>
        <w:ind w:left="1440" w:hanging="720"/>
        <w:jc w:val="both"/>
        <w:rPr>
          <w:rFonts w:ascii="Book Antiqua" w:hAnsi="Book Antiqua"/>
          <w:sz w:val="24"/>
          <w:szCs w:val="24"/>
        </w:rPr>
      </w:pPr>
      <w:r>
        <w:rPr>
          <w:rFonts w:ascii="Book Antiqua" w:hAnsi="Book Antiqua"/>
          <w:sz w:val="24"/>
          <w:szCs w:val="24"/>
        </w:rPr>
        <w:t xml:space="preserve">6.         </w:t>
      </w:r>
      <w:r w:rsidR="00E030B2">
        <w:rPr>
          <w:rFonts w:ascii="Book Antiqua" w:hAnsi="Book Antiqua"/>
          <w:sz w:val="24"/>
          <w:szCs w:val="24"/>
        </w:rPr>
        <w:t xml:space="preserve">The sponsor </w:t>
      </w:r>
      <w:r w:rsidR="00950A99">
        <w:rPr>
          <w:rFonts w:ascii="Book Antiqua" w:hAnsi="Book Antiqua"/>
          <w:sz w:val="24"/>
          <w:szCs w:val="24"/>
        </w:rPr>
        <w:t>was not in a position to assist the tribunal on any legal issue.  The grounds (apparently prepared by the Appellant himself) were of no assistance and it was not easy to see what the source of the grant of permission to appeal was.</w:t>
      </w:r>
    </w:p>
    <w:p w14:paraId="4BB87511" w14:textId="77777777" w:rsidR="00384C0B" w:rsidRDefault="00384C0B" w:rsidP="00384C0B">
      <w:pPr>
        <w:ind w:left="1440" w:hanging="720"/>
        <w:jc w:val="both"/>
        <w:rPr>
          <w:rFonts w:ascii="Book Antiqua" w:hAnsi="Book Antiqua"/>
          <w:i/>
          <w:iCs/>
          <w:sz w:val="24"/>
          <w:szCs w:val="24"/>
        </w:rPr>
      </w:pPr>
      <w:r>
        <w:rPr>
          <w:rFonts w:ascii="Book Antiqua" w:hAnsi="Book Antiqua"/>
          <w:sz w:val="24"/>
          <w:szCs w:val="24"/>
        </w:rPr>
        <w:t xml:space="preserve">7.         </w:t>
      </w:r>
      <w:r w:rsidR="00950A99">
        <w:rPr>
          <w:rFonts w:ascii="Book Antiqua" w:hAnsi="Book Antiqua"/>
          <w:sz w:val="24"/>
          <w:szCs w:val="24"/>
        </w:rPr>
        <w:t xml:space="preserve">The sponsor addressed the tribunal on his feelings for his son and how much he wanted his son to come to the United Kingdom. </w:t>
      </w:r>
    </w:p>
    <w:p w14:paraId="7E6FF15A" w14:textId="77777777" w:rsidR="00384C0B" w:rsidRDefault="00384C0B" w:rsidP="00384C0B">
      <w:pPr>
        <w:ind w:left="1440" w:hanging="720"/>
        <w:jc w:val="both"/>
        <w:rPr>
          <w:rFonts w:ascii="Book Antiqua" w:hAnsi="Book Antiqua"/>
          <w:sz w:val="24"/>
          <w:szCs w:val="24"/>
        </w:rPr>
      </w:pPr>
      <w:r>
        <w:rPr>
          <w:rFonts w:ascii="Book Antiqua" w:hAnsi="Book Antiqua"/>
          <w:sz w:val="24"/>
          <w:szCs w:val="24"/>
        </w:rPr>
        <w:t>8.        M</w:t>
      </w:r>
      <w:r w:rsidR="00321504">
        <w:rPr>
          <w:rFonts w:ascii="Book Antiqua" w:hAnsi="Book Antiqua"/>
          <w:sz w:val="24"/>
          <w:szCs w:val="24"/>
        </w:rPr>
        <w:t>r</w:t>
      </w:r>
      <w:r w:rsidR="00950A99">
        <w:rPr>
          <w:rFonts w:ascii="Book Antiqua" w:hAnsi="Book Antiqua"/>
          <w:sz w:val="24"/>
          <w:szCs w:val="24"/>
        </w:rPr>
        <w:t xml:space="preserve"> Wilding</w:t>
      </w:r>
      <w:r>
        <w:rPr>
          <w:rFonts w:ascii="Book Antiqua" w:hAnsi="Book Antiqua"/>
          <w:sz w:val="24"/>
          <w:szCs w:val="24"/>
        </w:rPr>
        <w:t xml:space="preserve"> for the Respondent submitted that there was no material error of law.  </w:t>
      </w:r>
      <w:r w:rsidR="00950A99">
        <w:rPr>
          <w:rFonts w:ascii="Book Antiqua" w:hAnsi="Book Antiqua"/>
          <w:sz w:val="24"/>
          <w:szCs w:val="24"/>
        </w:rPr>
        <w:t xml:space="preserve">The findings which Judge White had reached were open to him </w:t>
      </w:r>
      <w:r w:rsidR="005553F8">
        <w:rPr>
          <w:rFonts w:ascii="Book Antiqua" w:hAnsi="Book Antiqua"/>
          <w:sz w:val="24"/>
          <w:szCs w:val="24"/>
        </w:rPr>
        <w:t>(</w:t>
      </w:r>
      <w:r w:rsidR="00950A99">
        <w:rPr>
          <w:rFonts w:ascii="Book Antiqua" w:hAnsi="Book Antiqua"/>
          <w:sz w:val="24"/>
          <w:szCs w:val="24"/>
        </w:rPr>
        <w:t xml:space="preserve">see </w:t>
      </w:r>
      <w:r w:rsidR="00950A99">
        <w:rPr>
          <w:rFonts w:ascii="Book Antiqua" w:hAnsi="Book Antiqua"/>
          <w:sz w:val="24"/>
          <w:szCs w:val="24"/>
        </w:rPr>
        <w:lastRenderedPageBreak/>
        <w:t xml:space="preserve">[19], [20] and [25]) and were in no sense surprising.   The Appellant was fully 29 years of age </w:t>
      </w:r>
      <w:r>
        <w:rPr>
          <w:rFonts w:ascii="Book Antiqua" w:hAnsi="Book Antiqua"/>
          <w:sz w:val="24"/>
          <w:szCs w:val="24"/>
        </w:rPr>
        <w:t xml:space="preserve">  The onwards appeal should be dismissed.</w:t>
      </w:r>
    </w:p>
    <w:p w14:paraId="278B0448" w14:textId="77777777" w:rsidR="00384C0B" w:rsidRDefault="00384C0B" w:rsidP="00384C0B">
      <w:pPr>
        <w:ind w:left="1440" w:hanging="720"/>
        <w:jc w:val="both"/>
        <w:rPr>
          <w:rFonts w:ascii="Book Antiqua" w:hAnsi="Book Antiqua"/>
          <w:sz w:val="24"/>
          <w:szCs w:val="24"/>
        </w:rPr>
      </w:pPr>
    </w:p>
    <w:p w14:paraId="1B2FF7EE" w14:textId="77777777" w:rsidR="00384C0B" w:rsidRDefault="00384C0B" w:rsidP="00384C0B">
      <w:pPr>
        <w:ind w:left="1440" w:hanging="720"/>
        <w:jc w:val="both"/>
        <w:rPr>
          <w:rFonts w:ascii="Book Antiqua" w:hAnsi="Book Antiqua"/>
          <w:i/>
          <w:iCs/>
          <w:sz w:val="24"/>
          <w:szCs w:val="24"/>
        </w:rPr>
      </w:pPr>
      <w:r>
        <w:rPr>
          <w:rFonts w:ascii="Book Antiqua" w:hAnsi="Book Antiqua"/>
          <w:i/>
          <w:iCs/>
          <w:sz w:val="24"/>
          <w:szCs w:val="24"/>
        </w:rPr>
        <w:t xml:space="preserve">Discussion – no error of law </w:t>
      </w:r>
    </w:p>
    <w:p w14:paraId="1A471AAA" w14:textId="77777777" w:rsidR="00384C0B" w:rsidRDefault="00384C0B" w:rsidP="00384C0B">
      <w:pPr>
        <w:ind w:left="1440" w:hanging="720"/>
        <w:jc w:val="both"/>
        <w:rPr>
          <w:rFonts w:ascii="Book Antiqua" w:hAnsi="Book Antiqua"/>
          <w:i/>
          <w:iCs/>
          <w:sz w:val="24"/>
          <w:szCs w:val="24"/>
        </w:rPr>
      </w:pPr>
    </w:p>
    <w:p w14:paraId="34D69DE3" w14:textId="77777777" w:rsidR="00384C0B" w:rsidRDefault="00950A99" w:rsidP="00384C0B">
      <w:pPr>
        <w:ind w:left="1440" w:hanging="720"/>
        <w:jc w:val="both"/>
        <w:rPr>
          <w:rFonts w:ascii="Book Antiqua" w:hAnsi="Book Antiqua"/>
          <w:sz w:val="24"/>
          <w:szCs w:val="24"/>
        </w:rPr>
      </w:pPr>
      <w:r>
        <w:rPr>
          <w:rFonts w:ascii="Book Antiqua" w:hAnsi="Book Antiqua"/>
          <w:sz w:val="24"/>
          <w:szCs w:val="24"/>
        </w:rPr>
        <w:t>9</w:t>
      </w:r>
      <w:r w:rsidR="00384C0B">
        <w:rPr>
          <w:rFonts w:ascii="Book Antiqua" w:hAnsi="Book Antiqua"/>
          <w:sz w:val="24"/>
          <w:szCs w:val="24"/>
        </w:rPr>
        <w:t xml:space="preserve">.       </w:t>
      </w:r>
      <w:r w:rsidR="00321504">
        <w:rPr>
          <w:rFonts w:ascii="Book Antiqua" w:hAnsi="Book Antiqua"/>
          <w:sz w:val="24"/>
          <w:szCs w:val="24"/>
        </w:rPr>
        <w:t xml:space="preserve"> </w:t>
      </w:r>
      <w:r>
        <w:rPr>
          <w:rFonts w:ascii="Book Antiqua" w:hAnsi="Book Antiqua"/>
          <w:sz w:val="24"/>
          <w:szCs w:val="24"/>
        </w:rPr>
        <w:t>As the tribunal explained to the sponsor and his supporters, the grant of permission to appeal was difficult to follow.  The tribunal considered that it should not have been made</w:t>
      </w:r>
      <w:r w:rsidR="00384C0B">
        <w:rPr>
          <w:rFonts w:ascii="Book Antiqua" w:hAnsi="Book Antiqua"/>
          <w:sz w:val="24"/>
          <w:szCs w:val="24"/>
        </w:rPr>
        <w:t>.</w:t>
      </w:r>
      <w:r>
        <w:rPr>
          <w:rFonts w:ascii="Book Antiqua" w:hAnsi="Book Antiqua"/>
          <w:sz w:val="24"/>
          <w:szCs w:val="24"/>
        </w:rPr>
        <w:t xml:space="preserve">  The determination had bene prepared by a very experienced judge, who had examined the evidence for himself, with great care.  </w:t>
      </w:r>
      <w:r w:rsidR="00321504">
        <w:rPr>
          <w:rFonts w:ascii="Book Antiqua" w:hAnsi="Book Antiqua"/>
          <w:sz w:val="24"/>
          <w:szCs w:val="24"/>
        </w:rPr>
        <w:t>The weight to be given to the evidence was for the trail judge, who saw the witness(</w:t>
      </w:r>
      <w:proofErr w:type="spellStart"/>
      <w:r w:rsidR="00321504">
        <w:rPr>
          <w:rFonts w:ascii="Book Antiqua" w:hAnsi="Book Antiqua"/>
          <w:sz w:val="24"/>
          <w:szCs w:val="24"/>
        </w:rPr>
        <w:t>es</w:t>
      </w:r>
      <w:proofErr w:type="spellEnd"/>
      <w:r w:rsidR="00321504">
        <w:rPr>
          <w:rFonts w:ascii="Book Antiqua" w:hAnsi="Book Antiqua"/>
          <w:sz w:val="24"/>
          <w:szCs w:val="24"/>
        </w:rPr>
        <w:t xml:space="preserve">).  </w:t>
      </w:r>
      <w:r>
        <w:rPr>
          <w:rFonts w:ascii="Book Antiqua" w:hAnsi="Book Antiqua"/>
          <w:sz w:val="24"/>
          <w:szCs w:val="24"/>
        </w:rPr>
        <w:t xml:space="preserve">It had to be said that it would be a </w:t>
      </w:r>
      <w:r w:rsidR="00321504">
        <w:rPr>
          <w:rFonts w:ascii="Book Antiqua" w:hAnsi="Book Antiqua"/>
          <w:sz w:val="24"/>
          <w:szCs w:val="24"/>
        </w:rPr>
        <w:t xml:space="preserve">rare and </w:t>
      </w:r>
      <w:r>
        <w:rPr>
          <w:rFonts w:ascii="Book Antiqua" w:hAnsi="Book Antiqua"/>
          <w:sz w:val="24"/>
          <w:szCs w:val="24"/>
        </w:rPr>
        <w:t xml:space="preserve">most unusual situation for a healthy 29 year adult of either gender to remain emotionally </w:t>
      </w:r>
      <w:r w:rsidR="00321504">
        <w:rPr>
          <w:rFonts w:ascii="Book Antiqua" w:hAnsi="Book Antiqua"/>
          <w:sz w:val="24"/>
          <w:szCs w:val="24"/>
        </w:rPr>
        <w:t xml:space="preserve">and financially </w:t>
      </w:r>
      <w:r>
        <w:rPr>
          <w:rFonts w:ascii="Book Antiqua" w:hAnsi="Book Antiqua"/>
          <w:sz w:val="24"/>
          <w:szCs w:val="24"/>
        </w:rPr>
        <w:t>dependent on his/her parents.  It was not for the judge to call for further evidence, as the entry clearance application had been made some time ago and it was up to the Appellant (and his family) to obtain advice and to produce the evidence required under the Immigration Rules</w:t>
      </w:r>
      <w:r w:rsidR="00321504">
        <w:rPr>
          <w:rFonts w:ascii="Book Antiqua" w:hAnsi="Book Antiqua"/>
          <w:sz w:val="24"/>
          <w:szCs w:val="24"/>
        </w:rPr>
        <w:t xml:space="preserve"> when making the entry clearance application</w:t>
      </w:r>
      <w:r>
        <w:rPr>
          <w:rFonts w:ascii="Book Antiqua" w:hAnsi="Book Antiqua"/>
          <w:sz w:val="24"/>
          <w:szCs w:val="24"/>
        </w:rPr>
        <w:t>.</w:t>
      </w:r>
      <w:r w:rsidR="005553F8">
        <w:rPr>
          <w:rFonts w:ascii="Book Antiqua" w:hAnsi="Book Antiqua"/>
          <w:sz w:val="24"/>
          <w:szCs w:val="24"/>
        </w:rPr>
        <w:t xml:space="preserve"> The refusal notice issued by the Entry Clearance Officer, as upheld on review by the Entry Clearance Manager, spelt out the </w:t>
      </w:r>
      <w:r w:rsidR="00321504">
        <w:rPr>
          <w:rFonts w:ascii="Book Antiqua" w:hAnsi="Book Antiqua"/>
          <w:sz w:val="24"/>
          <w:szCs w:val="24"/>
        </w:rPr>
        <w:t xml:space="preserve">disputed </w:t>
      </w:r>
      <w:r w:rsidR="005553F8">
        <w:rPr>
          <w:rFonts w:ascii="Book Antiqua" w:hAnsi="Book Antiqua"/>
          <w:sz w:val="24"/>
          <w:szCs w:val="24"/>
        </w:rPr>
        <w:t>issues and it was for the Appellant to respond.   Thus there was no unfairness; on the contrary it is clear that the judge investigated the facts of the appeal closely.</w:t>
      </w:r>
    </w:p>
    <w:p w14:paraId="2873D4CC" w14:textId="77777777" w:rsidR="00384C0B" w:rsidRDefault="00384C0B" w:rsidP="00384C0B">
      <w:pPr>
        <w:ind w:left="1440" w:hanging="720"/>
        <w:jc w:val="both"/>
        <w:rPr>
          <w:rFonts w:ascii="Book Antiqua" w:hAnsi="Book Antiqua"/>
          <w:sz w:val="24"/>
          <w:szCs w:val="24"/>
        </w:rPr>
      </w:pPr>
      <w:r>
        <w:rPr>
          <w:rFonts w:ascii="Book Antiqua" w:hAnsi="Book Antiqua"/>
          <w:sz w:val="24"/>
          <w:szCs w:val="24"/>
        </w:rPr>
        <w:t>1</w:t>
      </w:r>
      <w:r w:rsidR="005553F8">
        <w:rPr>
          <w:rFonts w:ascii="Book Antiqua" w:hAnsi="Book Antiqua"/>
          <w:sz w:val="24"/>
          <w:szCs w:val="24"/>
        </w:rPr>
        <w:t>0</w:t>
      </w:r>
      <w:r>
        <w:rPr>
          <w:rFonts w:ascii="Book Antiqua" w:hAnsi="Book Antiqua"/>
          <w:sz w:val="24"/>
          <w:szCs w:val="24"/>
        </w:rPr>
        <w:t>.      </w:t>
      </w:r>
      <w:r w:rsidR="005553F8">
        <w:rPr>
          <w:rFonts w:ascii="Book Antiqua" w:hAnsi="Book Antiqua"/>
          <w:sz w:val="24"/>
          <w:szCs w:val="24"/>
        </w:rPr>
        <w:t>The findings the judge reached are summarised at [25] of the determination</w:t>
      </w:r>
      <w:r w:rsidR="00321504">
        <w:rPr>
          <w:rFonts w:ascii="Book Antiqua" w:hAnsi="Book Antiqua"/>
          <w:sz w:val="24"/>
          <w:szCs w:val="24"/>
        </w:rPr>
        <w:t xml:space="preserve">, which draw on [19], </w:t>
      </w:r>
      <w:r w:rsidR="005553F8">
        <w:rPr>
          <w:rFonts w:ascii="Book Antiqua" w:hAnsi="Book Antiqua"/>
          <w:sz w:val="24"/>
          <w:szCs w:val="24"/>
        </w:rPr>
        <w:t>[20]</w:t>
      </w:r>
      <w:r w:rsidR="00321504">
        <w:rPr>
          <w:rFonts w:ascii="Book Antiqua" w:hAnsi="Book Antiqua"/>
          <w:sz w:val="24"/>
          <w:szCs w:val="24"/>
        </w:rPr>
        <w:t xml:space="preserve"> and [21]</w:t>
      </w:r>
      <w:r w:rsidR="005553F8">
        <w:rPr>
          <w:rFonts w:ascii="Book Antiqua" w:hAnsi="Book Antiqua"/>
          <w:sz w:val="24"/>
          <w:szCs w:val="24"/>
        </w:rPr>
        <w:t xml:space="preserve">.  </w:t>
      </w:r>
      <w:r w:rsidR="00BE3EF2">
        <w:rPr>
          <w:rFonts w:ascii="Book Antiqua" w:hAnsi="Book Antiqua"/>
          <w:sz w:val="24"/>
          <w:szCs w:val="24"/>
        </w:rPr>
        <w:t xml:space="preserve">The evidence is set out and the </w:t>
      </w:r>
      <w:r>
        <w:rPr>
          <w:rFonts w:ascii="Book Antiqua" w:hAnsi="Book Antiqua"/>
          <w:sz w:val="24"/>
          <w:szCs w:val="24"/>
        </w:rPr>
        <w:t>judge gave full and de</w:t>
      </w:r>
      <w:r w:rsidR="00321504">
        <w:rPr>
          <w:rFonts w:ascii="Book Antiqua" w:hAnsi="Book Antiqua"/>
          <w:sz w:val="24"/>
          <w:szCs w:val="24"/>
        </w:rPr>
        <w:t>tailed reasons for reaching his</w:t>
      </w:r>
      <w:r>
        <w:rPr>
          <w:rFonts w:ascii="Book Antiqua" w:hAnsi="Book Antiqua"/>
          <w:sz w:val="24"/>
          <w:szCs w:val="24"/>
        </w:rPr>
        <w:t xml:space="preserve"> finding</w:t>
      </w:r>
      <w:r w:rsidR="00321504">
        <w:rPr>
          <w:rFonts w:ascii="Book Antiqua" w:hAnsi="Book Antiqua"/>
          <w:sz w:val="24"/>
          <w:szCs w:val="24"/>
        </w:rPr>
        <w:t>s.  The findings</w:t>
      </w:r>
      <w:r>
        <w:rPr>
          <w:rFonts w:ascii="Book Antiqua" w:hAnsi="Book Antiqua"/>
          <w:sz w:val="24"/>
          <w:szCs w:val="24"/>
        </w:rPr>
        <w:t xml:space="preserve"> are unimpeachable and must stand.</w:t>
      </w:r>
      <w:r w:rsidR="00BE3EF2">
        <w:rPr>
          <w:rFonts w:ascii="Book Antiqua" w:hAnsi="Book Antiqua"/>
          <w:sz w:val="24"/>
          <w:szCs w:val="24"/>
        </w:rPr>
        <w:t xml:space="preserve">  Thus while the family’s disappointment is understandable, the judge had no choice but to apply the law.  Hence t</w:t>
      </w:r>
      <w:r>
        <w:rPr>
          <w:rFonts w:ascii="Book Antiqua" w:hAnsi="Book Antiqua"/>
          <w:sz w:val="24"/>
          <w:szCs w:val="24"/>
        </w:rPr>
        <w:t>he onwards appeal must be dismissed.</w:t>
      </w:r>
    </w:p>
    <w:p w14:paraId="7EB76CF3" w14:textId="77777777" w:rsidR="00384C0B" w:rsidRDefault="00384C0B" w:rsidP="00384C0B">
      <w:pPr>
        <w:ind w:left="1440" w:hanging="720"/>
        <w:jc w:val="both"/>
        <w:rPr>
          <w:rFonts w:ascii="Book Antiqua" w:hAnsi="Book Antiqua"/>
          <w:b/>
          <w:bCs/>
          <w:sz w:val="24"/>
          <w:szCs w:val="24"/>
          <w:u w:val="single"/>
        </w:rPr>
      </w:pPr>
      <w:r>
        <w:rPr>
          <w:rFonts w:ascii="Book Antiqua" w:hAnsi="Book Antiqua"/>
          <w:b/>
          <w:bCs/>
          <w:sz w:val="24"/>
          <w:szCs w:val="24"/>
          <w:u w:val="single"/>
        </w:rPr>
        <w:t>DECISION</w:t>
      </w:r>
    </w:p>
    <w:p w14:paraId="5DDB941F" w14:textId="77777777" w:rsidR="00384C0B" w:rsidRDefault="00384C0B" w:rsidP="00384C0B">
      <w:pPr>
        <w:ind w:left="1440" w:hanging="720"/>
        <w:jc w:val="both"/>
        <w:rPr>
          <w:rFonts w:ascii="Book Antiqua" w:hAnsi="Book Antiqua"/>
          <w:sz w:val="24"/>
          <w:szCs w:val="24"/>
        </w:rPr>
      </w:pPr>
      <w:r>
        <w:rPr>
          <w:rFonts w:ascii="Book Antiqua" w:hAnsi="Book Antiqua"/>
          <w:sz w:val="24"/>
          <w:szCs w:val="24"/>
        </w:rPr>
        <w:t>The onwards appeal is dismissed</w:t>
      </w:r>
    </w:p>
    <w:p w14:paraId="4BCE4E31" w14:textId="77777777" w:rsidR="00384C0B" w:rsidRDefault="00384C0B" w:rsidP="00BE3EF2">
      <w:pPr>
        <w:ind w:left="1440" w:hanging="720"/>
        <w:jc w:val="both"/>
        <w:rPr>
          <w:rFonts w:ascii="Book Antiqua" w:hAnsi="Book Antiqua"/>
          <w:color w:val="000000"/>
          <w:sz w:val="24"/>
          <w:szCs w:val="24"/>
        </w:rPr>
      </w:pPr>
      <w:r>
        <w:rPr>
          <w:rFonts w:ascii="Book Antiqua" w:hAnsi="Book Antiqua"/>
          <w:sz w:val="24"/>
          <w:szCs w:val="24"/>
        </w:rPr>
        <w:t>The original decision and reasons stands unchanged</w:t>
      </w:r>
    </w:p>
    <w:p w14:paraId="449A7AFA" w14:textId="77777777" w:rsidR="00384C0B" w:rsidRDefault="00384C0B" w:rsidP="00384C0B">
      <w:pPr>
        <w:jc w:val="both"/>
        <w:rPr>
          <w:rFonts w:ascii="Book Antiqua" w:hAnsi="Book Antiqua"/>
          <w:sz w:val="24"/>
          <w:szCs w:val="24"/>
        </w:rPr>
      </w:pPr>
      <w:r>
        <w:rPr>
          <w:rFonts w:ascii="Book Antiqua" w:hAnsi="Book Antiqua"/>
          <w:color w:val="000000"/>
          <w:sz w:val="24"/>
          <w:szCs w:val="24"/>
        </w:rPr>
        <w:t xml:space="preserve">            </w:t>
      </w:r>
    </w:p>
    <w:p w14:paraId="756CA61A" w14:textId="77777777" w:rsidR="00384C0B" w:rsidRDefault="00384C0B" w:rsidP="00384C0B">
      <w:pPr>
        <w:ind w:firstLine="720"/>
        <w:jc w:val="both"/>
        <w:rPr>
          <w:rFonts w:ascii="Book Antiqua" w:hAnsi="Book Antiqua"/>
          <w:sz w:val="24"/>
          <w:szCs w:val="24"/>
        </w:rPr>
      </w:pPr>
      <w:r>
        <w:rPr>
          <w:rFonts w:ascii="Book Antiqua" w:hAnsi="Book Antiqua"/>
          <w:b/>
          <w:bCs/>
          <w:sz w:val="24"/>
          <w:szCs w:val="24"/>
        </w:rPr>
        <w:t xml:space="preserve">Signed                                                                       </w:t>
      </w:r>
      <w:r w:rsidR="00202C34">
        <w:rPr>
          <w:rFonts w:ascii="Book Antiqua" w:hAnsi="Book Antiqua"/>
          <w:b/>
          <w:bCs/>
          <w:sz w:val="24"/>
          <w:szCs w:val="24"/>
        </w:rPr>
        <w:t xml:space="preserve">                          Dated </w:t>
      </w:r>
      <w:r w:rsidR="00202C34">
        <w:rPr>
          <w:rFonts w:ascii="Book Antiqua" w:hAnsi="Book Antiqua"/>
          <w:sz w:val="24"/>
          <w:szCs w:val="24"/>
        </w:rPr>
        <w:t>12</w:t>
      </w:r>
      <w:r w:rsidR="00BE3EF2">
        <w:rPr>
          <w:rFonts w:ascii="Book Antiqua" w:hAnsi="Book Antiqua"/>
          <w:sz w:val="24"/>
          <w:szCs w:val="24"/>
        </w:rPr>
        <w:t xml:space="preserve"> June</w:t>
      </w:r>
      <w:r>
        <w:rPr>
          <w:rFonts w:ascii="Book Antiqua" w:hAnsi="Book Antiqua"/>
          <w:sz w:val="24"/>
          <w:szCs w:val="24"/>
        </w:rPr>
        <w:t xml:space="preserve"> 2018</w:t>
      </w:r>
    </w:p>
    <w:p w14:paraId="1561DA3B" w14:textId="77777777" w:rsidR="00384C0B" w:rsidRDefault="00384C0B" w:rsidP="00384C0B">
      <w:pPr>
        <w:ind w:left="1440" w:hanging="720"/>
        <w:jc w:val="both"/>
        <w:rPr>
          <w:rFonts w:ascii="Book Antiqua" w:hAnsi="Book Antiqua"/>
          <w:b/>
          <w:bCs/>
          <w:sz w:val="24"/>
          <w:szCs w:val="24"/>
        </w:rPr>
      </w:pPr>
      <w:r>
        <w:rPr>
          <w:rFonts w:ascii="Book Antiqua" w:hAnsi="Book Antiqua"/>
          <w:b/>
          <w:bCs/>
          <w:sz w:val="24"/>
          <w:szCs w:val="24"/>
        </w:rPr>
        <w:t xml:space="preserve">Deputy Upper Tribunal Judge </w:t>
      </w:r>
      <w:proofErr w:type="spellStart"/>
      <w:r>
        <w:rPr>
          <w:rFonts w:ascii="Book Antiqua" w:hAnsi="Book Antiqua"/>
          <w:b/>
          <w:bCs/>
          <w:sz w:val="24"/>
          <w:szCs w:val="24"/>
        </w:rPr>
        <w:t>Manuell</w:t>
      </w:r>
      <w:proofErr w:type="spellEnd"/>
      <w:r>
        <w:rPr>
          <w:rFonts w:ascii="Book Antiqua" w:hAnsi="Book Antiqua"/>
          <w:b/>
          <w:bCs/>
          <w:sz w:val="24"/>
          <w:szCs w:val="24"/>
        </w:rPr>
        <w:t xml:space="preserve"> </w:t>
      </w:r>
    </w:p>
    <w:sectPr w:rsidR="00384C0B" w:rsidSect="00202C34">
      <w:headerReference w:type="default" r:id="rId7"/>
      <w:footerReference w:type="default" r:id="rId8"/>
      <w:footerReference w:type="first" r:id="rId9"/>
      <w:pgSz w:w="11906" w:h="16838"/>
      <w:pgMar w:top="1440" w:right="1247" w:bottom="1440" w:left="124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EFF17" w14:textId="77777777" w:rsidR="002413F4" w:rsidRDefault="002413F4" w:rsidP="00384C0B">
      <w:pPr>
        <w:spacing w:after="0" w:line="240" w:lineRule="auto"/>
      </w:pPr>
      <w:r>
        <w:separator/>
      </w:r>
    </w:p>
  </w:endnote>
  <w:endnote w:type="continuationSeparator" w:id="0">
    <w:p w14:paraId="39D0F140" w14:textId="77777777" w:rsidR="002413F4" w:rsidRDefault="002413F4" w:rsidP="00384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F51BD" w14:textId="03FB8853" w:rsidR="009924BD" w:rsidRDefault="009924BD">
    <w:pPr>
      <w:pStyle w:val="Footer"/>
      <w:jc w:val="center"/>
    </w:pPr>
    <w:r>
      <w:fldChar w:fldCharType="begin"/>
    </w:r>
    <w:r>
      <w:instrText xml:space="preserve"> PAGE   \* MERGEFORMAT </w:instrText>
    </w:r>
    <w:r>
      <w:fldChar w:fldCharType="separate"/>
    </w:r>
    <w:r w:rsidR="008872B4">
      <w:rPr>
        <w:noProof/>
      </w:rPr>
      <w:t>3</w:t>
    </w:r>
    <w:r>
      <w:rPr>
        <w:noProof/>
      </w:rPr>
      <w:fldChar w:fldCharType="end"/>
    </w:r>
  </w:p>
  <w:p w14:paraId="512F8258" w14:textId="77777777" w:rsidR="009924BD" w:rsidRDefault="009924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9C229" w14:textId="77777777" w:rsidR="009924BD" w:rsidRDefault="009924BD" w:rsidP="009924BD">
    <w:pPr>
      <w:pStyle w:val="Footer"/>
      <w:jc w:val="center"/>
    </w:pPr>
    <w:r w:rsidRPr="009924BD">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AD372" w14:textId="77777777" w:rsidR="002413F4" w:rsidRDefault="002413F4" w:rsidP="00384C0B">
      <w:pPr>
        <w:spacing w:after="0" w:line="240" w:lineRule="auto"/>
      </w:pPr>
      <w:r>
        <w:separator/>
      </w:r>
    </w:p>
  </w:footnote>
  <w:footnote w:type="continuationSeparator" w:id="0">
    <w:p w14:paraId="7094189B" w14:textId="77777777" w:rsidR="002413F4" w:rsidRDefault="002413F4" w:rsidP="00384C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AF55" w14:textId="77777777" w:rsidR="009924BD" w:rsidRDefault="009924BD" w:rsidP="009924BD">
    <w:pPr>
      <w:pStyle w:val="Header"/>
      <w:jc w:val="right"/>
    </w:pPr>
    <w:r w:rsidRPr="009924BD">
      <w:t>HU/18129/2016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C0B"/>
    <w:rsid w:val="00004270"/>
    <w:rsid w:val="00202C34"/>
    <w:rsid w:val="002413F4"/>
    <w:rsid w:val="002A1347"/>
    <w:rsid w:val="00321504"/>
    <w:rsid w:val="00384C0B"/>
    <w:rsid w:val="005553F8"/>
    <w:rsid w:val="0060048C"/>
    <w:rsid w:val="006D6D6E"/>
    <w:rsid w:val="008872B4"/>
    <w:rsid w:val="00950A99"/>
    <w:rsid w:val="00954516"/>
    <w:rsid w:val="009924BD"/>
    <w:rsid w:val="009A01DC"/>
    <w:rsid w:val="00A23CDF"/>
    <w:rsid w:val="00AA76E9"/>
    <w:rsid w:val="00B3373D"/>
    <w:rsid w:val="00BE3EF2"/>
    <w:rsid w:val="00CB7C82"/>
    <w:rsid w:val="00E03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3073"/>
    <o:shapelayout v:ext="edit">
      <o:idmap v:ext="edit" data="1"/>
    </o:shapelayout>
  </w:shapeDefaults>
  <w:decimalSymbol w:val="."/>
  <w:listSeparator w:val=","/>
  <w14:docId w14:val="044E0B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C0B"/>
    <w:pPr>
      <w:tabs>
        <w:tab w:val="center" w:pos="4513"/>
        <w:tab w:val="right" w:pos="9026"/>
      </w:tabs>
    </w:pPr>
  </w:style>
  <w:style w:type="character" w:customStyle="1" w:styleId="HeaderChar">
    <w:name w:val="Header Char"/>
    <w:link w:val="Header"/>
    <w:uiPriority w:val="99"/>
    <w:rsid w:val="00384C0B"/>
    <w:rPr>
      <w:sz w:val="22"/>
      <w:szCs w:val="22"/>
      <w:lang w:eastAsia="en-US"/>
    </w:rPr>
  </w:style>
  <w:style w:type="paragraph" w:styleId="Footer">
    <w:name w:val="footer"/>
    <w:basedOn w:val="Normal"/>
    <w:link w:val="FooterChar"/>
    <w:uiPriority w:val="99"/>
    <w:unhideWhenUsed/>
    <w:rsid w:val="00384C0B"/>
    <w:pPr>
      <w:tabs>
        <w:tab w:val="center" w:pos="4513"/>
        <w:tab w:val="right" w:pos="9026"/>
      </w:tabs>
    </w:pPr>
  </w:style>
  <w:style w:type="character" w:customStyle="1" w:styleId="FooterChar">
    <w:name w:val="Footer Char"/>
    <w:link w:val="Footer"/>
    <w:uiPriority w:val="99"/>
    <w:rsid w:val="00384C0B"/>
    <w:rPr>
      <w:sz w:val="22"/>
      <w:szCs w:val="22"/>
      <w:lang w:eastAsia="en-US"/>
    </w:rPr>
  </w:style>
  <w:style w:type="paragraph" w:styleId="NormalWeb">
    <w:name w:val="Normal (Web)"/>
    <w:basedOn w:val="Normal"/>
    <w:uiPriority w:val="99"/>
    <w:semiHidden/>
    <w:unhideWhenUsed/>
    <w:rsid w:val="00A23CDF"/>
    <w:pPr>
      <w:spacing w:before="100" w:beforeAutospacing="1" w:after="100" w:afterAutospacing="1" w:line="240" w:lineRule="auto"/>
    </w:pPr>
    <w:rPr>
      <w:rFonts w:ascii="Times New Roman" w:eastAsia="Times New Roman" w:hAnsi="Times New Roman"/>
      <w:sz w:val="24"/>
      <w:szCs w:val="24"/>
      <w:lang w:eastAsia="en-GB"/>
    </w:rPr>
  </w:style>
  <w:style w:type="paragraph" w:styleId="BalloonText">
    <w:name w:val="Balloon Text"/>
    <w:basedOn w:val="Normal"/>
    <w:link w:val="BalloonTextChar"/>
    <w:uiPriority w:val="99"/>
    <w:semiHidden/>
    <w:unhideWhenUsed/>
    <w:rsid w:val="009545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4516"/>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9754">
      <w:bodyDiv w:val="1"/>
      <w:marLeft w:val="0"/>
      <w:marRight w:val="0"/>
      <w:marTop w:val="0"/>
      <w:marBottom w:val="0"/>
      <w:divBdr>
        <w:top w:val="none" w:sz="0" w:space="0" w:color="auto"/>
        <w:left w:val="none" w:sz="0" w:space="0" w:color="auto"/>
        <w:bottom w:val="none" w:sz="0" w:space="0" w:color="auto"/>
        <w:right w:val="none" w:sz="0" w:space="0" w:color="auto"/>
      </w:divBdr>
    </w:div>
    <w:div w:id="1655404937">
      <w:bodyDiv w:val="1"/>
      <w:marLeft w:val="0"/>
      <w:marRight w:val="0"/>
      <w:marTop w:val="0"/>
      <w:marBottom w:val="0"/>
      <w:divBdr>
        <w:top w:val="none" w:sz="0" w:space="0" w:color="auto"/>
        <w:left w:val="none" w:sz="0" w:space="0" w:color="auto"/>
        <w:bottom w:val="none" w:sz="0" w:space="0" w:color="auto"/>
        <w:right w:val="none" w:sz="0" w:space="0" w:color="auto"/>
      </w:divBdr>
    </w:div>
    <w:div w:id="1692029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2018-07-09T14:31:00Z</dcterms:created>
  <dcterms:modified xsi:type="dcterms:W3CDTF">2018-07-09T14:32:00Z</dcterms:modified>
</cp:coreProperties>
</file>