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441F07" w:rsidRDefault="00FE0046" w:rsidP="00933B65">
      <w:pPr>
        <w:jc w:val="center"/>
        <w:rPr>
          <w:rFonts w:ascii="Book Antiqua" w:hAnsi="Book Antiqua" w:cs="Arial"/>
          <w:color w:val="000000"/>
          <w:sz w:val="16"/>
          <w:szCs w:val="16"/>
        </w:rPr>
      </w:pPr>
      <w:r w:rsidRPr="00441F07">
        <w:rPr>
          <w:noProof/>
          <w:sz w:val="16"/>
          <w:szCs w:val="16"/>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441F07" w:rsidRPr="00F97703" w:rsidRDefault="00441F07" w:rsidP="00441F07">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21664" w:rsidRDefault="00933B65" w:rsidP="008A64A7">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w:t>
      </w:r>
      <w:r w:rsidR="00FE061F">
        <w:rPr>
          <w:rFonts w:ascii="Book Antiqua" w:hAnsi="Book Antiqua" w:cs="Arial"/>
          <w:color w:val="000000"/>
        </w:rPr>
        <w:t>o</w:t>
      </w:r>
      <w:r w:rsidRPr="00F97703">
        <w:rPr>
          <w:rFonts w:ascii="Book Antiqua" w:hAnsi="Book Antiqua" w:cs="Arial"/>
          <w:color w:val="000000"/>
        </w:rPr>
        <w:t>:</w:t>
      </w:r>
      <w:bookmarkStart w:id="0" w:name="_GoBack"/>
      <w:bookmarkEnd w:id="0"/>
      <w:r w:rsidRPr="00F97703">
        <w:rPr>
          <w:rFonts w:ascii="Book Antiqua" w:hAnsi="Book Antiqua" w:cs="Arial"/>
          <w:color w:val="000000"/>
        </w:rPr>
        <w:t xml:space="preserve"> </w:t>
      </w:r>
      <w:bookmarkStart w:id="1" w:name="_Hlk523928271"/>
      <w:r w:rsidR="00C272BA">
        <w:rPr>
          <w:rFonts w:ascii="Book Antiqua" w:hAnsi="Book Antiqua" w:cs="Arial"/>
          <w:caps/>
          <w:color w:val="000000"/>
        </w:rPr>
        <w:t>HU</w:t>
      </w:r>
      <w:r w:rsidR="00FE061F">
        <w:rPr>
          <w:rFonts w:ascii="Book Antiqua" w:hAnsi="Book Antiqua" w:cs="Arial"/>
          <w:caps/>
          <w:color w:val="000000"/>
        </w:rPr>
        <w:t>/</w:t>
      </w:r>
      <w:r w:rsidR="00C272BA">
        <w:rPr>
          <w:rFonts w:ascii="Book Antiqua" w:hAnsi="Book Antiqua" w:cs="Arial"/>
          <w:caps/>
          <w:color w:val="000000"/>
        </w:rPr>
        <w:t>18174</w:t>
      </w:r>
      <w:r w:rsidR="00021664">
        <w:rPr>
          <w:rFonts w:ascii="Book Antiqua" w:hAnsi="Book Antiqua" w:cs="Arial"/>
          <w:caps/>
          <w:color w:val="000000"/>
        </w:rPr>
        <w:t>/2016</w:t>
      </w:r>
      <w:bookmarkEnd w:id="1"/>
    </w:p>
    <w:p w:rsidR="00441F07" w:rsidRDefault="00021664" w:rsidP="00E74B48">
      <w:pPr>
        <w:tabs>
          <w:tab w:val="right" w:pos="9720"/>
        </w:tabs>
        <w:ind w:right="-82"/>
        <w:jc w:val="right"/>
        <w:rPr>
          <w:rFonts w:ascii="Book Antiqua" w:hAnsi="Book Antiqua" w:cs="Arial"/>
          <w:caps/>
          <w:color w:val="000000"/>
        </w:rPr>
      </w:pPr>
      <w:r>
        <w:rPr>
          <w:rFonts w:ascii="Book Antiqua" w:hAnsi="Book Antiqua" w:cs="Arial"/>
          <w:caps/>
          <w:color w:val="000000"/>
        </w:rPr>
        <w:t>HU/1</w:t>
      </w:r>
      <w:r w:rsidR="00FE061F">
        <w:rPr>
          <w:rFonts w:ascii="Book Antiqua" w:hAnsi="Book Antiqua" w:cs="Arial"/>
          <w:caps/>
          <w:color w:val="000000"/>
        </w:rPr>
        <w:t>8177</w:t>
      </w:r>
      <w:r>
        <w:rPr>
          <w:rFonts w:ascii="Book Antiqua" w:hAnsi="Book Antiqua" w:cs="Arial"/>
          <w:caps/>
          <w:color w:val="000000"/>
        </w:rPr>
        <w:t>/2016</w:t>
      </w:r>
    </w:p>
    <w:p w:rsidR="00021664" w:rsidRDefault="00021664" w:rsidP="00E74B48">
      <w:pPr>
        <w:tabs>
          <w:tab w:val="right" w:pos="9720"/>
        </w:tabs>
        <w:ind w:right="-82"/>
        <w:jc w:val="right"/>
        <w:rPr>
          <w:rFonts w:ascii="Book Antiqua" w:hAnsi="Book Antiqua" w:cs="Arial"/>
          <w:caps/>
          <w:color w:val="000000"/>
        </w:rPr>
      </w:pPr>
      <w:r>
        <w:rPr>
          <w:rFonts w:ascii="Book Antiqua" w:hAnsi="Book Antiqua" w:cs="Arial"/>
          <w:caps/>
          <w:color w:val="000000"/>
        </w:rPr>
        <w:t>HU/18178/2016</w:t>
      </w:r>
    </w:p>
    <w:p w:rsidR="00933B65" w:rsidRPr="00F97703" w:rsidRDefault="00021664" w:rsidP="00021664">
      <w:pPr>
        <w:tabs>
          <w:tab w:val="right" w:pos="9720"/>
        </w:tabs>
        <w:ind w:right="-82"/>
        <w:jc w:val="right"/>
        <w:rPr>
          <w:rFonts w:ascii="Book Antiqua" w:hAnsi="Book Antiqua" w:cs="Arial"/>
          <w:color w:val="000000"/>
        </w:rPr>
      </w:pPr>
      <w:r>
        <w:rPr>
          <w:rFonts w:ascii="Book Antiqua" w:hAnsi="Book Antiqua" w:cs="Arial"/>
          <w:caps/>
          <w:color w:val="000000"/>
        </w:rPr>
        <w:t>HU/18179/</w:t>
      </w:r>
      <w:r w:rsidR="00FE061F">
        <w:rPr>
          <w:rFonts w:ascii="Book Antiqua" w:hAnsi="Book Antiqua" w:cs="Arial"/>
          <w:caps/>
          <w:color w:val="000000"/>
        </w:rPr>
        <w:t>2016</w:t>
      </w:r>
    </w:p>
    <w:p w:rsidR="00933B65" w:rsidRDefault="00933B65" w:rsidP="00933B65">
      <w:pPr>
        <w:jc w:val="center"/>
        <w:rPr>
          <w:rFonts w:ascii="Book Antiqua" w:hAnsi="Book Antiqua" w:cs="Arial"/>
          <w:color w:val="000000"/>
        </w:rPr>
      </w:pPr>
    </w:p>
    <w:p w:rsidR="00441F07" w:rsidRPr="00F97703" w:rsidRDefault="00441F07"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441F07" w:rsidRPr="00F97703" w:rsidRDefault="00441F07" w:rsidP="00933B65">
      <w:pPr>
        <w:jc w:val="center"/>
        <w:rPr>
          <w:rFonts w:ascii="Book Antiqua" w:hAnsi="Book Antiqua" w:cs="Arial"/>
          <w:b/>
          <w:u w:val="single"/>
        </w:rPr>
      </w:pPr>
    </w:p>
    <w:tbl>
      <w:tblPr>
        <w:tblW w:w="0" w:type="auto"/>
        <w:tblLook w:val="01E0" w:firstRow="1" w:lastRow="1" w:firstColumn="1" w:lastColumn="1" w:noHBand="0" w:noVBand="0"/>
      </w:tblPr>
      <w:tblGrid>
        <w:gridCol w:w="4673"/>
        <w:gridCol w:w="4955"/>
      </w:tblGrid>
      <w:tr w:rsidR="00933B65" w:rsidRPr="002154EF" w:rsidTr="006E229C">
        <w:tc>
          <w:tcPr>
            <w:tcW w:w="4673"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955" w:type="dxa"/>
            <w:shd w:val="clear" w:color="auto" w:fill="auto"/>
          </w:tcPr>
          <w:p w:rsidR="00933B65" w:rsidRPr="002154EF" w:rsidRDefault="006E229C" w:rsidP="002154EF">
            <w:pPr>
              <w:jc w:val="both"/>
              <w:rPr>
                <w:rFonts w:ascii="Book Antiqua" w:hAnsi="Book Antiqua" w:cs="Arial"/>
                <w:b/>
                <w:color w:val="000000"/>
              </w:rPr>
            </w:pPr>
            <w:r>
              <w:rPr>
                <w:rFonts w:ascii="Book Antiqua" w:hAnsi="Book Antiqua" w:cs="Arial"/>
                <w:b/>
                <w:color w:val="000000"/>
              </w:rPr>
              <w:t>Decision &amp; Reasons Promulgated</w:t>
            </w:r>
          </w:p>
        </w:tc>
      </w:tr>
      <w:tr w:rsidR="00933B65" w:rsidRPr="002154EF" w:rsidTr="006E229C">
        <w:tc>
          <w:tcPr>
            <w:tcW w:w="4673" w:type="dxa"/>
            <w:shd w:val="clear" w:color="auto" w:fill="auto"/>
          </w:tcPr>
          <w:p w:rsidR="00933B65" w:rsidRPr="002154EF" w:rsidRDefault="006D2D9A" w:rsidP="002154EF">
            <w:pPr>
              <w:jc w:val="both"/>
              <w:rPr>
                <w:rFonts w:ascii="Book Antiqua" w:hAnsi="Book Antiqua" w:cs="Arial"/>
                <w:b/>
              </w:rPr>
            </w:pPr>
            <w:r w:rsidRPr="002154EF">
              <w:rPr>
                <w:rFonts w:ascii="Book Antiqua" w:hAnsi="Book Antiqua" w:cs="Arial"/>
                <w:b/>
              </w:rPr>
              <w:t>o</w:t>
            </w:r>
            <w:r w:rsidR="00933B65" w:rsidRPr="002154EF">
              <w:rPr>
                <w:rFonts w:ascii="Book Antiqua" w:hAnsi="Book Antiqua" w:cs="Arial"/>
                <w:b/>
              </w:rPr>
              <w:t xml:space="preserve">n </w:t>
            </w:r>
            <w:r w:rsidR="00601A4C">
              <w:rPr>
                <w:rFonts w:ascii="Book Antiqua" w:hAnsi="Book Antiqua" w:cs="Arial"/>
                <w:b/>
              </w:rPr>
              <w:t>31 August 2018</w:t>
            </w:r>
          </w:p>
        </w:tc>
        <w:tc>
          <w:tcPr>
            <w:tcW w:w="4955" w:type="dxa"/>
            <w:shd w:val="clear" w:color="auto" w:fill="auto"/>
          </w:tcPr>
          <w:p w:rsidR="00933B65" w:rsidRPr="002154EF" w:rsidRDefault="006E229C" w:rsidP="002154EF">
            <w:pPr>
              <w:jc w:val="both"/>
              <w:rPr>
                <w:rFonts w:ascii="Book Antiqua" w:hAnsi="Book Antiqua" w:cs="Arial"/>
                <w:b/>
              </w:rPr>
            </w:pPr>
            <w:r>
              <w:rPr>
                <w:rFonts w:ascii="Book Antiqua" w:hAnsi="Book Antiqua" w:cs="Arial"/>
                <w:b/>
              </w:rPr>
              <w:t>on 6 September 2018</w:t>
            </w:r>
          </w:p>
        </w:tc>
      </w:tr>
      <w:tr w:rsidR="00933B65" w:rsidRPr="002154EF" w:rsidTr="006E229C">
        <w:tc>
          <w:tcPr>
            <w:tcW w:w="4673" w:type="dxa"/>
            <w:shd w:val="clear" w:color="auto" w:fill="auto"/>
          </w:tcPr>
          <w:p w:rsidR="00933B65" w:rsidRPr="002154EF" w:rsidRDefault="00933B65" w:rsidP="002154EF">
            <w:pPr>
              <w:jc w:val="both"/>
              <w:rPr>
                <w:rFonts w:ascii="Book Antiqua" w:hAnsi="Book Antiqua" w:cs="Arial"/>
                <w:b/>
              </w:rPr>
            </w:pPr>
          </w:p>
        </w:tc>
        <w:tc>
          <w:tcPr>
            <w:tcW w:w="4955" w:type="dxa"/>
            <w:shd w:val="clear" w:color="auto" w:fill="auto"/>
          </w:tcPr>
          <w:p w:rsidR="00933B65" w:rsidRPr="002154EF" w:rsidRDefault="00933B65" w:rsidP="002154EF">
            <w:pPr>
              <w:jc w:val="both"/>
              <w:rPr>
                <w:rFonts w:ascii="Book Antiqua" w:hAnsi="Book Antiqua" w:cs="Arial"/>
                <w:b/>
              </w:rPr>
            </w:pPr>
          </w:p>
        </w:tc>
      </w:tr>
    </w:tbl>
    <w:p w:rsidR="0087111D" w:rsidRDefault="0087111D"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Default="00933B65" w:rsidP="00933B65">
      <w:pPr>
        <w:jc w:val="center"/>
        <w:rPr>
          <w:rFonts w:ascii="Book Antiqua" w:hAnsi="Book Antiqua" w:cs="Arial"/>
          <w:b/>
        </w:rPr>
      </w:pPr>
    </w:p>
    <w:p w:rsidR="0087111D" w:rsidRPr="00F97703" w:rsidRDefault="0087111D"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601A4C" w:rsidP="00933B65">
      <w:pPr>
        <w:jc w:val="center"/>
        <w:rPr>
          <w:rFonts w:ascii="Book Antiqua" w:hAnsi="Book Antiqua" w:cs="Arial"/>
          <w:b/>
        </w:rPr>
      </w:pPr>
      <w:r>
        <w:rPr>
          <w:rFonts w:ascii="Book Antiqua" w:hAnsi="Book Antiqua" w:cs="Arial"/>
          <w:b/>
        </w:rPr>
        <w:t>PRITI CHOUHAN</w:t>
      </w:r>
      <w:r w:rsidR="00150DB6">
        <w:rPr>
          <w:rFonts w:ascii="Book Antiqua" w:hAnsi="Book Antiqua" w:cs="Arial"/>
          <w:b/>
        </w:rPr>
        <w:t xml:space="preserve"> and others</w:t>
      </w:r>
      <w:r w:rsidR="008B5B9B">
        <w:rPr>
          <w:rFonts w:ascii="Book Antiqua" w:hAnsi="Book Antiqua" w:cs="Arial"/>
          <w:b/>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150DB6">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2"/>
    </w:p>
    <w:p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rPr>
      </w:pPr>
    </w:p>
    <w:p w:rsidR="00441F07" w:rsidRDefault="00441F07" w:rsidP="00933B65">
      <w:pPr>
        <w:rPr>
          <w:rFonts w:ascii="Book Antiqua" w:hAnsi="Book Antiqua" w:cs="Arial"/>
        </w:rPr>
      </w:pPr>
    </w:p>
    <w:p w:rsidR="00441F07" w:rsidRPr="00441F07" w:rsidRDefault="00441F07" w:rsidP="00933B65">
      <w:pPr>
        <w:rPr>
          <w:rFonts w:ascii="Book Antiqua" w:hAnsi="Book Antiqua" w:cs="Arial"/>
          <w:u w:val="single"/>
        </w:rPr>
      </w:pPr>
      <w:r w:rsidRPr="00441F07">
        <w:rPr>
          <w:rFonts w:ascii="Book Antiqua" w:hAnsi="Book Antiqua" w:cs="Arial"/>
          <w:u w:val="single"/>
        </w:rPr>
        <w:t>Representation:</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00C236BA">
        <w:rPr>
          <w:rFonts w:ascii="Book Antiqua" w:hAnsi="Book Antiqua" w:cs="Arial"/>
        </w:rPr>
        <w:t xml:space="preserve">        Miss L Irvine, Advocate, instructed by </w:t>
      </w:r>
      <w:r w:rsidR="00150DB6">
        <w:rPr>
          <w:rFonts w:ascii="Book Antiqua" w:hAnsi="Book Antiqua" w:cs="Arial"/>
        </w:rPr>
        <w:t xml:space="preserve">Drummond Miller, </w:t>
      </w:r>
      <w:r w:rsidR="003D7D3D">
        <w:rPr>
          <w:rFonts w:ascii="Book Antiqua" w:hAnsi="Book Antiqua" w:cs="Arial"/>
        </w:rPr>
        <w:t>Solicitors</w:t>
      </w:r>
    </w:p>
    <w:p w:rsidR="00933B65" w:rsidRPr="00F97703" w:rsidRDefault="00933B65" w:rsidP="008A64A7">
      <w:pPr>
        <w:tabs>
          <w:tab w:val="left" w:pos="2520"/>
        </w:tabs>
        <w:rPr>
          <w:rFonts w:ascii="Book Antiqua" w:hAnsi="Book Antiqua" w:cs="Arial"/>
        </w:rPr>
      </w:pPr>
      <w:r w:rsidRPr="00F97703">
        <w:rPr>
          <w:rFonts w:ascii="Book Antiqua" w:hAnsi="Book Antiqua" w:cs="Arial"/>
        </w:rPr>
        <w:t>For the Respondent:</w:t>
      </w:r>
      <w:r w:rsidR="00C236BA">
        <w:rPr>
          <w:rFonts w:ascii="Book Antiqua" w:hAnsi="Book Antiqua" w:cs="Arial"/>
        </w:rPr>
        <w:t xml:space="preserve">     Mrs M O’Brien, </w:t>
      </w:r>
      <w:r w:rsidR="003D7D3D">
        <w:rPr>
          <w:rFonts w:ascii="Book Antiqua" w:hAnsi="Book Antiqua" w:cs="Arial"/>
        </w:rPr>
        <w:t>Senior</w:t>
      </w:r>
      <w:r>
        <w:rPr>
          <w:rFonts w:ascii="Book Antiqua" w:hAnsi="Book Antiqua" w:cs="Arial"/>
        </w:rPr>
        <w:t xml:space="preserve"> Home Office Presenting Officer</w:t>
      </w:r>
    </w:p>
    <w:p w:rsidR="00933B65" w:rsidRDefault="00933B65" w:rsidP="00933B65">
      <w:pPr>
        <w:tabs>
          <w:tab w:val="left" w:pos="2520"/>
        </w:tabs>
        <w:jc w:val="center"/>
        <w:rPr>
          <w:rFonts w:ascii="Book Antiqua" w:hAnsi="Book Antiqua" w:cs="Arial"/>
        </w:rPr>
      </w:pPr>
    </w:p>
    <w:p w:rsidR="00441F07" w:rsidRPr="00F97703" w:rsidRDefault="00441F07" w:rsidP="00933B65">
      <w:pPr>
        <w:tabs>
          <w:tab w:val="left" w:pos="2520"/>
        </w:tabs>
        <w:jc w:val="center"/>
        <w:rPr>
          <w:rFonts w:ascii="Book Antiqua" w:hAnsi="Book Antiqua" w:cs="Arial"/>
        </w:rPr>
      </w:pPr>
    </w:p>
    <w:p w:rsidR="00321C6F" w:rsidRPr="002B54F9" w:rsidRDefault="00933B65" w:rsidP="00734D2D">
      <w:pPr>
        <w:tabs>
          <w:tab w:val="left" w:pos="2520"/>
        </w:tabs>
        <w:jc w:val="center"/>
        <w:rPr>
          <w:rFonts w:ascii="Book Antiqua" w:hAnsi="Book Antiqua" w:cs="Arial"/>
          <w:sz w:val="20"/>
          <w:szCs w:val="20"/>
        </w:rPr>
      </w:pPr>
      <w:r w:rsidRPr="00F97703">
        <w:rPr>
          <w:rFonts w:ascii="Book Antiqua" w:hAnsi="Book Antiqua" w:cs="Arial"/>
          <w:b/>
          <w:u w:val="single"/>
        </w:rPr>
        <w:t>DETERMINATION AND REASONS</w:t>
      </w:r>
    </w:p>
    <w:p w:rsidR="004A45A6" w:rsidRDefault="00866439" w:rsidP="00441F07">
      <w:pPr>
        <w:numPr>
          <w:ilvl w:val="0"/>
          <w:numId w:val="2"/>
        </w:numPr>
        <w:spacing w:before="240"/>
        <w:ind w:left="1134" w:right="567"/>
        <w:jc w:val="both"/>
        <w:rPr>
          <w:rFonts w:ascii="Book Antiqua" w:hAnsi="Book Antiqua" w:cs="Arial"/>
        </w:rPr>
      </w:pPr>
      <w:r>
        <w:rPr>
          <w:rFonts w:ascii="Book Antiqua" w:hAnsi="Book Antiqua" w:cs="Arial"/>
        </w:rPr>
        <w:t xml:space="preserve">FtT Judge David </w:t>
      </w:r>
      <w:r w:rsidR="00A607C7">
        <w:rPr>
          <w:rFonts w:ascii="Book Antiqua" w:hAnsi="Book Antiqua" w:cs="Arial"/>
        </w:rPr>
        <w:t>C</w:t>
      </w:r>
      <w:r>
        <w:rPr>
          <w:rFonts w:ascii="Book Antiqua" w:hAnsi="Book Antiqua" w:cs="Arial"/>
        </w:rPr>
        <w:t xml:space="preserve"> Clapham </w:t>
      </w:r>
      <w:r w:rsidR="00A607C7">
        <w:rPr>
          <w:rFonts w:ascii="Book Antiqua" w:hAnsi="Book Antiqua" w:cs="Arial"/>
        </w:rPr>
        <w:t xml:space="preserve">SSC </w:t>
      </w:r>
      <w:r>
        <w:rPr>
          <w:rFonts w:ascii="Book Antiqua" w:hAnsi="Book Antiqua" w:cs="Arial"/>
        </w:rPr>
        <w:t>dismissed the appellant</w:t>
      </w:r>
      <w:r w:rsidR="00A607C7">
        <w:rPr>
          <w:rFonts w:ascii="Book Antiqua" w:hAnsi="Book Antiqua" w:cs="Arial"/>
        </w:rPr>
        <w:t>s’</w:t>
      </w:r>
      <w:r>
        <w:rPr>
          <w:rFonts w:ascii="Book Antiqua" w:hAnsi="Book Antiqua" w:cs="Arial"/>
        </w:rPr>
        <w:t xml:space="preserve"> appeal</w:t>
      </w:r>
      <w:r w:rsidR="00A607C7">
        <w:rPr>
          <w:rFonts w:ascii="Book Antiqua" w:hAnsi="Book Antiqua" w:cs="Arial"/>
        </w:rPr>
        <w:t>s</w:t>
      </w:r>
      <w:r>
        <w:rPr>
          <w:rFonts w:ascii="Book Antiqua" w:hAnsi="Book Antiqua" w:cs="Arial"/>
        </w:rPr>
        <w:t xml:space="preserve"> for reasons given in </w:t>
      </w:r>
      <w:r w:rsidR="004A45A6">
        <w:rPr>
          <w:rFonts w:ascii="Book Antiqua" w:hAnsi="Book Antiqua" w:cs="Arial"/>
        </w:rPr>
        <w:t>his decision promulgated on 13 February 2018.</w:t>
      </w:r>
    </w:p>
    <w:p w:rsidR="00F125AD" w:rsidRPr="00654EC6" w:rsidRDefault="00E61235" w:rsidP="00441F07">
      <w:pPr>
        <w:numPr>
          <w:ilvl w:val="0"/>
          <w:numId w:val="2"/>
        </w:numPr>
        <w:spacing w:before="240"/>
        <w:ind w:left="1134" w:right="567"/>
        <w:jc w:val="both"/>
        <w:rPr>
          <w:rFonts w:ascii="Book Antiqua" w:hAnsi="Book Antiqua"/>
        </w:rPr>
      </w:pPr>
      <w:r w:rsidRPr="00375C1E">
        <w:rPr>
          <w:rFonts w:ascii="Book Antiqua" w:hAnsi="Book Antiqua" w:cs="Arial"/>
        </w:rPr>
        <w:t xml:space="preserve">The </w:t>
      </w:r>
      <w:r w:rsidR="004A45A6" w:rsidRPr="00375C1E">
        <w:rPr>
          <w:rFonts w:ascii="Book Antiqua" w:hAnsi="Book Antiqua" w:cs="Arial"/>
        </w:rPr>
        <w:t>appellant</w:t>
      </w:r>
      <w:r w:rsidR="00A607C7">
        <w:rPr>
          <w:rFonts w:ascii="Book Antiqua" w:hAnsi="Book Antiqua" w:cs="Arial"/>
        </w:rPr>
        <w:t>s have</w:t>
      </w:r>
      <w:r w:rsidR="004A45A6" w:rsidRPr="00375C1E">
        <w:rPr>
          <w:rFonts w:ascii="Book Antiqua" w:hAnsi="Book Antiqua" w:cs="Arial"/>
        </w:rPr>
        <w:t xml:space="preserve"> permission to appeal to the UT </w:t>
      </w:r>
      <w:r w:rsidR="00D55F7C" w:rsidRPr="00375C1E">
        <w:rPr>
          <w:rFonts w:ascii="Book Antiqua" w:hAnsi="Book Antiqua" w:cs="Arial"/>
        </w:rPr>
        <w:t xml:space="preserve">on the grounds set out at section C of </w:t>
      </w:r>
      <w:r w:rsidR="00A607C7">
        <w:rPr>
          <w:rFonts w:ascii="Book Antiqua" w:hAnsi="Book Antiqua" w:cs="Arial"/>
        </w:rPr>
        <w:t xml:space="preserve">their </w:t>
      </w:r>
      <w:r w:rsidR="00D55F7C" w:rsidRPr="00375C1E">
        <w:rPr>
          <w:rFonts w:ascii="Book Antiqua" w:hAnsi="Book Antiqua" w:cs="Arial"/>
        </w:rPr>
        <w:t xml:space="preserve">application </w:t>
      </w:r>
      <w:r w:rsidR="0001735A" w:rsidRPr="00375C1E">
        <w:rPr>
          <w:rFonts w:ascii="Book Antiqua" w:hAnsi="Book Antiqua" w:cs="Arial"/>
        </w:rPr>
        <w:t xml:space="preserve">dated </w:t>
      </w:r>
      <w:r w:rsidRPr="00375C1E">
        <w:rPr>
          <w:rFonts w:ascii="Book Antiqua" w:hAnsi="Book Antiqua" w:cs="Arial"/>
        </w:rPr>
        <w:t>26 February 2018.</w:t>
      </w:r>
    </w:p>
    <w:p w:rsidR="006E229C" w:rsidRDefault="004A61CB" w:rsidP="00441F07">
      <w:pPr>
        <w:numPr>
          <w:ilvl w:val="0"/>
          <w:numId w:val="2"/>
        </w:numPr>
        <w:spacing w:before="240"/>
        <w:ind w:left="1134" w:right="567"/>
        <w:jc w:val="both"/>
        <w:rPr>
          <w:rFonts w:ascii="Book Antiqua" w:hAnsi="Book Antiqua"/>
        </w:rPr>
      </w:pPr>
      <w:r>
        <w:rPr>
          <w:rFonts w:ascii="Book Antiqua" w:hAnsi="Book Antiqua"/>
        </w:rPr>
        <w:t>Miss Irvine provided a note of argument, which is on the file, and made further submissions.</w:t>
      </w:r>
      <w:r w:rsidR="00F150EE">
        <w:rPr>
          <w:rFonts w:ascii="Book Antiqua" w:hAnsi="Book Antiqua"/>
        </w:rPr>
        <w:t xml:space="preserve">  </w:t>
      </w:r>
      <w:r w:rsidR="00E01970">
        <w:rPr>
          <w:rFonts w:ascii="Book Antiqua" w:hAnsi="Book Antiqua"/>
        </w:rPr>
        <w:t>As matters have developed, it is unnecessary to set these out in full detail.</w:t>
      </w:r>
    </w:p>
    <w:p w:rsidR="002F35B1" w:rsidRDefault="00F150EE" w:rsidP="00441F07">
      <w:pPr>
        <w:numPr>
          <w:ilvl w:val="0"/>
          <w:numId w:val="2"/>
        </w:numPr>
        <w:spacing w:before="240"/>
        <w:ind w:left="1134" w:right="567"/>
        <w:jc w:val="both"/>
        <w:rPr>
          <w:rFonts w:ascii="Book Antiqua" w:hAnsi="Book Antiqua"/>
        </w:rPr>
      </w:pPr>
      <w:r>
        <w:rPr>
          <w:rFonts w:ascii="Book Antiqua" w:hAnsi="Book Antiqua"/>
        </w:rPr>
        <w:t>On the first ground, error regarding the best interests of the children,</w:t>
      </w:r>
      <w:r w:rsidR="00E650E5">
        <w:rPr>
          <w:rFonts w:ascii="Book Antiqua" w:hAnsi="Book Antiqua"/>
        </w:rPr>
        <w:t xml:space="preserve"> </w:t>
      </w:r>
      <w:r w:rsidR="00D83CA9">
        <w:rPr>
          <w:rFonts w:ascii="Book Antiqua" w:hAnsi="Book Antiqua"/>
        </w:rPr>
        <w:t>it was</w:t>
      </w:r>
      <w:r w:rsidR="00E650E5">
        <w:rPr>
          <w:rFonts w:ascii="Book Antiqua" w:hAnsi="Book Antiqua"/>
        </w:rPr>
        <w:t xml:space="preserve"> argued that </w:t>
      </w:r>
      <w:r w:rsidR="00A97644">
        <w:rPr>
          <w:rFonts w:ascii="Book Antiqua" w:hAnsi="Book Antiqua"/>
        </w:rPr>
        <w:t xml:space="preserve">not only were no express findings made, the matter was not </w:t>
      </w:r>
      <w:r w:rsidR="00C0563E">
        <w:rPr>
          <w:rFonts w:ascii="Book Antiqua" w:hAnsi="Book Antiqua"/>
        </w:rPr>
        <w:t>consi</w:t>
      </w:r>
      <w:r w:rsidR="00A97644">
        <w:rPr>
          <w:rFonts w:ascii="Book Antiqua" w:hAnsi="Book Antiqua"/>
        </w:rPr>
        <w:t>dered</w:t>
      </w:r>
      <w:r w:rsidR="00C0563E">
        <w:rPr>
          <w:rFonts w:ascii="Book Antiqua" w:hAnsi="Book Antiqua"/>
        </w:rPr>
        <w:t xml:space="preserve">.  </w:t>
      </w:r>
      <w:r w:rsidR="009E34AD">
        <w:rPr>
          <w:rFonts w:ascii="Book Antiqua" w:hAnsi="Book Antiqua"/>
        </w:rPr>
        <w:t xml:space="preserve">At best, there was reference to education, but that was </w:t>
      </w:r>
      <w:r w:rsidR="002F35B1">
        <w:rPr>
          <w:rFonts w:ascii="Book Antiqua" w:hAnsi="Book Antiqua"/>
        </w:rPr>
        <w:t>just</w:t>
      </w:r>
      <w:r w:rsidR="009E34AD">
        <w:rPr>
          <w:rFonts w:ascii="Book Antiqua" w:hAnsi="Book Antiqua"/>
        </w:rPr>
        <w:t xml:space="preserve"> one aspect</w:t>
      </w:r>
      <w:r w:rsidR="00C35C03">
        <w:rPr>
          <w:rFonts w:ascii="Book Antiqua" w:hAnsi="Book Antiqua"/>
        </w:rPr>
        <w:t xml:space="preserve">; </w:t>
      </w:r>
      <w:r w:rsidR="00C35C03" w:rsidRPr="002F35B1">
        <w:rPr>
          <w:rFonts w:ascii="Book Antiqua" w:hAnsi="Book Antiqua"/>
          <w:i/>
        </w:rPr>
        <w:t>cf</w:t>
      </w:r>
      <w:r w:rsidR="00C35C03">
        <w:rPr>
          <w:rFonts w:ascii="Book Antiqua" w:hAnsi="Book Antiqua"/>
        </w:rPr>
        <w:t xml:space="preserve">. the UN Committee on the </w:t>
      </w:r>
      <w:r w:rsidR="00361443">
        <w:rPr>
          <w:rFonts w:ascii="Book Antiqua" w:hAnsi="Book Antiqua"/>
        </w:rPr>
        <w:t>Rights</w:t>
      </w:r>
      <w:r w:rsidR="00C35C03">
        <w:rPr>
          <w:rFonts w:ascii="Book Antiqua" w:hAnsi="Book Antiqua"/>
        </w:rPr>
        <w:t xml:space="preserve"> of </w:t>
      </w:r>
      <w:r w:rsidR="00361443">
        <w:rPr>
          <w:rFonts w:ascii="Book Antiqua" w:hAnsi="Book Antiqua"/>
        </w:rPr>
        <w:t>Children</w:t>
      </w:r>
      <w:r w:rsidR="002960CF">
        <w:rPr>
          <w:rFonts w:ascii="Book Antiqua" w:hAnsi="Book Antiqua"/>
        </w:rPr>
        <w:t xml:space="preserve">, </w:t>
      </w:r>
      <w:r w:rsidR="00361443">
        <w:rPr>
          <w:rFonts w:ascii="Book Antiqua" w:hAnsi="Book Antiqua"/>
        </w:rPr>
        <w:t>General comment no 14 (2013), “</w:t>
      </w:r>
      <w:r w:rsidR="002960CF">
        <w:rPr>
          <w:rFonts w:ascii="Book Antiqua" w:hAnsi="Book Antiqua"/>
        </w:rPr>
        <w:t>best interests as a primary consideration</w:t>
      </w:r>
      <w:r w:rsidR="00361443">
        <w:rPr>
          <w:rFonts w:ascii="Book Antiqua" w:hAnsi="Book Antiqua"/>
        </w:rPr>
        <w:t>”</w:t>
      </w:r>
      <w:r w:rsidR="002960CF">
        <w:rPr>
          <w:rFonts w:ascii="Book Antiqua" w:hAnsi="Book Antiqua"/>
        </w:rPr>
        <w:t xml:space="preserve">, </w:t>
      </w:r>
      <w:r w:rsidR="00AB4F4F">
        <w:rPr>
          <w:rFonts w:ascii="Book Antiqua" w:hAnsi="Book Antiqua"/>
        </w:rPr>
        <w:t xml:space="preserve">elements to be taken into account, beginning with </w:t>
      </w:r>
      <w:r w:rsidR="005E5FC7">
        <w:rPr>
          <w:rFonts w:ascii="Book Antiqua" w:hAnsi="Book Antiqua"/>
        </w:rPr>
        <w:t xml:space="preserve">(a) </w:t>
      </w:r>
      <w:r w:rsidR="00AB4F4F">
        <w:rPr>
          <w:rFonts w:ascii="Book Antiqua" w:hAnsi="Book Antiqua"/>
        </w:rPr>
        <w:t>the child’s views</w:t>
      </w:r>
      <w:r w:rsidR="00074940">
        <w:rPr>
          <w:rFonts w:ascii="Book Antiqua" w:hAnsi="Book Antiqua"/>
        </w:rPr>
        <w:t>,</w:t>
      </w:r>
      <w:r w:rsidR="00AB4F4F">
        <w:rPr>
          <w:rFonts w:ascii="Book Antiqua" w:hAnsi="Book Antiqua"/>
        </w:rPr>
        <w:t xml:space="preserve"> ending </w:t>
      </w:r>
      <w:r w:rsidR="00A230CE">
        <w:rPr>
          <w:rFonts w:ascii="Book Antiqua" w:hAnsi="Book Antiqua"/>
        </w:rPr>
        <w:t>with</w:t>
      </w:r>
      <w:r w:rsidR="00AB4F4F">
        <w:rPr>
          <w:rFonts w:ascii="Book Antiqua" w:hAnsi="Book Antiqua"/>
        </w:rPr>
        <w:t xml:space="preserve"> </w:t>
      </w:r>
      <w:r w:rsidR="005E5FC7">
        <w:rPr>
          <w:rFonts w:ascii="Book Antiqua" w:hAnsi="Book Antiqua"/>
        </w:rPr>
        <w:t xml:space="preserve">(g) </w:t>
      </w:r>
      <w:r w:rsidR="00D83CA9">
        <w:rPr>
          <w:rFonts w:ascii="Book Antiqua" w:hAnsi="Book Antiqua"/>
        </w:rPr>
        <w:t>the right to education</w:t>
      </w:r>
      <w:r w:rsidR="00074940">
        <w:rPr>
          <w:rFonts w:ascii="Book Antiqua" w:hAnsi="Book Antiqua"/>
        </w:rPr>
        <w:t xml:space="preserve">, and </w:t>
      </w:r>
      <w:r w:rsidR="005E5FC7">
        <w:rPr>
          <w:rFonts w:ascii="Book Antiqua" w:hAnsi="Book Antiqua"/>
        </w:rPr>
        <w:t>not intended as a comprehensive list</w:t>
      </w:r>
      <w:r w:rsidR="00D83CA9">
        <w:rPr>
          <w:rFonts w:ascii="Book Antiqua" w:hAnsi="Book Antiqua"/>
        </w:rPr>
        <w:t>.</w:t>
      </w:r>
    </w:p>
    <w:p w:rsidR="00654EC6" w:rsidRPr="00654EC6" w:rsidRDefault="00C0563E" w:rsidP="00441F07">
      <w:pPr>
        <w:numPr>
          <w:ilvl w:val="0"/>
          <w:numId w:val="2"/>
        </w:numPr>
        <w:spacing w:before="240"/>
        <w:ind w:left="1134" w:right="567"/>
        <w:jc w:val="both"/>
        <w:rPr>
          <w:rFonts w:ascii="Book Antiqua" w:hAnsi="Book Antiqua"/>
        </w:rPr>
      </w:pPr>
      <w:r>
        <w:rPr>
          <w:rFonts w:ascii="Book Antiqua" w:hAnsi="Book Antiqua"/>
        </w:rPr>
        <w:t>On the second ground</w:t>
      </w:r>
      <w:r w:rsidR="002F4AAD">
        <w:rPr>
          <w:rFonts w:ascii="Book Antiqua" w:hAnsi="Book Antiqua"/>
        </w:rPr>
        <w:t xml:space="preserve"> is</w:t>
      </w:r>
      <w:r>
        <w:rPr>
          <w:rFonts w:ascii="Book Antiqua" w:hAnsi="Book Antiqua"/>
        </w:rPr>
        <w:t xml:space="preserve"> error regarding proportionality</w:t>
      </w:r>
      <w:r w:rsidR="002F4AAD">
        <w:rPr>
          <w:rFonts w:ascii="Book Antiqua" w:hAnsi="Book Antiqua"/>
        </w:rPr>
        <w:t>.  I</w:t>
      </w:r>
      <w:r w:rsidR="000E56CF">
        <w:rPr>
          <w:rFonts w:ascii="Book Antiqua" w:hAnsi="Book Antiqua"/>
        </w:rPr>
        <w:t>t was</w:t>
      </w:r>
      <w:r w:rsidR="00BF777F">
        <w:rPr>
          <w:rFonts w:ascii="Book Antiqua" w:hAnsi="Book Antiqua"/>
        </w:rPr>
        <w:t xml:space="preserve"> argued that could only be considered </w:t>
      </w:r>
      <w:r w:rsidR="00E42187">
        <w:rPr>
          <w:rFonts w:ascii="Book Antiqua" w:hAnsi="Book Antiqua"/>
        </w:rPr>
        <w:t xml:space="preserve">once a </w:t>
      </w:r>
      <w:r w:rsidR="00EB1BEC">
        <w:rPr>
          <w:rFonts w:ascii="Book Antiqua" w:hAnsi="Book Antiqua"/>
        </w:rPr>
        <w:t>“</w:t>
      </w:r>
      <w:r w:rsidR="00E42187">
        <w:rPr>
          <w:rFonts w:ascii="Book Antiqua" w:hAnsi="Book Antiqua"/>
        </w:rPr>
        <w:t>best interests</w:t>
      </w:r>
      <w:r w:rsidR="00EB1BEC">
        <w:rPr>
          <w:rFonts w:ascii="Book Antiqua" w:hAnsi="Book Antiqua"/>
        </w:rPr>
        <w:t>”</w:t>
      </w:r>
      <w:r w:rsidR="00E42187">
        <w:rPr>
          <w:rFonts w:ascii="Book Antiqua" w:hAnsi="Book Antiqua"/>
        </w:rPr>
        <w:t xml:space="preserve"> analysis had been </w:t>
      </w:r>
      <w:r w:rsidR="000E56CF">
        <w:rPr>
          <w:rFonts w:ascii="Book Antiqua" w:hAnsi="Book Antiqua"/>
        </w:rPr>
        <w:t>made</w:t>
      </w:r>
      <w:r w:rsidR="002D3BF9">
        <w:rPr>
          <w:rFonts w:ascii="Book Antiqua" w:hAnsi="Book Antiqua"/>
        </w:rPr>
        <w:t>, and that the judge, as suggested in the grant of permission, did not make any proportionality assessment</w:t>
      </w:r>
      <w:r w:rsidR="002F4AAD">
        <w:rPr>
          <w:rFonts w:ascii="Book Antiqua" w:hAnsi="Book Antiqua"/>
        </w:rPr>
        <w:t>.  Rather, he</w:t>
      </w:r>
      <w:r w:rsidR="00AF2BDF">
        <w:rPr>
          <w:rFonts w:ascii="Book Antiqua" w:hAnsi="Book Antiqua"/>
        </w:rPr>
        <w:t xml:space="preserve"> treated</w:t>
      </w:r>
      <w:r w:rsidR="0044451C">
        <w:rPr>
          <w:rFonts w:ascii="Book Antiqua" w:hAnsi="Book Antiqua"/>
        </w:rPr>
        <w:t xml:space="preserve"> the rules as </w:t>
      </w:r>
      <w:r w:rsidR="000D4021">
        <w:rPr>
          <w:rFonts w:ascii="Book Antiqua" w:hAnsi="Book Antiqua"/>
        </w:rPr>
        <w:t>inherently more significant than</w:t>
      </w:r>
      <w:r w:rsidR="00E16B21">
        <w:rPr>
          <w:rFonts w:ascii="Book Antiqua" w:hAnsi="Book Antiqua"/>
        </w:rPr>
        <w:t xml:space="preserve"> the inte</w:t>
      </w:r>
      <w:r w:rsidR="009758D2">
        <w:rPr>
          <w:rFonts w:ascii="Book Antiqua" w:hAnsi="Book Antiqua"/>
        </w:rPr>
        <w:t>rests</w:t>
      </w:r>
      <w:r w:rsidR="00E16B21">
        <w:rPr>
          <w:rFonts w:ascii="Book Antiqua" w:hAnsi="Book Antiqua"/>
        </w:rPr>
        <w:t xml:space="preserve"> of the children</w:t>
      </w:r>
      <w:r w:rsidR="000D4021">
        <w:rPr>
          <w:rFonts w:ascii="Book Antiqua" w:hAnsi="Book Antiqua"/>
        </w:rPr>
        <w:t>.</w:t>
      </w:r>
      <w:r w:rsidR="00E16B21">
        <w:rPr>
          <w:rFonts w:ascii="Book Antiqua" w:hAnsi="Book Antiqua"/>
        </w:rPr>
        <w:t xml:space="preserve"> </w:t>
      </w:r>
      <w:r w:rsidR="002D3BF9">
        <w:rPr>
          <w:rFonts w:ascii="Book Antiqua" w:hAnsi="Book Antiqua"/>
        </w:rPr>
        <w:t xml:space="preserve">  </w:t>
      </w:r>
      <w:r w:rsidR="00F150EE">
        <w:rPr>
          <w:rFonts w:ascii="Book Antiqua" w:hAnsi="Book Antiqua"/>
        </w:rPr>
        <w:t xml:space="preserve"> </w:t>
      </w:r>
    </w:p>
    <w:p w:rsidR="003844C5" w:rsidRDefault="00654EC6" w:rsidP="00441F07">
      <w:pPr>
        <w:numPr>
          <w:ilvl w:val="0"/>
          <w:numId w:val="2"/>
        </w:numPr>
        <w:spacing w:before="240"/>
        <w:ind w:left="1134" w:right="567"/>
        <w:jc w:val="both"/>
        <w:rPr>
          <w:rFonts w:ascii="Book Antiqua" w:hAnsi="Book Antiqua"/>
        </w:rPr>
      </w:pPr>
      <w:r>
        <w:rPr>
          <w:rFonts w:ascii="Book Antiqua" w:hAnsi="Book Antiqua"/>
        </w:rPr>
        <w:t>Mrs O’Brien in reply said that</w:t>
      </w:r>
      <w:r w:rsidR="00E178B6">
        <w:rPr>
          <w:rFonts w:ascii="Book Antiqua" w:hAnsi="Book Antiqua"/>
        </w:rPr>
        <w:t xml:space="preserve"> although her view had been initially that the decision, although compressed, was defensible, </w:t>
      </w:r>
      <w:r w:rsidR="002C03F9">
        <w:rPr>
          <w:rFonts w:ascii="Book Antiqua" w:hAnsi="Book Antiqua"/>
        </w:rPr>
        <w:t xml:space="preserve">after considering the note and the submissions it </w:t>
      </w:r>
      <w:r w:rsidR="007C2CD6">
        <w:rPr>
          <w:rFonts w:ascii="Book Antiqua" w:hAnsi="Book Antiqua"/>
        </w:rPr>
        <w:t>had</w:t>
      </w:r>
      <w:r w:rsidR="002C03F9">
        <w:rPr>
          <w:rFonts w:ascii="Book Antiqua" w:hAnsi="Book Antiqua"/>
        </w:rPr>
        <w:t xml:space="preserve"> to </w:t>
      </w:r>
      <w:r w:rsidR="00084A93">
        <w:rPr>
          <w:rFonts w:ascii="Book Antiqua" w:hAnsi="Book Antiqua"/>
        </w:rPr>
        <w:t>be</w:t>
      </w:r>
      <w:r w:rsidR="002C03F9">
        <w:rPr>
          <w:rFonts w:ascii="Book Antiqua" w:hAnsi="Book Antiqua"/>
        </w:rPr>
        <w:t xml:space="preserve"> conceded that there were problems, in particular </w:t>
      </w:r>
      <w:r w:rsidR="007C2CD6">
        <w:rPr>
          <w:rFonts w:ascii="Book Antiqua" w:hAnsi="Book Antiqua"/>
        </w:rPr>
        <w:t>i</w:t>
      </w:r>
      <w:r w:rsidR="002C03F9">
        <w:rPr>
          <w:rFonts w:ascii="Book Antiqua" w:hAnsi="Book Antiqua"/>
        </w:rPr>
        <w:t xml:space="preserve">n </w:t>
      </w:r>
      <w:r w:rsidR="007C2CD6">
        <w:rPr>
          <w:rFonts w:ascii="Book Antiqua" w:hAnsi="Book Antiqua"/>
        </w:rPr>
        <w:t>terms of the proportionality assessment, or absence of one.</w:t>
      </w:r>
    </w:p>
    <w:p w:rsidR="00E93A43" w:rsidRDefault="00E93A43" w:rsidP="00441F07">
      <w:pPr>
        <w:numPr>
          <w:ilvl w:val="0"/>
          <w:numId w:val="2"/>
        </w:numPr>
        <w:spacing w:before="240"/>
        <w:ind w:left="1134" w:right="567"/>
        <w:jc w:val="both"/>
        <w:rPr>
          <w:rFonts w:ascii="Book Antiqua" w:hAnsi="Book Antiqua"/>
        </w:rPr>
      </w:pPr>
      <w:r>
        <w:rPr>
          <w:rFonts w:ascii="Book Antiqua" w:hAnsi="Book Antiqua"/>
        </w:rPr>
        <w:t xml:space="preserve">I agree that the decision is defective for absence of </w:t>
      </w:r>
      <w:r w:rsidR="00C87F47">
        <w:rPr>
          <w:rFonts w:ascii="Book Antiqua" w:hAnsi="Book Antiqua"/>
        </w:rPr>
        <w:t xml:space="preserve">clear </w:t>
      </w:r>
      <w:r>
        <w:rPr>
          <w:rFonts w:ascii="Book Antiqua" w:hAnsi="Book Antiqua"/>
        </w:rPr>
        <w:t>findings on the best interests of the children</w:t>
      </w:r>
      <w:r w:rsidR="00FE3F55">
        <w:rPr>
          <w:rFonts w:ascii="Book Antiqua" w:hAnsi="Book Antiqua"/>
        </w:rPr>
        <w:t xml:space="preserve">, and even if those </w:t>
      </w:r>
      <w:r w:rsidR="00C87F47">
        <w:rPr>
          <w:rFonts w:ascii="Book Antiqua" w:hAnsi="Book Antiqua"/>
        </w:rPr>
        <w:t>are</w:t>
      </w:r>
      <w:r w:rsidR="00F96CE9">
        <w:rPr>
          <w:rFonts w:ascii="Book Antiqua" w:hAnsi="Book Antiqua"/>
        </w:rPr>
        <w:t xml:space="preserve"> sufficiently stated</w:t>
      </w:r>
      <w:r w:rsidR="00FE3F55">
        <w:rPr>
          <w:rFonts w:ascii="Book Antiqua" w:hAnsi="Book Antiqua"/>
        </w:rPr>
        <w:t>, for failing to treat th</w:t>
      </w:r>
      <w:r w:rsidR="00F96CE9">
        <w:rPr>
          <w:rFonts w:ascii="Book Antiqua" w:hAnsi="Book Antiqua"/>
        </w:rPr>
        <w:t>eir</w:t>
      </w:r>
      <w:r w:rsidR="00FE3F55">
        <w:rPr>
          <w:rFonts w:ascii="Book Antiqua" w:hAnsi="Book Antiqua"/>
        </w:rPr>
        <w:t xml:space="preserve"> interests as one of the primary considerations in the proportionality assessment.</w:t>
      </w:r>
      <w:r w:rsidR="004D00A7">
        <w:rPr>
          <w:rFonts w:ascii="Book Antiqua" w:hAnsi="Book Antiqua"/>
        </w:rPr>
        <w:t xml:space="preserve">  </w:t>
      </w:r>
      <w:r w:rsidR="004469D5">
        <w:rPr>
          <w:rFonts w:ascii="Book Antiqua" w:hAnsi="Book Antiqua"/>
        </w:rPr>
        <w:t>FtT j</w:t>
      </w:r>
      <w:r w:rsidR="004D00A7">
        <w:rPr>
          <w:rFonts w:ascii="Book Antiqua" w:hAnsi="Book Antiqua"/>
        </w:rPr>
        <w:t>udge</w:t>
      </w:r>
      <w:r w:rsidR="00D36286">
        <w:rPr>
          <w:rFonts w:ascii="Book Antiqua" w:hAnsi="Book Antiqua"/>
        </w:rPr>
        <w:t>s</w:t>
      </w:r>
      <w:r w:rsidR="004D00A7">
        <w:rPr>
          <w:rFonts w:ascii="Book Antiqua" w:hAnsi="Book Antiqua"/>
        </w:rPr>
        <w:t xml:space="preserve"> do not have to set out extensive self-directions on the law (indeed, they are </w:t>
      </w:r>
      <w:r w:rsidR="00D36286">
        <w:rPr>
          <w:rFonts w:ascii="Book Antiqua" w:hAnsi="Book Antiqua"/>
        </w:rPr>
        <w:t>probably best avoided) but they do need to show that leading principles have been applied.</w:t>
      </w:r>
    </w:p>
    <w:p w:rsidR="00F11156" w:rsidRDefault="00F11156" w:rsidP="00441F07">
      <w:pPr>
        <w:numPr>
          <w:ilvl w:val="0"/>
          <w:numId w:val="2"/>
        </w:numPr>
        <w:spacing w:before="240"/>
        <w:ind w:left="1134" w:right="567"/>
        <w:jc w:val="both"/>
        <w:rPr>
          <w:rFonts w:ascii="Book Antiqua" w:hAnsi="Book Antiqua"/>
        </w:rPr>
      </w:pPr>
      <w:r>
        <w:rPr>
          <w:rFonts w:ascii="Book Antiqua" w:hAnsi="Book Antiqua"/>
        </w:rPr>
        <w:t xml:space="preserve">The appellants propose to run an argument on the </w:t>
      </w:r>
      <w:r w:rsidR="005D6B87">
        <w:rPr>
          <w:rFonts w:ascii="Book Antiqua" w:hAnsi="Book Antiqua"/>
        </w:rPr>
        <w:t>significance</w:t>
      </w:r>
      <w:r>
        <w:rPr>
          <w:rFonts w:ascii="Book Antiqua" w:hAnsi="Book Antiqua"/>
        </w:rPr>
        <w:t xml:space="preserve"> of the </w:t>
      </w:r>
      <w:r w:rsidR="009022BB">
        <w:rPr>
          <w:rFonts w:ascii="Book Antiqua" w:hAnsi="Book Antiqua"/>
        </w:rPr>
        <w:t xml:space="preserve">combined </w:t>
      </w:r>
      <w:r>
        <w:rPr>
          <w:rFonts w:ascii="Book Antiqua" w:hAnsi="Book Antiqua"/>
        </w:rPr>
        <w:t xml:space="preserve">length of </w:t>
      </w:r>
      <w:r w:rsidR="00095E52">
        <w:rPr>
          <w:rFonts w:ascii="Book Antiqua" w:hAnsi="Book Antiqua"/>
        </w:rPr>
        <w:t>a child’s</w:t>
      </w:r>
      <w:r>
        <w:rPr>
          <w:rFonts w:ascii="Book Antiqua" w:hAnsi="Book Antiqua"/>
        </w:rPr>
        <w:t xml:space="preserve"> residence in the UK over t</w:t>
      </w:r>
      <w:r w:rsidR="005D6B87">
        <w:rPr>
          <w:rFonts w:ascii="Book Antiqua" w:hAnsi="Book Antiqua"/>
        </w:rPr>
        <w:t>wo</w:t>
      </w:r>
      <w:r>
        <w:rPr>
          <w:rFonts w:ascii="Book Antiqua" w:hAnsi="Book Antiqua"/>
        </w:rPr>
        <w:t xml:space="preserve"> separate periods</w:t>
      </w:r>
      <w:r w:rsidR="009022BB">
        <w:rPr>
          <w:rFonts w:ascii="Book Antiqua" w:hAnsi="Book Antiqua"/>
        </w:rPr>
        <w:t xml:space="preserve">.  </w:t>
      </w:r>
      <w:r w:rsidR="00BF492C">
        <w:rPr>
          <w:rFonts w:ascii="Book Antiqua" w:hAnsi="Book Antiqua"/>
        </w:rPr>
        <w:t>T</w:t>
      </w:r>
      <w:r w:rsidR="00AF50EC">
        <w:rPr>
          <w:rFonts w:ascii="Book Antiqua" w:hAnsi="Book Antiqua"/>
        </w:rPr>
        <w:t>h</w:t>
      </w:r>
      <w:r w:rsidR="009022BB">
        <w:rPr>
          <w:rFonts w:ascii="Book Antiqua" w:hAnsi="Book Antiqua"/>
        </w:rPr>
        <w:t xml:space="preserve">at </w:t>
      </w:r>
      <w:r w:rsidR="00553D23">
        <w:rPr>
          <w:rFonts w:ascii="Book Antiqua" w:hAnsi="Book Antiqua"/>
        </w:rPr>
        <w:t>appears to be a novel issue</w:t>
      </w:r>
      <w:r w:rsidR="002657E2">
        <w:rPr>
          <w:rFonts w:ascii="Book Antiqua" w:hAnsi="Book Antiqua"/>
        </w:rPr>
        <w:t>, not bearing</w:t>
      </w:r>
      <w:r w:rsidR="00553D23">
        <w:rPr>
          <w:rFonts w:ascii="Book Antiqua" w:hAnsi="Book Antiqua"/>
        </w:rPr>
        <w:t xml:space="preserve"> on the outcome </w:t>
      </w:r>
      <w:r w:rsidR="008C7940">
        <w:rPr>
          <w:rFonts w:ascii="Book Antiqua" w:hAnsi="Book Antiqua"/>
        </w:rPr>
        <w:t>at this stage</w:t>
      </w:r>
      <w:r w:rsidR="002657E2">
        <w:rPr>
          <w:rFonts w:ascii="Book Antiqua" w:hAnsi="Book Antiqua"/>
        </w:rPr>
        <w:t>,</w:t>
      </w:r>
      <w:r w:rsidR="008C7940">
        <w:rPr>
          <w:rFonts w:ascii="Book Antiqua" w:hAnsi="Book Antiqua"/>
        </w:rPr>
        <w:t xml:space="preserve"> and submissions were not developed, so I express no view.</w:t>
      </w:r>
    </w:p>
    <w:p w:rsidR="00483AA8" w:rsidRDefault="00740A8A" w:rsidP="00441F07">
      <w:pPr>
        <w:numPr>
          <w:ilvl w:val="0"/>
          <w:numId w:val="2"/>
        </w:numPr>
        <w:spacing w:before="240"/>
        <w:ind w:left="1134" w:right="567"/>
        <w:jc w:val="both"/>
        <w:rPr>
          <w:rFonts w:ascii="Book Antiqua" w:hAnsi="Book Antiqua"/>
        </w:rPr>
      </w:pPr>
      <w:r>
        <w:rPr>
          <w:rFonts w:ascii="Book Antiqua" w:hAnsi="Book Antiqua"/>
        </w:rPr>
        <w:t>The</w:t>
      </w:r>
      <w:r w:rsidR="00BB52AC">
        <w:rPr>
          <w:rFonts w:ascii="Book Antiqua" w:hAnsi="Book Antiqua"/>
        </w:rPr>
        <w:t xml:space="preserve"> appropriate outcome </w:t>
      </w:r>
      <w:r w:rsidR="007D4650">
        <w:rPr>
          <w:rFonts w:ascii="Book Antiqua" w:hAnsi="Book Antiqua"/>
        </w:rPr>
        <w:t>was agreed</w:t>
      </w:r>
      <w:r w:rsidR="00BB52AC">
        <w:rPr>
          <w:rFonts w:ascii="Book Antiqua" w:hAnsi="Book Antiqua"/>
        </w:rPr>
        <w:t xml:space="preserve"> to be as follows.</w:t>
      </w:r>
    </w:p>
    <w:p w:rsidR="00483AA8" w:rsidRDefault="00483AA8" w:rsidP="00441F07">
      <w:pPr>
        <w:numPr>
          <w:ilvl w:val="0"/>
          <w:numId w:val="2"/>
        </w:numPr>
        <w:spacing w:before="240"/>
        <w:ind w:left="1134" w:right="567"/>
        <w:jc w:val="both"/>
        <w:rPr>
          <w:rFonts w:ascii="Book Antiqua" w:hAnsi="Book Antiqua" w:cs="Arial"/>
        </w:rPr>
      </w:pPr>
      <w:r>
        <w:rPr>
          <w:rFonts w:ascii="Book Antiqua" w:hAnsi="Book Antiqua" w:cs="Arial"/>
        </w:rPr>
        <w:t xml:space="preserve">The decision of the FtT is </w:t>
      </w:r>
      <w:r w:rsidRPr="0023596F">
        <w:rPr>
          <w:rFonts w:ascii="Book Antiqua" w:hAnsi="Book Antiqua" w:cs="Arial"/>
          <w:b/>
        </w:rPr>
        <w:t>set aside</w:t>
      </w:r>
      <w:r>
        <w:rPr>
          <w:rFonts w:ascii="Book Antiqua" w:hAnsi="Book Antiqua" w:cs="Arial"/>
        </w:rPr>
        <w:t>. It stands only as a record of what was said at the hearing.</w:t>
      </w:r>
    </w:p>
    <w:p w:rsidR="00483AA8" w:rsidRDefault="00483AA8" w:rsidP="00441F07">
      <w:pPr>
        <w:numPr>
          <w:ilvl w:val="0"/>
          <w:numId w:val="2"/>
        </w:numPr>
        <w:spacing w:before="240"/>
        <w:ind w:left="1134" w:right="567"/>
        <w:jc w:val="both"/>
        <w:rPr>
          <w:rFonts w:ascii="Book Antiqua" w:hAnsi="Book Antiqua"/>
        </w:rPr>
      </w:pPr>
      <w:r>
        <w:rPr>
          <w:rFonts w:ascii="Book Antiqua" w:hAnsi="Book Antiqua"/>
        </w:rPr>
        <w:t xml:space="preserve">The nature of the case is such that it is appropriate under section 12 of the 2002 Act and Practice Statement 7.2 to remit to the FtT for an entirely fresh hearing.  </w:t>
      </w:r>
    </w:p>
    <w:p w:rsidR="00654EC6" w:rsidRPr="00375C1E" w:rsidRDefault="00483AA8" w:rsidP="00441F07">
      <w:pPr>
        <w:numPr>
          <w:ilvl w:val="0"/>
          <w:numId w:val="2"/>
        </w:numPr>
        <w:spacing w:before="240"/>
        <w:ind w:left="1134" w:right="567"/>
        <w:jc w:val="both"/>
        <w:rPr>
          <w:rFonts w:ascii="Book Antiqua" w:hAnsi="Book Antiqua"/>
        </w:rPr>
      </w:pPr>
      <w:r>
        <w:rPr>
          <w:rFonts w:ascii="Book Antiqua" w:hAnsi="Book Antiqua" w:cs="Arial"/>
        </w:rPr>
        <w:t xml:space="preserve">The member(s) of the FtT chosen to consider the case are not to include Judge Clapham. </w:t>
      </w:r>
      <w:r w:rsidR="00740A8A">
        <w:rPr>
          <w:rFonts w:ascii="Book Antiqua" w:hAnsi="Book Antiqua"/>
        </w:rPr>
        <w:t xml:space="preserve"> </w:t>
      </w:r>
      <w:r w:rsidR="002C03F9">
        <w:rPr>
          <w:rFonts w:ascii="Book Antiqua" w:hAnsi="Book Antiqua"/>
        </w:rPr>
        <w:t xml:space="preserve"> </w:t>
      </w:r>
      <w:r w:rsidR="00E178B6">
        <w:rPr>
          <w:rFonts w:ascii="Book Antiqua" w:hAnsi="Book Antiqua"/>
        </w:rPr>
        <w:t xml:space="preserve"> </w:t>
      </w:r>
    </w:p>
    <w:p w:rsidR="00321C6F" w:rsidRPr="00483AA8" w:rsidRDefault="00321C6F" w:rsidP="00441F07">
      <w:pPr>
        <w:numPr>
          <w:ilvl w:val="0"/>
          <w:numId w:val="2"/>
        </w:numPr>
        <w:spacing w:before="240"/>
        <w:ind w:left="1134" w:right="567"/>
        <w:jc w:val="both"/>
        <w:rPr>
          <w:rFonts w:ascii="Book Antiqua" w:hAnsi="Book Antiqua" w:cs="Arial"/>
        </w:rPr>
      </w:pPr>
      <w:r w:rsidRPr="00483AA8">
        <w:rPr>
          <w:rFonts w:ascii="Book Antiqua" w:hAnsi="Book Antiqua" w:cs="Arial"/>
        </w:rPr>
        <w:t>No</w:t>
      </w:r>
      <w:r w:rsidRPr="00483AA8">
        <w:rPr>
          <w:rFonts w:ascii="Book Antiqua" w:hAnsi="Book Antiqua"/>
        </w:rPr>
        <w:t xml:space="preserve"> anonymity direction has been requested or made.</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lastRenderedPageBreak/>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375C1E">
        <w:rPr>
          <w:rFonts w:ascii="Book Antiqua" w:hAnsi="Book Antiqua" w:cs="Arial"/>
        </w:rPr>
        <w:t xml:space="preserve">31 August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sectPr w:rsidR="00321C6F" w:rsidSect="00441F07">
      <w:headerReference w:type="default" r:id="rId10"/>
      <w:footerReference w:type="defaul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2B2" w:rsidRDefault="003752B2">
      <w:r>
        <w:separator/>
      </w:r>
    </w:p>
  </w:endnote>
  <w:endnote w:type="continuationSeparator" w:id="0">
    <w:p w:rsidR="003752B2" w:rsidRDefault="0037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441F07" w:rsidRDefault="008D4782" w:rsidP="00614E94">
    <w:pPr>
      <w:pStyle w:val="Footer"/>
      <w:jc w:val="center"/>
      <w:rPr>
        <w:rFonts w:ascii="Arial" w:hAnsi="Arial" w:cs="Arial"/>
        <w:sz w:val="20"/>
        <w:szCs w:val="20"/>
      </w:rPr>
    </w:pPr>
    <w:r w:rsidRPr="00441F07">
      <w:rPr>
        <w:rStyle w:val="PageNumber"/>
        <w:rFonts w:ascii="Arial" w:hAnsi="Arial" w:cs="Arial"/>
        <w:sz w:val="20"/>
        <w:szCs w:val="20"/>
      </w:rPr>
      <w:fldChar w:fldCharType="begin"/>
    </w:r>
    <w:r w:rsidRPr="00441F07">
      <w:rPr>
        <w:rStyle w:val="PageNumber"/>
        <w:rFonts w:ascii="Arial" w:hAnsi="Arial" w:cs="Arial"/>
        <w:sz w:val="20"/>
        <w:szCs w:val="20"/>
      </w:rPr>
      <w:instrText xml:space="preserve"> PAGE </w:instrText>
    </w:r>
    <w:r w:rsidRPr="00441F07">
      <w:rPr>
        <w:rStyle w:val="PageNumber"/>
        <w:rFonts w:ascii="Arial" w:hAnsi="Arial" w:cs="Arial"/>
        <w:sz w:val="20"/>
        <w:szCs w:val="20"/>
      </w:rPr>
      <w:fldChar w:fldCharType="separate"/>
    </w:r>
    <w:r w:rsidR="007C22B1">
      <w:rPr>
        <w:rStyle w:val="PageNumber"/>
        <w:rFonts w:ascii="Arial" w:hAnsi="Arial" w:cs="Arial"/>
        <w:noProof/>
        <w:sz w:val="20"/>
        <w:szCs w:val="20"/>
      </w:rPr>
      <w:t>3</w:t>
    </w:r>
    <w:r w:rsidRPr="00441F07">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D9629F">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2B2" w:rsidRDefault="003752B2">
      <w:r>
        <w:separator/>
      </w:r>
    </w:p>
  </w:footnote>
  <w:footnote w:type="continuationSeparator" w:id="0">
    <w:p w:rsidR="003752B2" w:rsidRDefault="0037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29F" w:rsidRPr="00441F07" w:rsidRDefault="008D4782" w:rsidP="00D9629F">
    <w:pPr>
      <w:pStyle w:val="Header"/>
      <w:jc w:val="right"/>
      <w:rPr>
        <w:rFonts w:ascii="Arial" w:hAnsi="Arial" w:cs="Arial"/>
        <w:sz w:val="20"/>
        <w:szCs w:val="20"/>
      </w:rPr>
    </w:pPr>
    <w:r w:rsidRPr="00441F07">
      <w:rPr>
        <w:rFonts w:ascii="Arial" w:hAnsi="Arial" w:cs="Arial"/>
        <w:sz w:val="20"/>
        <w:szCs w:val="20"/>
      </w:rPr>
      <w:t xml:space="preserve">Appeal Number: </w:t>
    </w:r>
    <w:r w:rsidR="00D9629F" w:rsidRPr="00441F07">
      <w:rPr>
        <w:rFonts w:ascii="Arial" w:hAnsi="Arial" w:cs="Arial"/>
        <w:sz w:val="20"/>
        <w:szCs w:val="20"/>
      </w:rPr>
      <w:t>HU/18174/2016</w:t>
    </w:r>
  </w:p>
  <w:p w:rsidR="00441F07" w:rsidRPr="00441F07" w:rsidRDefault="00D9629F" w:rsidP="00D9629F">
    <w:pPr>
      <w:pStyle w:val="Header"/>
      <w:jc w:val="right"/>
      <w:rPr>
        <w:rFonts w:ascii="Arial" w:hAnsi="Arial" w:cs="Arial"/>
        <w:sz w:val="20"/>
        <w:szCs w:val="20"/>
      </w:rPr>
    </w:pPr>
    <w:r w:rsidRPr="00441F07">
      <w:rPr>
        <w:rFonts w:ascii="Arial" w:hAnsi="Arial" w:cs="Arial"/>
        <w:sz w:val="20"/>
        <w:szCs w:val="20"/>
      </w:rPr>
      <w:t>HU/18177/2016</w:t>
    </w:r>
  </w:p>
  <w:p w:rsidR="00D9629F" w:rsidRPr="00441F07" w:rsidRDefault="00D9629F" w:rsidP="00D9629F">
    <w:pPr>
      <w:pStyle w:val="Header"/>
      <w:jc w:val="right"/>
      <w:rPr>
        <w:rFonts w:ascii="Arial" w:hAnsi="Arial" w:cs="Arial"/>
        <w:sz w:val="20"/>
        <w:szCs w:val="20"/>
      </w:rPr>
    </w:pPr>
    <w:r w:rsidRPr="00441F07">
      <w:rPr>
        <w:rFonts w:ascii="Arial" w:hAnsi="Arial" w:cs="Arial"/>
        <w:sz w:val="20"/>
        <w:szCs w:val="20"/>
      </w:rPr>
      <w:t>HU/18178/2016</w:t>
    </w:r>
  </w:p>
  <w:p w:rsidR="00D9629F" w:rsidRPr="00441F07" w:rsidRDefault="00D9629F" w:rsidP="00D9629F">
    <w:pPr>
      <w:pStyle w:val="Header"/>
      <w:jc w:val="right"/>
      <w:rPr>
        <w:rFonts w:ascii="Arial" w:hAnsi="Arial" w:cs="Arial"/>
        <w:sz w:val="20"/>
        <w:szCs w:val="20"/>
      </w:rPr>
    </w:pPr>
    <w:r w:rsidRPr="00441F07">
      <w:rPr>
        <w:rFonts w:ascii="Arial" w:hAnsi="Arial" w:cs="Arial"/>
        <w:sz w:val="20"/>
        <w:szCs w:val="20"/>
      </w:rPr>
      <w:t>HU/18179/2016</w:t>
    </w:r>
  </w:p>
  <w:p w:rsidR="008D4782" w:rsidRPr="00441F07" w:rsidRDefault="008D4782" w:rsidP="00614E94">
    <w:pPr>
      <w:pStyle w:val="Heade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05BE504-F2F8-4CC1-B43C-FF07036F9921}"/>
    <w:docVar w:name="dgnword-eventsink" w:val="470034200"/>
  </w:docVars>
  <w:rsids>
    <w:rsidRoot w:val="00933B65"/>
    <w:rsid w:val="00005159"/>
    <w:rsid w:val="00007BAC"/>
    <w:rsid w:val="0001735A"/>
    <w:rsid w:val="00021664"/>
    <w:rsid w:val="00042312"/>
    <w:rsid w:val="00050F40"/>
    <w:rsid w:val="00074940"/>
    <w:rsid w:val="000777B7"/>
    <w:rsid w:val="00084A93"/>
    <w:rsid w:val="00087C41"/>
    <w:rsid w:val="00095E52"/>
    <w:rsid w:val="000B442A"/>
    <w:rsid w:val="000D4021"/>
    <w:rsid w:val="000D70B0"/>
    <w:rsid w:val="000E56CF"/>
    <w:rsid w:val="001103E2"/>
    <w:rsid w:val="00117089"/>
    <w:rsid w:val="00150DB6"/>
    <w:rsid w:val="00172233"/>
    <w:rsid w:val="00184269"/>
    <w:rsid w:val="001D6343"/>
    <w:rsid w:val="001E0145"/>
    <w:rsid w:val="001F3A81"/>
    <w:rsid w:val="002065B8"/>
    <w:rsid w:val="002135A6"/>
    <w:rsid w:val="002154EF"/>
    <w:rsid w:val="00224440"/>
    <w:rsid w:val="002657E2"/>
    <w:rsid w:val="00266FFE"/>
    <w:rsid w:val="00274F92"/>
    <w:rsid w:val="002960CF"/>
    <w:rsid w:val="002C03F9"/>
    <w:rsid w:val="002C683E"/>
    <w:rsid w:val="002D3BF9"/>
    <w:rsid w:val="002F35B1"/>
    <w:rsid w:val="002F4AAD"/>
    <w:rsid w:val="00321C6F"/>
    <w:rsid w:val="00361443"/>
    <w:rsid w:val="00362C44"/>
    <w:rsid w:val="003752B2"/>
    <w:rsid w:val="00375C1E"/>
    <w:rsid w:val="003812EE"/>
    <w:rsid w:val="003844C5"/>
    <w:rsid w:val="003C1934"/>
    <w:rsid w:val="003D7D3D"/>
    <w:rsid w:val="003D7F34"/>
    <w:rsid w:val="003E6445"/>
    <w:rsid w:val="004171D0"/>
    <w:rsid w:val="00441640"/>
    <w:rsid w:val="00441F07"/>
    <w:rsid w:val="0044451C"/>
    <w:rsid w:val="004469D5"/>
    <w:rsid w:val="004541E5"/>
    <w:rsid w:val="0046122D"/>
    <w:rsid w:val="00470675"/>
    <w:rsid w:val="00483A7A"/>
    <w:rsid w:val="00483AA8"/>
    <w:rsid w:val="004A012D"/>
    <w:rsid w:val="004A45A6"/>
    <w:rsid w:val="004A61CB"/>
    <w:rsid w:val="004D00A7"/>
    <w:rsid w:val="004D1541"/>
    <w:rsid w:val="00513527"/>
    <w:rsid w:val="00553D23"/>
    <w:rsid w:val="0057020B"/>
    <w:rsid w:val="00590CEE"/>
    <w:rsid w:val="00594CA2"/>
    <w:rsid w:val="00595C55"/>
    <w:rsid w:val="005A1712"/>
    <w:rsid w:val="005D6B87"/>
    <w:rsid w:val="005E5FC7"/>
    <w:rsid w:val="005F6D40"/>
    <w:rsid w:val="00601A4C"/>
    <w:rsid w:val="00614020"/>
    <w:rsid w:val="00614E94"/>
    <w:rsid w:val="0063091E"/>
    <w:rsid w:val="0065091A"/>
    <w:rsid w:val="00654EC6"/>
    <w:rsid w:val="00657E4A"/>
    <w:rsid w:val="006646C1"/>
    <w:rsid w:val="006767DE"/>
    <w:rsid w:val="006C72FD"/>
    <w:rsid w:val="006D0BD5"/>
    <w:rsid w:val="006D2D9A"/>
    <w:rsid w:val="006D7C16"/>
    <w:rsid w:val="006E229C"/>
    <w:rsid w:val="006E3DE1"/>
    <w:rsid w:val="00734D2D"/>
    <w:rsid w:val="00740A8A"/>
    <w:rsid w:val="007412E0"/>
    <w:rsid w:val="00774C7C"/>
    <w:rsid w:val="007C22B1"/>
    <w:rsid w:val="007C2CD6"/>
    <w:rsid w:val="007D4650"/>
    <w:rsid w:val="007F7538"/>
    <w:rsid w:val="0080239D"/>
    <w:rsid w:val="00810338"/>
    <w:rsid w:val="0084433E"/>
    <w:rsid w:val="00861DE2"/>
    <w:rsid w:val="00866439"/>
    <w:rsid w:val="0087111D"/>
    <w:rsid w:val="008832E8"/>
    <w:rsid w:val="008A64A7"/>
    <w:rsid w:val="008B5B9B"/>
    <w:rsid w:val="008C2761"/>
    <w:rsid w:val="008C7940"/>
    <w:rsid w:val="008D4782"/>
    <w:rsid w:val="008F2CE1"/>
    <w:rsid w:val="009022BB"/>
    <w:rsid w:val="00923BA9"/>
    <w:rsid w:val="00926DE2"/>
    <w:rsid w:val="00933B65"/>
    <w:rsid w:val="009701EB"/>
    <w:rsid w:val="009758D2"/>
    <w:rsid w:val="009E34AD"/>
    <w:rsid w:val="009E3D21"/>
    <w:rsid w:val="009F361B"/>
    <w:rsid w:val="00A230CE"/>
    <w:rsid w:val="00A607C7"/>
    <w:rsid w:val="00A810D2"/>
    <w:rsid w:val="00A86A8D"/>
    <w:rsid w:val="00A8786E"/>
    <w:rsid w:val="00A97644"/>
    <w:rsid w:val="00AA199C"/>
    <w:rsid w:val="00AA25A1"/>
    <w:rsid w:val="00AA5502"/>
    <w:rsid w:val="00AB4F4F"/>
    <w:rsid w:val="00AF2BDF"/>
    <w:rsid w:val="00AF50EC"/>
    <w:rsid w:val="00B170ED"/>
    <w:rsid w:val="00B52844"/>
    <w:rsid w:val="00B85776"/>
    <w:rsid w:val="00BB2B34"/>
    <w:rsid w:val="00BB470C"/>
    <w:rsid w:val="00BB52AC"/>
    <w:rsid w:val="00BB69F4"/>
    <w:rsid w:val="00BC0611"/>
    <w:rsid w:val="00BC220A"/>
    <w:rsid w:val="00BE34CF"/>
    <w:rsid w:val="00BF492C"/>
    <w:rsid w:val="00BF777F"/>
    <w:rsid w:val="00C01F6A"/>
    <w:rsid w:val="00C0563E"/>
    <w:rsid w:val="00C15A7E"/>
    <w:rsid w:val="00C236BA"/>
    <w:rsid w:val="00C272BA"/>
    <w:rsid w:val="00C35C03"/>
    <w:rsid w:val="00C51B29"/>
    <w:rsid w:val="00C6098F"/>
    <w:rsid w:val="00C628F1"/>
    <w:rsid w:val="00C87F47"/>
    <w:rsid w:val="00CD5AEE"/>
    <w:rsid w:val="00CF0FE6"/>
    <w:rsid w:val="00D31D54"/>
    <w:rsid w:val="00D36286"/>
    <w:rsid w:val="00D44C2B"/>
    <w:rsid w:val="00D55F7C"/>
    <w:rsid w:val="00D76D6C"/>
    <w:rsid w:val="00D83CA9"/>
    <w:rsid w:val="00D8760C"/>
    <w:rsid w:val="00D9629F"/>
    <w:rsid w:val="00DA3D04"/>
    <w:rsid w:val="00DC699D"/>
    <w:rsid w:val="00E01970"/>
    <w:rsid w:val="00E16B21"/>
    <w:rsid w:val="00E178B6"/>
    <w:rsid w:val="00E42187"/>
    <w:rsid w:val="00E61235"/>
    <w:rsid w:val="00E650E5"/>
    <w:rsid w:val="00E7243C"/>
    <w:rsid w:val="00E74B48"/>
    <w:rsid w:val="00E93A43"/>
    <w:rsid w:val="00EA3D98"/>
    <w:rsid w:val="00EB1BEC"/>
    <w:rsid w:val="00EE6CE7"/>
    <w:rsid w:val="00F11156"/>
    <w:rsid w:val="00F125AD"/>
    <w:rsid w:val="00F150EE"/>
    <w:rsid w:val="00F40619"/>
    <w:rsid w:val="00F47052"/>
    <w:rsid w:val="00F648C0"/>
    <w:rsid w:val="00F85C8A"/>
    <w:rsid w:val="00F96CE9"/>
    <w:rsid w:val="00FA0A2E"/>
    <w:rsid w:val="00FA2A43"/>
    <w:rsid w:val="00FA7FC0"/>
    <w:rsid w:val="00FB0516"/>
    <w:rsid w:val="00FE0046"/>
    <w:rsid w:val="00FE061F"/>
    <w:rsid w:val="00FE3F55"/>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6BA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62C44"/>
    <w:rPr>
      <w:rFonts w:ascii="Segoe UI" w:hAnsi="Segoe UI" w:cs="Segoe UI"/>
      <w:sz w:val="18"/>
      <w:szCs w:val="18"/>
    </w:rPr>
  </w:style>
  <w:style w:type="character" w:customStyle="1" w:styleId="BalloonTextChar">
    <w:name w:val="Balloon Text Char"/>
    <w:basedOn w:val="DefaultParagraphFont"/>
    <w:link w:val="BalloonText"/>
    <w:semiHidden/>
    <w:rsid w:val="00362C44"/>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778F-97E8-4B6A-8575-DF1784A2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2883</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2018-09-24T11:10:00Z</dcterms:created>
  <dcterms:modified xsi:type="dcterms:W3CDTF">2018-09-24T11:10:00Z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