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EA8F0" w14:textId="77777777" w:rsidR="00E500B2" w:rsidRPr="00B57D66" w:rsidRDefault="002847FB" w:rsidP="00E500B2">
      <w:pPr>
        <w:jc w:val="center"/>
        <w:rPr>
          <w:rFonts w:ascii="Book Antiqua" w:hAnsi="Book Antiqua" w:cs="Arial"/>
          <w:caps/>
          <w:color w:val="000000"/>
          <w:sz w:val="16"/>
          <w:szCs w:val="16"/>
        </w:rPr>
      </w:pPr>
      <w:r>
        <w:rPr>
          <w:noProof/>
        </w:rPr>
        <w:drawing>
          <wp:inline distT="0" distB="0" distL="0" distR="0" wp14:anchorId="295BE0CA" wp14:editId="44CB7555">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0A53C39A" w14:textId="7AEDA794" w:rsidR="00D94AFC" w:rsidRPr="00B57D66" w:rsidRDefault="00D94AFC">
      <w:pPr>
        <w:rPr>
          <w:rFonts w:ascii="Book Antiqua" w:hAnsi="Book Antiqua" w:cs="Arial"/>
          <w:color w:val="000000"/>
          <w:sz w:val="16"/>
          <w:szCs w:val="16"/>
        </w:rPr>
      </w:pPr>
    </w:p>
    <w:p w14:paraId="3572D1A4" w14:textId="77777777" w:rsidR="00E500B2" w:rsidRPr="00B57D66" w:rsidRDefault="00E500B2" w:rsidP="00780F86">
      <w:pPr>
        <w:tabs>
          <w:tab w:val="right" w:pos="9720"/>
        </w:tabs>
        <w:ind w:right="-82"/>
        <w:rPr>
          <w:rFonts w:ascii="Book Antiqua" w:hAnsi="Book Antiqua" w:cs="Arial"/>
          <w:b/>
          <w:color w:val="000000"/>
        </w:rPr>
      </w:pPr>
      <w:bookmarkStart w:id="0" w:name="_GoBack"/>
      <w:bookmarkEnd w:id="0"/>
      <w:r w:rsidRPr="00B57D66">
        <w:rPr>
          <w:rFonts w:ascii="Book Antiqua" w:hAnsi="Book Antiqua" w:cs="Arial"/>
          <w:b/>
          <w:color w:val="000000"/>
        </w:rPr>
        <w:t>Upper Tribunal</w:t>
      </w:r>
    </w:p>
    <w:p w14:paraId="10E156C0"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r w:rsidR="002847FB" w:rsidRPr="002847FB">
        <w:rPr>
          <w:rFonts w:ascii="Book Antiqua" w:hAnsi="Book Antiqua" w:cs="Arial"/>
          <w:caps/>
          <w:color w:val="000000"/>
        </w:rPr>
        <w:t>HU/18236/2016</w:t>
      </w:r>
    </w:p>
    <w:p w14:paraId="2FC9B2E2" w14:textId="77777777" w:rsidR="00C345E1" w:rsidRPr="00B57D66" w:rsidRDefault="00C345E1" w:rsidP="00C345E1">
      <w:pPr>
        <w:jc w:val="center"/>
        <w:rPr>
          <w:rFonts w:ascii="Book Antiqua" w:hAnsi="Book Antiqua" w:cs="Arial"/>
          <w:color w:val="000000"/>
        </w:rPr>
      </w:pPr>
    </w:p>
    <w:p w14:paraId="67E0453E" w14:textId="77777777" w:rsidR="00C345E1" w:rsidRPr="00B57D66" w:rsidRDefault="00C345E1" w:rsidP="00C345E1">
      <w:pPr>
        <w:jc w:val="center"/>
        <w:rPr>
          <w:rFonts w:ascii="Book Antiqua" w:hAnsi="Book Antiqua" w:cs="Arial"/>
          <w:color w:val="000000"/>
        </w:rPr>
      </w:pPr>
    </w:p>
    <w:p w14:paraId="21CD3DC2"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59C6F3F9" w14:textId="77777777" w:rsidR="00C345E1" w:rsidRPr="00B57D66" w:rsidRDefault="00C345E1" w:rsidP="00C345E1">
      <w:pPr>
        <w:jc w:val="center"/>
        <w:rPr>
          <w:rFonts w:ascii="Book Antiqua" w:hAnsi="Book Antiqua" w:cs="Arial"/>
          <w:b/>
          <w:u w:val="single"/>
        </w:rPr>
      </w:pPr>
    </w:p>
    <w:p w14:paraId="408A6FA6"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6A79ED9F" w14:textId="77777777" w:rsidTr="00173CC6">
        <w:tc>
          <w:tcPr>
            <w:tcW w:w="6048" w:type="dxa"/>
          </w:tcPr>
          <w:p w14:paraId="19EA0521"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2847FB">
              <w:rPr>
                <w:rFonts w:ascii="Book Antiqua" w:hAnsi="Book Antiqua" w:cs="Arial"/>
                <w:b/>
              </w:rPr>
              <w:t>Manchester</w:t>
            </w:r>
          </w:p>
        </w:tc>
        <w:tc>
          <w:tcPr>
            <w:tcW w:w="3960" w:type="dxa"/>
          </w:tcPr>
          <w:p w14:paraId="41D383F4"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4E195545" w14:textId="77777777" w:rsidTr="00173CC6">
        <w:tc>
          <w:tcPr>
            <w:tcW w:w="6048" w:type="dxa"/>
          </w:tcPr>
          <w:p w14:paraId="629DDFA0"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2847FB">
              <w:rPr>
                <w:rFonts w:ascii="Book Antiqua" w:hAnsi="Book Antiqua" w:cs="Arial"/>
                <w:b/>
              </w:rPr>
              <w:t>1 June 2018</w:t>
            </w:r>
          </w:p>
        </w:tc>
        <w:tc>
          <w:tcPr>
            <w:tcW w:w="3960" w:type="dxa"/>
          </w:tcPr>
          <w:p w14:paraId="5D98E86C" w14:textId="377DBCC0" w:rsidR="00D22636" w:rsidRPr="00B57D66" w:rsidRDefault="00E465F2" w:rsidP="004A1848">
            <w:pPr>
              <w:jc w:val="both"/>
              <w:rPr>
                <w:rFonts w:ascii="Book Antiqua" w:hAnsi="Book Antiqua" w:cs="Arial"/>
                <w:b/>
              </w:rPr>
            </w:pPr>
            <w:r>
              <w:rPr>
                <w:rFonts w:ascii="Book Antiqua" w:hAnsi="Book Antiqua" w:cs="Arial"/>
                <w:b/>
              </w:rPr>
              <w:t>On 19 June 2018</w:t>
            </w:r>
          </w:p>
        </w:tc>
      </w:tr>
      <w:tr w:rsidR="00D22636" w:rsidRPr="00B57D66" w14:paraId="135D3454" w14:textId="77777777" w:rsidTr="00173CC6">
        <w:tc>
          <w:tcPr>
            <w:tcW w:w="6048" w:type="dxa"/>
          </w:tcPr>
          <w:p w14:paraId="3CE91055" w14:textId="77777777" w:rsidR="00D22636" w:rsidRPr="00B57D66" w:rsidRDefault="00D22636" w:rsidP="004A1848">
            <w:pPr>
              <w:jc w:val="both"/>
              <w:rPr>
                <w:rFonts w:ascii="Book Antiqua" w:hAnsi="Book Antiqua" w:cs="Arial"/>
                <w:b/>
              </w:rPr>
            </w:pPr>
          </w:p>
        </w:tc>
        <w:tc>
          <w:tcPr>
            <w:tcW w:w="3960" w:type="dxa"/>
          </w:tcPr>
          <w:p w14:paraId="542465AB" w14:textId="4FA4249E" w:rsidR="00D22636" w:rsidRPr="00B57D66" w:rsidRDefault="00D22636" w:rsidP="004A1848">
            <w:pPr>
              <w:jc w:val="both"/>
              <w:rPr>
                <w:rFonts w:ascii="Book Antiqua" w:hAnsi="Book Antiqua" w:cs="Arial"/>
                <w:b/>
              </w:rPr>
            </w:pPr>
          </w:p>
        </w:tc>
      </w:tr>
    </w:tbl>
    <w:p w14:paraId="79AD40DF" w14:textId="77777777" w:rsidR="00A15234" w:rsidRPr="00B57D66" w:rsidRDefault="00A15234" w:rsidP="00A15234">
      <w:pPr>
        <w:jc w:val="center"/>
        <w:rPr>
          <w:rFonts w:ascii="Book Antiqua" w:hAnsi="Book Antiqua" w:cs="Arial"/>
        </w:rPr>
      </w:pPr>
    </w:p>
    <w:p w14:paraId="0D946BE7"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11FC4467" w14:textId="77777777" w:rsidR="00A15234" w:rsidRPr="00B57D66" w:rsidRDefault="00A15234" w:rsidP="00A15234">
      <w:pPr>
        <w:jc w:val="center"/>
        <w:rPr>
          <w:rFonts w:ascii="Book Antiqua" w:hAnsi="Book Antiqua" w:cs="Arial"/>
          <w:b/>
        </w:rPr>
      </w:pPr>
    </w:p>
    <w:p w14:paraId="15D8E1D6"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w:t>
      </w:r>
      <w:proofErr w:type="spellStart"/>
      <w:r>
        <w:rPr>
          <w:rFonts w:ascii="Book Antiqua" w:hAnsi="Book Antiqua" w:cs="Arial"/>
          <w:b/>
          <w:color w:val="000000"/>
        </w:rPr>
        <w:t>H</w:t>
      </w:r>
      <w:proofErr w:type="spellEnd"/>
      <w:r>
        <w:rPr>
          <w:rFonts w:ascii="Book Antiqua" w:hAnsi="Book Antiqua" w:cs="Arial"/>
          <w:b/>
          <w:color w:val="000000"/>
        </w:rPr>
        <w:t xml:space="preserve"> </w:t>
      </w:r>
      <w:r w:rsidR="008B4F43" w:rsidRPr="00B57D66">
        <w:rPr>
          <w:rFonts w:ascii="Book Antiqua" w:hAnsi="Book Antiqua" w:cs="Arial"/>
          <w:b/>
          <w:color w:val="000000"/>
        </w:rPr>
        <w:t>STOREY</w:t>
      </w:r>
    </w:p>
    <w:p w14:paraId="3C5C8DFB"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45BFBBB6" w14:textId="51F1D458" w:rsidR="00D20757" w:rsidRDefault="00D20757" w:rsidP="00A15234">
      <w:pPr>
        <w:jc w:val="center"/>
        <w:rPr>
          <w:rFonts w:ascii="Book Antiqua" w:hAnsi="Book Antiqua" w:cs="Arial"/>
          <w:b/>
        </w:rPr>
      </w:pPr>
    </w:p>
    <w:p w14:paraId="456C1560" w14:textId="77777777" w:rsidR="000973C4" w:rsidRPr="00B57D66" w:rsidRDefault="000973C4" w:rsidP="00A15234">
      <w:pPr>
        <w:jc w:val="center"/>
        <w:rPr>
          <w:rFonts w:ascii="Book Antiqua" w:hAnsi="Book Antiqua" w:cs="Arial"/>
          <w:b/>
        </w:rPr>
      </w:pPr>
    </w:p>
    <w:p w14:paraId="679113AD"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43ACB687" w14:textId="77777777" w:rsidR="00A845DC" w:rsidRPr="00B57D66" w:rsidRDefault="00A845DC" w:rsidP="00A15234">
      <w:pPr>
        <w:jc w:val="center"/>
        <w:rPr>
          <w:rFonts w:ascii="Book Antiqua" w:hAnsi="Book Antiqua" w:cs="Arial"/>
          <w:b/>
        </w:rPr>
      </w:pPr>
    </w:p>
    <w:p w14:paraId="53E33B59" w14:textId="2D5B3CD6" w:rsidR="00A845DC" w:rsidRDefault="002847FB" w:rsidP="00A15234">
      <w:pPr>
        <w:jc w:val="center"/>
        <w:rPr>
          <w:rFonts w:ascii="Book Antiqua" w:hAnsi="Book Antiqua" w:cs="Arial"/>
          <w:b/>
          <w:caps/>
        </w:rPr>
      </w:pPr>
      <w:r>
        <w:rPr>
          <w:rFonts w:ascii="Book Antiqua" w:hAnsi="Book Antiqua" w:cs="Arial"/>
          <w:b/>
          <w:caps/>
        </w:rPr>
        <w:t xml:space="preserve">mr </w:t>
      </w:r>
      <w:r w:rsidRPr="002847FB">
        <w:rPr>
          <w:rFonts w:ascii="Book Antiqua" w:hAnsi="Book Antiqua" w:cs="Arial"/>
          <w:b/>
          <w:caps/>
        </w:rPr>
        <w:t>Yasir</w:t>
      </w:r>
      <w:r>
        <w:rPr>
          <w:rFonts w:ascii="Book Antiqua" w:hAnsi="Book Antiqua" w:cs="Arial"/>
          <w:b/>
          <w:caps/>
        </w:rPr>
        <w:t xml:space="preserve"> </w:t>
      </w:r>
      <w:r w:rsidR="000973C4">
        <w:rPr>
          <w:rFonts w:ascii="Book Antiqua" w:hAnsi="Book Antiqua" w:cs="Arial"/>
          <w:b/>
          <w:caps/>
        </w:rPr>
        <w:t>[</w:t>
      </w:r>
      <w:r w:rsidRPr="002847FB">
        <w:rPr>
          <w:rFonts w:ascii="Book Antiqua" w:hAnsi="Book Antiqua" w:cs="Arial"/>
          <w:b/>
          <w:caps/>
        </w:rPr>
        <w:t>S</w:t>
      </w:r>
      <w:r w:rsidR="000973C4">
        <w:rPr>
          <w:rFonts w:ascii="Book Antiqua" w:hAnsi="Book Antiqua" w:cs="Arial"/>
          <w:b/>
          <w:caps/>
        </w:rPr>
        <w:t>]</w:t>
      </w:r>
    </w:p>
    <w:p w14:paraId="4F68AB29" w14:textId="076C7BB1"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A45FD4">
        <w:rPr>
          <w:rFonts w:ascii="Book Antiqua" w:hAnsi="Book Antiqua" w:cs="Arial"/>
          <w:b/>
          <w:caps/>
        </w:rPr>
        <w:t>NOT MADE</w:t>
      </w:r>
      <w:r w:rsidR="000973C4">
        <w:rPr>
          <w:rFonts w:ascii="Book Antiqua" w:hAnsi="Book Antiqua" w:cs="Arial"/>
          <w:b/>
          <w:caps/>
        </w:rPr>
        <w:t>)</w:t>
      </w:r>
    </w:p>
    <w:p w14:paraId="765330EC"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088D7F9"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4CD2709B" w14:textId="77777777" w:rsidR="00DD5071" w:rsidRPr="00B57D66" w:rsidRDefault="00DD5071" w:rsidP="00704B61">
      <w:pPr>
        <w:jc w:val="center"/>
        <w:rPr>
          <w:rFonts w:ascii="Book Antiqua" w:hAnsi="Book Antiqua" w:cs="Arial"/>
          <w:b/>
        </w:rPr>
      </w:pPr>
    </w:p>
    <w:p w14:paraId="4036BB9B"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2AA3752D"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5BD3093A" w14:textId="77777777" w:rsidR="00DD5071" w:rsidRPr="00B57D66" w:rsidRDefault="00DD5071" w:rsidP="00DD5071">
      <w:pPr>
        <w:rPr>
          <w:rFonts w:ascii="Book Antiqua" w:hAnsi="Book Antiqua" w:cs="Arial"/>
          <w:u w:val="single"/>
        </w:rPr>
      </w:pPr>
    </w:p>
    <w:p w14:paraId="4A15D3A8" w14:textId="77777777" w:rsidR="00DD5071" w:rsidRPr="00B57D66" w:rsidRDefault="00DD5071" w:rsidP="00DD5071">
      <w:pPr>
        <w:rPr>
          <w:rFonts w:ascii="Book Antiqua" w:hAnsi="Book Antiqua" w:cs="Arial"/>
          <w:u w:val="single"/>
        </w:rPr>
      </w:pPr>
    </w:p>
    <w:p w14:paraId="4265A8DA"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40FAFD4A"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847FB">
        <w:rPr>
          <w:rFonts w:ascii="Book Antiqua" w:hAnsi="Book Antiqua" w:cs="Arial"/>
        </w:rPr>
        <w:t xml:space="preserve">Mr M </w:t>
      </w:r>
      <w:proofErr w:type="spellStart"/>
      <w:r w:rsidR="002847FB">
        <w:rPr>
          <w:rFonts w:ascii="Book Antiqua" w:hAnsi="Book Antiqua" w:cs="Arial"/>
        </w:rPr>
        <w:t>Reyaz</w:t>
      </w:r>
      <w:proofErr w:type="spellEnd"/>
      <w:r w:rsidR="002847FB">
        <w:rPr>
          <w:rFonts w:ascii="Book Antiqua" w:hAnsi="Book Antiqua" w:cs="Arial"/>
        </w:rPr>
        <w:t xml:space="preserve">, Solicitor, </w:t>
      </w:r>
      <w:proofErr w:type="spellStart"/>
      <w:r w:rsidR="002847FB">
        <w:rPr>
          <w:rFonts w:ascii="Book Antiqua" w:hAnsi="Book Antiqua" w:cs="Arial"/>
        </w:rPr>
        <w:t>Rasools</w:t>
      </w:r>
      <w:proofErr w:type="spellEnd"/>
      <w:r w:rsidR="002847FB">
        <w:rPr>
          <w:rFonts w:ascii="Book Antiqua" w:hAnsi="Book Antiqua" w:cs="Arial"/>
        </w:rPr>
        <w:t xml:space="preserve"> Law</w:t>
      </w:r>
    </w:p>
    <w:p w14:paraId="77D3DB5E"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847FB">
        <w:rPr>
          <w:rFonts w:ascii="Book Antiqua" w:hAnsi="Book Antiqua" w:cs="Arial"/>
        </w:rPr>
        <w:t xml:space="preserve">Mrs R </w:t>
      </w:r>
      <w:r w:rsidR="00BC689E">
        <w:rPr>
          <w:rFonts w:ascii="Book Antiqua" w:hAnsi="Book Antiqua" w:cs="Arial"/>
        </w:rPr>
        <w:t>Pettersen</w:t>
      </w:r>
      <w:r w:rsidR="002847FB">
        <w:rPr>
          <w:rFonts w:ascii="Book Antiqua" w:hAnsi="Book Antiqua" w:cs="Arial"/>
        </w:rPr>
        <w:t xml:space="preserve">, Home Office Presenting Officer </w:t>
      </w:r>
    </w:p>
    <w:p w14:paraId="15939D09" w14:textId="77777777" w:rsidR="00DE7DB7" w:rsidRPr="00B57D66" w:rsidRDefault="00DE7DB7" w:rsidP="00402B9E">
      <w:pPr>
        <w:tabs>
          <w:tab w:val="left" w:pos="2520"/>
        </w:tabs>
        <w:jc w:val="center"/>
        <w:rPr>
          <w:rFonts w:ascii="Book Antiqua" w:hAnsi="Book Antiqua" w:cs="Arial"/>
        </w:rPr>
      </w:pPr>
    </w:p>
    <w:p w14:paraId="5AFC2DB9" w14:textId="77777777" w:rsidR="00DE7DB7" w:rsidRPr="00B57D66" w:rsidRDefault="00DE7DB7" w:rsidP="00402B9E">
      <w:pPr>
        <w:tabs>
          <w:tab w:val="left" w:pos="2520"/>
        </w:tabs>
        <w:jc w:val="center"/>
        <w:rPr>
          <w:rFonts w:ascii="Book Antiqua" w:hAnsi="Book Antiqua" w:cs="Arial"/>
        </w:rPr>
      </w:pPr>
    </w:p>
    <w:p w14:paraId="1772E8AD" w14:textId="1634700C"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 xml:space="preserve">AND </w:t>
      </w:r>
      <w:r w:rsidR="00A45FD4">
        <w:rPr>
          <w:rFonts w:ascii="Book Antiqua" w:hAnsi="Book Antiqua" w:cs="Arial"/>
          <w:b/>
          <w:u w:val="single"/>
        </w:rPr>
        <w:t>REASONS</w:t>
      </w:r>
    </w:p>
    <w:p w14:paraId="0DE82138" w14:textId="77777777" w:rsidR="004B5AEF" w:rsidRDefault="004B5AEF" w:rsidP="00BF23BB">
      <w:pPr>
        <w:tabs>
          <w:tab w:val="left" w:pos="567"/>
        </w:tabs>
        <w:ind w:left="567" w:hanging="567"/>
        <w:jc w:val="both"/>
        <w:rPr>
          <w:rFonts w:ascii="Book Antiqua" w:hAnsi="Book Antiqua" w:cs="Arial"/>
        </w:rPr>
      </w:pPr>
    </w:p>
    <w:p w14:paraId="1D4F1EB6" w14:textId="05B81582"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4338FC">
        <w:rPr>
          <w:rFonts w:ascii="Book Antiqua" w:hAnsi="Book Antiqua" w:cs="Arial"/>
        </w:rPr>
        <w:t xml:space="preserve">The appellant sought entry clearance as a partner under Appendix FM of the Immigration Rules.  The respondent refused his application on 14 June 2016 because he was not satisfied that the spouse was earning an income that met the financial requirements in respect of the sponsor’s employment with </w:t>
      </w:r>
      <w:proofErr w:type="spellStart"/>
      <w:r w:rsidR="004338FC">
        <w:rPr>
          <w:rFonts w:ascii="Book Antiqua" w:hAnsi="Book Antiqua" w:cs="Arial"/>
        </w:rPr>
        <w:t>Sartax</w:t>
      </w:r>
      <w:proofErr w:type="spellEnd"/>
      <w:r w:rsidR="004338FC">
        <w:rPr>
          <w:rFonts w:ascii="Book Antiqua" w:hAnsi="Book Antiqua" w:cs="Arial"/>
        </w:rPr>
        <w:t>.  The appellant’s appeal came before Judge Caswell of the First-tier Tribunal.  Although finding in the appellant’s favour on certain matters</w:t>
      </w:r>
      <w:r w:rsidR="00A45FD4">
        <w:rPr>
          <w:rFonts w:ascii="Book Antiqua" w:hAnsi="Book Antiqua" w:cs="Arial"/>
        </w:rPr>
        <w:t>,</w:t>
      </w:r>
      <w:r w:rsidR="004338FC">
        <w:rPr>
          <w:rFonts w:ascii="Book Antiqua" w:hAnsi="Book Antiqua" w:cs="Arial"/>
        </w:rPr>
        <w:t xml:space="preserve"> the judge dismissed the appellant’s human rights appeal.  The two key paragraphs of the judge’s decision are 13 and 14:</w:t>
      </w:r>
    </w:p>
    <w:p w14:paraId="3A478953" w14:textId="77777777" w:rsidR="004338FC" w:rsidRPr="000973C4" w:rsidRDefault="004338FC" w:rsidP="000973C4">
      <w:pPr>
        <w:tabs>
          <w:tab w:val="left" w:pos="567"/>
        </w:tabs>
        <w:spacing w:before="120" w:after="120"/>
        <w:ind w:left="1701" w:right="567" w:hanging="567"/>
        <w:jc w:val="both"/>
        <w:rPr>
          <w:rFonts w:ascii="Book Antiqua" w:hAnsi="Book Antiqua" w:cs="Arial"/>
          <w:sz w:val="22"/>
        </w:rPr>
      </w:pPr>
      <w:r w:rsidRPr="000973C4">
        <w:rPr>
          <w:rFonts w:ascii="Book Antiqua" w:hAnsi="Book Antiqua" w:cs="Arial"/>
          <w:sz w:val="22"/>
        </w:rPr>
        <w:lastRenderedPageBreak/>
        <w:t>“13.</w:t>
      </w:r>
      <w:r w:rsidRPr="000973C4">
        <w:rPr>
          <w:rFonts w:ascii="Book Antiqua" w:hAnsi="Book Antiqua" w:cs="Arial"/>
          <w:sz w:val="22"/>
        </w:rPr>
        <w:tab/>
        <w:t xml:space="preserve">Although there was no explanation or evidence from the </w:t>
      </w:r>
      <w:proofErr w:type="spellStart"/>
      <w:r w:rsidRPr="000973C4">
        <w:rPr>
          <w:rFonts w:ascii="Book Antiqua" w:hAnsi="Book Antiqua" w:cs="Arial"/>
          <w:sz w:val="22"/>
        </w:rPr>
        <w:t>Sartex</w:t>
      </w:r>
      <w:proofErr w:type="spellEnd"/>
      <w:r w:rsidRPr="000973C4">
        <w:rPr>
          <w:rFonts w:ascii="Book Antiqua" w:hAnsi="Book Antiqua" w:cs="Arial"/>
          <w:sz w:val="22"/>
        </w:rPr>
        <w:t xml:space="preserve"> employers, the sponsor and the representatives had tried to get this, and I have seen the letter sent and recorded delivery note.  The credibility of the sponsor was not challenged before me.  Her evidence was given very clearly, consistently and logically, and I accept her as credible and reliable.  There were before me the original documents relating </w:t>
      </w:r>
      <w:r w:rsidR="00764C83" w:rsidRPr="000973C4">
        <w:rPr>
          <w:rFonts w:ascii="Book Antiqua" w:hAnsi="Book Antiqua" w:cs="Arial"/>
          <w:sz w:val="22"/>
        </w:rPr>
        <w:t>to</w:t>
      </w:r>
      <w:r w:rsidRPr="000973C4">
        <w:rPr>
          <w:rFonts w:ascii="Book Antiqua" w:hAnsi="Book Antiqua" w:cs="Arial"/>
          <w:sz w:val="22"/>
        </w:rPr>
        <w:t xml:space="preserve"> the employment, all giving the appearance of being genuine.  The record of interviews in the </w:t>
      </w:r>
      <w:r w:rsidR="00764C83" w:rsidRPr="000973C4">
        <w:rPr>
          <w:rFonts w:ascii="Book Antiqua" w:hAnsi="Book Antiqua" w:cs="Arial"/>
          <w:sz w:val="22"/>
        </w:rPr>
        <w:t>R</w:t>
      </w:r>
      <w:r w:rsidRPr="000973C4">
        <w:rPr>
          <w:rFonts w:ascii="Book Antiqua" w:hAnsi="Book Antiqua" w:cs="Arial"/>
          <w:sz w:val="22"/>
        </w:rPr>
        <w:t xml:space="preserve">espondent’s bundle show that there were many instances where the replies of the sponsor and her employer were the same.  There were explanations for the matters raised by the Respondent in the refusal letter.  The employer said there were 94 employees, whereas the sponsor estimated there were 200-300.  She explained that she did not know, and was making an educated guess.  The sponsor also gave exactly her work pattern and the hours worked, and her evidence is that her employers answered these questions incorrectly.  As already stated, attempts were made to get clarification from the employers, by sending them a registered letter, but no reply was received.  Having seen and heard the sponsor, and having considered all the documents before me, I am satisfied that she was employed as she states, and therefore that she met the financial requirement at the date of application and decision.  </w:t>
      </w:r>
    </w:p>
    <w:p w14:paraId="7D76B8B8" w14:textId="77777777" w:rsidR="004338FC" w:rsidRPr="000973C4" w:rsidRDefault="004338FC" w:rsidP="000973C4">
      <w:pPr>
        <w:tabs>
          <w:tab w:val="left" w:pos="567"/>
        </w:tabs>
        <w:spacing w:before="120" w:after="120"/>
        <w:ind w:left="1701" w:right="567" w:hanging="567"/>
        <w:jc w:val="both"/>
        <w:rPr>
          <w:rFonts w:ascii="Book Antiqua" w:hAnsi="Book Antiqua" w:cs="Arial"/>
          <w:sz w:val="22"/>
        </w:rPr>
      </w:pPr>
      <w:r w:rsidRPr="000973C4">
        <w:rPr>
          <w:rFonts w:ascii="Book Antiqua" w:hAnsi="Book Antiqua" w:cs="Arial"/>
          <w:sz w:val="22"/>
        </w:rPr>
        <w:t>14.</w:t>
      </w:r>
      <w:r w:rsidRPr="000973C4">
        <w:rPr>
          <w:rFonts w:ascii="Book Antiqua" w:hAnsi="Book Antiqua" w:cs="Arial"/>
          <w:sz w:val="22"/>
        </w:rPr>
        <w:tab/>
        <w:t xml:space="preserve">However, this is a human rights appeal, and I apply the </w:t>
      </w:r>
      <w:proofErr w:type="spellStart"/>
      <w:r w:rsidRPr="000973C4">
        <w:rPr>
          <w:rFonts w:ascii="Book Antiqua" w:hAnsi="Book Antiqua" w:cs="Arial"/>
          <w:i/>
          <w:sz w:val="22"/>
        </w:rPr>
        <w:t>Razgar</w:t>
      </w:r>
      <w:proofErr w:type="spellEnd"/>
      <w:r w:rsidRPr="000973C4">
        <w:rPr>
          <w:rFonts w:ascii="Book Antiqua" w:hAnsi="Book Antiqua" w:cs="Arial"/>
          <w:sz w:val="22"/>
        </w:rPr>
        <w:t xml:space="preserve"> test set out above.  I am satisfied that there is family life between the Appellant, the sponsor and their daughter.  I am also satisfied that the best interests of their child </w:t>
      </w:r>
      <w:proofErr w:type="gramStart"/>
      <w:r w:rsidRPr="000973C4">
        <w:rPr>
          <w:rFonts w:ascii="Book Antiqua" w:hAnsi="Book Antiqua" w:cs="Arial"/>
          <w:sz w:val="22"/>
        </w:rPr>
        <w:t>is</w:t>
      </w:r>
      <w:proofErr w:type="gramEnd"/>
      <w:r w:rsidRPr="000973C4">
        <w:rPr>
          <w:rFonts w:ascii="Book Antiqua" w:hAnsi="Book Antiqua" w:cs="Arial"/>
          <w:sz w:val="22"/>
        </w:rPr>
        <w:t xml:space="preserve"> to be with both her parents.  However, no evidence has been put forward before me to show that the sponsor and her daughter could not live in Pakistan with the Appellant, and carry on family life with him there.  He is working and lives with his family.  They made a month-long visit to Pakistan in 2016 to see him, and there is no evidence of any difficulties encountered there by either the sponsor or their daughter.  Accordingly, I am not able to find that family life would be interfered with if the refusal to grant entry clearance were maintained, and the second stage of Lord Bingham’s five stage test has not been met by the Appellant.”</w:t>
      </w:r>
    </w:p>
    <w:p w14:paraId="6C90156B" w14:textId="12FC813A" w:rsidR="004338FC" w:rsidRDefault="004338FC"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grounds of appeal </w:t>
      </w:r>
      <w:r w:rsidR="00BC689E">
        <w:rPr>
          <w:rFonts w:ascii="Book Antiqua" w:hAnsi="Book Antiqua" w:cs="Arial"/>
        </w:rPr>
        <w:t>challenging</w:t>
      </w:r>
      <w:r>
        <w:rPr>
          <w:rFonts w:ascii="Book Antiqua" w:hAnsi="Book Antiqua" w:cs="Arial"/>
        </w:rPr>
        <w:t xml:space="preserve"> the judge’s decision </w:t>
      </w:r>
      <w:r w:rsidR="00BC689E">
        <w:rPr>
          <w:rFonts w:ascii="Book Antiqua" w:hAnsi="Book Antiqua" w:cs="Arial"/>
        </w:rPr>
        <w:t xml:space="preserve">were confined </w:t>
      </w:r>
      <w:r>
        <w:rPr>
          <w:rFonts w:ascii="Book Antiqua" w:hAnsi="Book Antiqua" w:cs="Arial"/>
        </w:rPr>
        <w:t xml:space="preserve">to </w:t>
      </w:r>
      <w:r w:rsidRPr="00967DB0">
        <w:rPr>
          <w:rFonts w:ascii="Book Antiqua" w:hAnsi="Book Antiqua" w:cs="Arial"/>
        </w:rPr>
        <w:t xml:space="preserve">the </w:t>
      </w:r>
      <w:r w:rsidR="00A45FD4">
        <w:rPr>
          <w:rFonts w:ascii="Book Antiqua" w:hAnsi="Book Antiqua" w:cs="Arial"/>
        </w:rPr>
        <w:t xml:space="preserve">contention </w:t>
      </w:r>
      <w:r w:rsidR="00764C83">
        <w:rPr>
          <w:rFonts w:ascii="Book Antiqua" w:hAnsi="Book Antiqua" w:cs="Arial"/>
        </w:rPr>
        <w:t>that</w:t>
      </w:r>
      <w:r w:rsidR="00A45FD4">
        <w:rPr>
          <w:rFonts w:ascii="Book Antiqua" w:hAnsi="Book Antiqua" w:cs="Arial"/>
        </w:rPr>
        <w:t>,</w:t>
      </w:r>
      <w:r w:rsidR="00764C83">
        <w:rPr>
          <w:rFonts w:ascii="Book Antiqua" w:hAnsi="Book Antiqua" w:cs="Arial"/>
        </w:rPr>
        <w:t xml:space="preserve"> having found that the relevant Immigration Rules were met at the date of application and decision</w:t>
      </w:r>
      <w:r w:rsidR="00A45FD4">
        <w:rPr>
          <w:rFonts w:ascii="Book Antiqua" w:hAnsi="Book Antiqua" w:cs="Arial"/>
        </w:rPr>
        <w:t>,</w:t>
      </w:r>
      <w:r w:rsidR="00764C83">
        <w:rPr>
          <w:rFonts w:ascii="Book Antiqua" w:hAnsi="Book Antiqua" w:cs="Arial"/>
        </w:rPr>
        <w:t xml:space="preserve"> the judge erred in law in failing to find the ECO decision disproportionate, as meeting the Rules is a “weighty” requirement.  In oral submissions Mr </w:t>
      </w:r>
      <w:proofErr w:type="spellStart"/>
      <w:r w:rsidR="00764C83">
        <w:rPr>
          <w:rFonts w:ascii="Book Antiqua" w:hAnsi="Book Antiqua" w:cs="Arial"/>
        </w:rPr>
        <w:t>Reyaz</w:t>
      </w:r>
      <w:proofErr w:type="spellEnd"/>
      <w:r w:rsidR="00764C83">
        <w:rPr>
          <w:rFonts w:ascii="Book Antiqua" w:hAnsi="Book Antiqua" w:cs="Arial"/>
        </w:rPr>
        <w:t xml:space="preserve"> also criticised the judge’s decision for failing to weigh in the balance the best interests of the couple’s </w:t>
      </w:r>
      <w:proofErr w:type="gramStart"/>
      <w:r w:rsidR="00764C83">
        <w:rPr>
          <w:rFonts w:ascii="Book Antiqua" w:hAnsi="Book Antiqua" w:cs="Arial"/>
        </w:rPr>
        <w:t xml:space="preserve">2 </w:t>
      </w:r>
      <w:r w:rsidR="000973C4">
        <w:rPr>
          <w:rFonts w:ascii="Book Antiqua" w:hAnsi="Book Antiqua" w:cs="Arial"/>
        </w:rPr>
        <w:t>year-old</w:t>
      </w:r>
      <w:proofErr w:type="gramEnd"/>
      <w:r w:rsidR="00764C83">
        <w:rPr>
          <w:rFonts w:ascii="Book Antiqua" w:hAnsi="Book Antiqua" w:cs="Arial"/>
        </w:rPr>
        <w:t xml:space="preserve"> child who lives in the UK.  Mrs </w:t>
      </w:r>
      <w:r w:rsidR="00BC689E">
        <w:rPr>
          <w:rFonts w:ascii="Book Antiqua" w:hAnsi="Book Antiqua" w:cs="Arial"/>
        </w:rPr>
        <w:t xml:space="preserve">Pettersen </w:t>
      </w:r>
      <w:r w:rsidR="00764C83">
        <w:rPr>
          <w:rFonts w:ascii="Book Antiqua" w:hAnsi="Book Antiqua" w:cs="Arial"/>
        </w:rPr>
        <w:t xml:space="preserve">argued that the child’s best interests had been sufficiently addressed by the judge at paragraph 14.  </w:t>
      </w:r>
    </w:p>
    <w:p w14:paraId="6E9291B8" w14:textId="77777777" w:rsidR="00764C83" w:rsidRDefault="00764C83" w:rsidP="00BF23BB">
      <w:pPr>
        <w:tabs>
          <w:tab w:val="left" w:pos="567"/>
        </w:tabs>
        <w:ind w:left="567" w:hanging="567"/>
        <w:jc w:val="both"/>
        <w:rPr>
          <w:rFonts w:ascii="Book Antiqua" w:hAnsi="Book Antiqua" w:cs="Arial"/>
        </w:rPr>
      </w:pPr>
    </w:p>
    <w:p w14:paraId="07ED36C2" w14:textId="59817CC1" w:rsidR="00764C83" w:rsidRDefault="00764C83"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I am persuaded that the judge materially erred in law.  On the judge’s findings the appellant met the only requirements of the Rules that were doubted by the ECO.  There has been no reply from the ECO challenging those findings.  </w:t>
      </w:r>
      <w:proofErr w:type="gramStart"/>
      <w:r>
        <w:rPr>
          <w:rFonts w:ascii="Book Antiqua" w:hAnsi="Book Antiqua" w:cs="Arial"/>
        </w:rPr>
        <w:t>Accordingly</w:t>
      </w:r>
      <w:proofErr w:type="gramEnd"/>
      <w:r>
        <w:rPr>
          <w:rFonts w:ascii="Book Antiqua" w:hAnsi="Book Antiqua" w:cs="Arial"/>
        </w:rPr>
        <w:t xml:space="preserve"> the judge was obliged to </w:t>
      </w:r>
      <w:r w:rsidR="00F4194E">
        <w:rPr>
          <w:rFonts w:ascii="Book Antiqua" w:hAnsi="Book Antiqua" w:cs="Arial"/>
        </w:rPr>
        <w:t>weigh</w:t>
      </w:r>
      <w:r>
        <w:rPr>
          <w:rFonts w:ascii="Book Antiqua" w:hAnsi="Book Antiqua" w:cs="Arial"/>
        </w:rPr>
        <w:t xml:space="preserve"> in the balance that there was no longer any public interest considerations for resisting the appellant’s appeal.  It was clearly </w:t>
      </w:r>
      <w:r w:rsidR="00FC2E10">
        <w:rPr>
          <w:rFonts w:ascii="Book Antiqua" w:hAnsi="Book Antiqua" w:cs="Arial"/>
        </w:rPr>
        <w:t>accepted</w:t>
      </w:r>
      <w:r>
        <w:rPr>
          <w:rFonts w:ascii="Book Antiqua" w:hAnsi="Book Antiqua" w:cs="Arial"/>
        </w:rPr>
        <w:t xml:space="preserve"> by the judge that the appellant and the sponsor have an existing family life (see paragraph 14), even though they live in different countries presently.  In such circumstances, the legal position is even </w:t>
      </w:r>
      <w:r w:rsidR="00CD6F84">
        <w:rPr>
          <w:rFonts w:ascii="Book Antiqua" w:hAnsi="Book Antiqua" w:cs="Arial"/>
        </w:rPr>
        <w:t>more</w:t>
      </w:r>
      <w:r>
        <w:rPr>
          <w:rFonts w:ascii="Book Antiqua" w:hAnsi="Book Antiqua" w:cs="Arial"/>
        </w:rPr>
        <w:t xml:space="preserve"> clear-cut than was explained </w:t>
      </w:r>
      <w:r w:rsidR="00F4194E">
        <w:rPr>
          <w:rFonts w:ascii="Book Antiqua" w:hAnsi="Book Antiqua" w:cs="Arial"/>
        </w:rPr>
        <w:t>by</w:t>
      </w:r>
      <w:r>
        <w:rPr>
          <w:rFonts w:ascii="Book Antiqua" w:hAnsi="Book Antiqua" w:cs="Arial"/>
        </w:rPr>
        <w:t xml:space="preserve"> the Upper Tribunal in </w:t>
      </w:r>
      <w:r w:rsidRPr="00CD6F84">
        <w:rPr>
          <w:rFonts w:ascii="Book Antiqua" w:hAnsi="Book Antiqua" w:cs="Arial"/>
          <w:b/>
          <w:u w:val="single"/>
        </w:rPr>
        <w:t>M</w:t>
      </w:r>
      <w:r w:rsidR="00CD6F84" w:rsidRPr="00CD6F84">
        <w:rPr>
          <w:rFonts w:ascii="Book Antiqua" w:hAnsi="Book Antiqua" w:cs="Arial"/>
          <w:b/>
          <w:u w:val="single"/>
        </w:rPr>
        <w:t>o</w:t>
      </w:r>
      <w:r w:rsidRPr="00CD6F84">
        <w:rPr>
          <w:rFonts w:ascii="Book Antiqua" w:hAnsi="Book Antiqua" w:cs="Arial"/>
          <w:b/>
          <w:u w:val="single"/>
        </w:rPr>
        <w:t>stafa</w:t>
      </w:r>
      <w:r w:rsidRPr="00CD6F84">
        <w:rPr>
          <w:rFonts w:ascii="Book Antiqua" w:hAnsi="Book Antiqua" w:cs="Arial"/>
          <w:b/>
        </w:rPr>
        <w:t xml:space="preserve"> </w:t>
      </w:r>
      <w:r w:rsidRPr="00CD6F84">
        <w:rPr>
          <w:rFonts w:ascii="Book Antiqua" w:hAnsi="Book Antiqua" w:cs="Arial"/>
          <w:b/>
        </w:rPr>
        <w:lastRenderedPageBreak/>
        <w:t xml:space="preserve">(Article 8 in entry clearance) </w:t>
      </w:r>
      <w:r w:rsidRPr="00A45FD4">
        <w:rPr>
          <w:rFonts w:ascii="Book Antiqua" w:hAnsi="Book Antiqua" w:cs="Arial"/>
        </w:rPr>
        <w:t>[2015] UKUT 00112 (IAC).</w:t>
      </w:r>
      <w:r>
        <w:rPr>
          <w:rFonts w:ascii="Book Antiqua" w:hAnsi="Book Antiqua" w:cs="Arial"/>
        </w:rPr>
        <w:t xml:space="preserve">  In </w:t>
      </w:r>
      <w:r w:rsidRPr="00CD6F84">
        <w:rPr>
          <w:rFonts w:ascii="Book Antiqua" w:hAnsi="Book Antiqua" w:cs="Arial"/>
          <w:b/>
          <w:u w:val="single"/>
        </w:rPr>
        <w:t>TZ (Pakistan)</w:t>
      </w:r>
      <w:r w:rsidR="00CD6F84" w:rsidRPr="00CD6F84">
        <w:rPr>
          <w:rFonts w:ascii="Book Antiqua" w:hAnsi="Book Antiqua" w:cs="Arial"/>
          <w:b/>
          <w:u w:val="single"/>
        </w:rPr>
        <w:t xml:space="preserve"> and</w:t>
      </w:r>
      <w:r w:rsidRPr="00CD6F84">
        <w:rPr>
          <w:rFonts w:ascii="Book Antiqua" w:hAnsi="Book Antiqua" w:cs="Arial"/>
          <w:b/>
          <w:u w:val="single"/>
        </w:rPr>
        <w:t xml:space="preserve"> PG (</w:t>
      </w:r>
      <w:r w:rsidR="00CD6F84" w:rsidRPr="00CD6F84">
        <w:rPr>
          <w:rFonts w:ascii="Book Antiqua" w:hAnsi="Book Antiqua" w:cs="Arial"/>
          <w:b/>
          <w:u w:val="single"/>
        </w:rPr>
        <w:t>India)</w:t>
      </w:r>
      <w:r w:rsidRPr="00CD6F84">
        <w:rPr>
          <w:rFonts w:ascii="Book Antiqua" w:hAnsi="Book Antiqua" w:cs="Arial"/>
          <w:b/>
          <w:u w:val="single"/>
        </w:rPr>
        <w:t xml:space="preserve"> v SSHD</w:t>
      </w:r>
      <w:r w:rsidRPr="00CD6F84">
        <w:rPr>
          <w:rFonts w:ascii="Book Antiqua" w:hAnsi="Book Antiqua" w:cs="Arial"/>
          <w:b/>
        </w:rPr>
        <w:t xml:space="preserve"> </w:t>
      </w:r>
      <w:r w:rsidRPr="00A45FD4">
        <w:rPr>
          <w:rFonts w:ascii="Book Antiqua" w:hAnsi="Book Antiqua" w:cs="Arial"/>
        </w:rPr>
        <w:t xml:space="preserve">[2018] EWCA </w:t>
      </w:r>
      <w:proofErr w:type="spellStart"/>
      <w:r w:rsidRPr="00A45FD4">
        <w:rPr>
          <w:rFonts w:ascii="Book Antiqua" w:hAnsi="Book Antiqua" w:cs="Arial"/>
        </w:rPr>
        <w:t>Civ</w:t>
      </w:r>
      <w:proofErr w:type="spellEnd"/>
      <w:r w:rsidRPr="00A45FD4">
        <w:rPr>
          <w:rFonts w:ascii="Book Antiqua" w:hAnsi="Book Antiqua" w:cs="Arial"/>
        </w:rPr>
        <w:t xml:space="preserve"> 1109</w:t>
      </w:r>
      <w:r>
        <w:rPr>
          <w:rFonts w:ascii="Book Antiqua" w:hAnsi="Book Antiqua" w:cs="Arial"/>
        </w:rPr>
        <w:t xml:space="preserve"> </w:t>
      </w:r>
      <w:r w:rsidR="00A45FD4">
        <w:rPr>
          <w:rFonts w:ascii="Book Antiqua" w:hAnsi="Book Antiqua" w:cs="Arial"/>
        </w:rPr>
        <w:t xml:space="preserve">at [34] </w:t>
      </w:r>
      <w:r>
        <w:rPr>
          <w:rFonts w:ascii="Book Antiqua" w:hAnsi="Book Antiqua" w:cs="Arial"/>
        </w:rPr>
        <w:t>the Court of Appeal has held that where Article 8</w:t>
      </w:r>
      <w:r w:rsidR="00F4194E">
        <w:rPr>
          <w:rFonts w:ascii="Book Antiqua" w:hAnsi="Book Antiqua" w:cs="Arial"/>
        </w:rPr>
        <w:t xml:space="preserve"> is engaged, satisfying the Immigration Rules also means that the removal would be disproportionate.  I can see no reason why the same legal logic as set out in [34] should not apply to a denial of entry clearance.  </w:t>
      </w:r>
    </w:p>
    <w:p w14:paraId="325A6E25" w14:textId="77777777" w:rsidR="00F4194E" w:rsidRDefault="00F4194E" w:rsidP="00BF23BB">
      <w:pPr>
        <w:tabs>
          <w:tab w:val="left" w:pos="567"/>
        </w:tabs>
        <w:ind w:left="567" w:hanging="567"/>
        <w:jc w:val="both"/>
        <w:rPr>
          <w:rFonts w:ascii="Book Antiqua" w:hAnsi="Book Antiqua" w:cs="Arial"/>
        </w:rPr>
      </w:pPr>
    </w:p>
    <w:p w14:paraId="524047B9" w14:textId="77777777" w:rsidR="00F4194E" w:rsidRDefault="00F4194E"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For the above reasons I set aside the decision of the </w:t>
      </w:r>
      <w:proofErr w:type="spellStart"/>
      <w:r>
        <w:rPr>
          <w:rFonts w:ascii="Book Antiqua" w:hAnsi="Book Antiqua" w:cs="Arial"/>
        </w:rPr>
        <w:t>FtT</w:t>
      </w:r>
      <w:proofErr w:type="spellEnd"/>
      <w:r>
        <w:rPr>
          <w:rFonts w:ascii="Book Antiqua" w:hAnsi="Book Antiqua" w:cs="Arial"/>
        </w:rPr>
        <w:t xml:space="preserve"> Judge for material error of law.  </w:t>
      </w:r>
    </w:p>
    <w:p w14:paraId="070C6C96" w14:textId="77777777" w:rsidR="00F4194E" w:rsidRDefault="00F4194E" w:rsidP="00BF23BB">
      <w:pPr>
        <w:tabs>
          <w:tab w:val="left" w:pos="567"/>
        </w:tabs>
        <w:ind w:left="567" w:hanging="567"/>
        <w:jc w:val="both"/>
        <w:rPr>
          <w:rFonts w:ascii="Book Antiqua" w:hAnsi="Book Antiqua" w:cs="Arial"/>
        </w:rPr>
      </w:pPr>
    </w:p>
    <w:p w14:paraId="02AE6AF2" w14:textId="4E46025A" w:rsidR="00F4194E" w:rsidRDefault="00F4194E"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 am in a position to re-make the decision without further</w:t>
      </w:r>
      <w:r w:rsidR="00A45FD4">
        <w:rPr>
          <w:rFonts w:ascii="Book Antiqua" w:hAnsi="Book Antiqua" w:cs="Arial"/>
        </w:rPr>
        <w:t xml:space="preserve"> ado since, applying the logic</w:t>
      </w:r>
      <w:r>
        <w:rPr>
          <w:rFonts w:ascii="Book Antiqua" w:hAnsi="Book Antiqua" w:cs="Arial"/>
        </w:rPr>
        <w:t xml:space="preserve"> of the Court of Appeal’s reasoning in [34] of </w:t>
      </w:r>
      <w:r w:rsidRPr="00CD6F84">
        <w:rPr>
          <w:rFonts w:ascii="Book Antiqua" w:hAnsi="Book Antiqua" w:cs="Arial"/>
          <w:b/>
          <w:u w:val="single"/>
        </w:rPr>
        <w:t>TZ</w:t>
      </w:r>
      <w:r w:rsidRPr="00CD6F84">
        <w:rPr>
          <w:rFonts w:ascii="Book Antiqua" w:hAnsi="Book Antiqua" w:cs="Arial"/>
          <w:b/>
        </w:rPr>
        <w:t xml:space="preserve"> (Pakistan)</w:t>
      </w:r>
      <w:r>
        <w:rPr>
          <w:rFonts w:ascii="Book Antiqua" w:hAnsi="Book Antiqua" w:cs="Arial"/>
        </w:rPr>
        <w:t xml:space="preserve">, the fact that the appellant met the Immigration Rules </w:t>
      </w:r>
      <w:r w:rsidR="0058707B">
        <w:rPr>
          <w:rFonts w:ascii="Book Antiqua" w:hAnsi="Book Antiqua" w:cs="Arial"/>
        </w:rPr>
        <w:t xml:space="preserve">and enjoys an existent Article 8(1) right to family life </w:t>
      </w:r>
      <w:r>
        <w:rPr>
          <w:rFonts w:ascii="Book Antiqua" w:hAnsi="Book Antiqua" w:cs="Arial"/>
        </w:rPr>
        <w:t xml:space="preserve">is </w:t>
      </w:r>
      <w:r w:rsidR="00A45FD4">
        <w:rPr>
          <w:rFonts w:ascii="Book Antiqua" w:hAnsi="Book Antiqua" w:cs="Arial"/>
        </w:rPr>
        <w:t>sufficient for the</w:t>
      </w:r>
      <w:r>
        <w:rPr>
          <w:rFonts w:ascii="Book Antiqua" w:hAnsi="Book Antiqua" w:cs="Arial"/>
        </w:rPr>
        <w:t xml:space="preserve"> issue of proportionality </w:t>
      </w:r>
      <w:r w:rsidR="00A45FD4">
        <w:rPr>
          <w:rFonts w:ascii="Book Antiqua" w:hAnsi="Book Antiqua" w:cs="Arial"/>
        </w:rPr>
        <w:t xml:space="preserve">to be decided </w:t>
      </w:r>
      <w:r>
        <w:rPr>
          <w:rFonts w:ascii="Book Antiqua" w:hAnsi="Book Antiqua" w:cs="Arial"/>
        </w:rPr>
        <w:t xml:space="preserve">in the appellant’s favour.  </w:t>
      </w:r>
    </w:p>
    <w:p w14:paraId="78497F15" w14:textId="77777777" w:rsidR="00F4194E" w:rsidRDefault="00F4194E" w:rsidP="00BF23BB">
      <w:pPr>
        <w:tabs>
          <w:tab w:val="left" w:pos="567"/>
        </w:tabs>
        <w:ind w:left="567" w:hanging="567"/>
        <w:jc w:val="both"/>
        <w:rPr>
          <w:rFonts w:ascii="Book Antiqua" w:hAnsi="Book Antiqua" w:cs="Arial"/>
        </w:rPr>
      </w:pPr>
    </w:p>
    <w:p w14:paraId="369D392D" w14:textId="77777777" w:rsidR="00F4194E" w:rsidRDefault="00F4194E"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To conclude:</w:t>
      </w:r>
    </w:p>
    <w:p w14:paraId="48A73728" w14:textId="77777777" w:rsidR="00F4194E" w:rsidRDefault="00F4194E" w:rsidP="00BF23BB">
      <w:pPr>
        <w:tabs>
          <w:tab w:val="left" w:pos="567"/>
        </w:tabs>
        <w:ind w:left="567" w:hanging="567"/>
        <w:jc w:val="both"/>
        <w:rPr>
          <w:rFonts w:ascii="Book Antiqua" w:hAnsi="Book Antiqua" w:cs="Arial"/>
        </w:rPr>
      </w:pPr>
    </w:p>
    <w:p w14:paraId="51FBE221" w14:textId="77777777" w:rsidR="00F4194E" w:rsidRDefault="00F4194E" w:rsidP="00F4194E">
      <w:pPr>
        <w:ind w:left="567"/>
        <w:jc w:val="both"/>
        <w:rPr>
          <w:rFonts w:ascii="Book Antiqua" w:hAnsi="Book Antiqua" w:cs="Arial"/>
        </w:rPr>
      </w:pPr>
      <w:r>
        <w:rPr>
          <w:rFonts w:ascii="Book Antiqua" w:hAnsi="Book Antiqua" w:cs="Arial"/>
        </w:rPr>
        <w:t xml:space="preserve">The decision of the </w:t>
      </w:r>
      <w:proofErr w:type="spellStart"/>
      <w:r>
        <w:rPr>
          <w:rFonts w:ascii="Book Antiqua" w:hAnsi="Book Antiqua" w:cs="Arial"/>
        </w:rPr>
        <w:t>FtT</w:t>
      </w:r>
      <w:proofErr w:type="spellEnd"/>
      <w:r>
        <w:rPr>
          <w:rFonts w:ascii="Book Antiqua" w:hAnsi="Book Antiqua" w:cs="Arial"/>
        </w:rPr>
        <w:t xml:space="preserve"> Judge is set aside for material error of law.  </w:t>
      </w:r>
    </w:p>
    <w:p w14:paraId="471EFBB5" w14:textId="77777777" w:rsidR="00F4194E" w:rsidRDefault="00F4194E" w:rsidP="00F4194E">
      <w:pPr>
        <w:ind w:left="567"/>
        <w:jc w:val="both"/>
        <w:rPr>
          <w:rFonts w:ascii="Book Antiqua" w:hAnsi="Book Antiqua" w:cs="Arial"/>
        </w:rPr>
      </w:pPr>
    </w:p>
    <w:p w14:paraId="0AAB21EE" w14:textId="77777777" w:rsidR="00F4194E" w:rsidRDefault="00F4194E" w:rsidP="00F4194E">
      <w:pPr>
        <w:ind w:left="567"/>
        <w:jc w:val="both"/>
        <w:rPr>
          <w:rFonts w:ascii="Book Antiqua" w:hAnsi="Book Antiqua" w:cs="Arial"/>
        </w:rPr>
      </w:pPr>
      <w:r>
        <w:rPr>
          <w:rFonts w:ascii="Book Antiqua" w:hAnsi="Book Antiqua" w:cs="Arial"/>
        </w:rPr>
        <w:t xml:space="preserve">The decision I re-make is to allow the appellant’s human rights appeal.  </w:t>
      </w:r>
    </w:p>
    <w:p w14:paraId="7E1CD3F2" w14:textId="77777777" w:rsidR="00967DB0" w:rsidRDefault="00967DB0" w:rsidP="00173CC6">
      <w:pPr>
        <w:jc w:val="both"/>
        <w:rPr>
          <w:rFonts w:ascii="Book Antiqua" w:hAnsi="Book Antiqua" w:cs="Arial"/>
        </w:rPr>
      </w:pPr>
    </w:p>
    <w:p w14:paraId="32FBE486" w14:textId="77777777" w:rsidR="00173CC6" w:rsidRPr="00173CC6" w:rsidRDefault="00173CC6" w:rsidP="00173CC6">
      <w:pPr>
        <w:jc w:val="both"/>
        <w:rPr>
          <w:rFonts w:ascii="Book Antiqua" w:hAnsi="Book Antiqua" w:cs="Arial"/>
        </w:rPr>
      </w:pPr>
      <w:r w:rsidRPr="00173CC6">
        <w:rPr>
          <w:rFonts w:ascii="Book Antiqua" w:hAnsi="Book Antiqua" w:cs="Arial"/>
        </w:rPr>
        <w:t>No anonymity direction is made.</w:t>
      </w:r>
    </w:p>
    <w:p w14:paraId="047ABB08" w14:textId="77777777" w:rsidR="00173CC6" w:rsidRPr="00173CC6" w:rsidRDefault="00173CC6" w:rsidP="00173CC6">
      <w:pPr>
        <w:jc w:val="both"/>
        <w:rPr>
          <w:rFonts w:ascii="Book Antiqua" w:hAnsi="Book Antiqua" w:cs="Arial"/>
        </w:rPr>
      </w:pPr>
    </w:p>
    <w:p w14:paraId="173E283C" w14:textId="77777777" w:rsidR="00967DB0" w:rsidRPr="00B57D66" w:rsidRDefault="00967DB0" w:rsidP="00780F86">
      <w:pPr>
        <w:ind w:left="540" w:hanging="540"/>
        <w:jc w:val="both"/>
        <w:rPr>
          <w:rFonts w:ascii="Book Antiqua" w:hAnsi="Book Antiqua" w:cs="Arial"/>
        </w:rPr>
      </w:pPr>
    </w:p>
    <w:p w14:paraId="469A3AB2" w14:textId="1B2FD906"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A45FD4">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A45FD4">
        <w:rPr>
          <w:rFonts w:ascii="Book Antiqua" w:hAnsi="Book Antiqua" w:cs="Arial"/>
        </w:rPr>
        <w:t>: 15 June 2018</w:t>
      </w:r>
    </w:p>
    <w:p w14:paraId="25CAA1A5" w14:textId="77777777" w:rsidR="001F2716" w:rsidRPr="00B57D66" w:rsidRDefault="001F2716" w:rsidP="00402B9E">
      <w:pPr>
        <w:tabs>
          <w:tab w:val="left" w:pos="2520"/>
        </w:tabs>
        <w:ind w:left="540" w:hanging="540"/>
        <w:jc w:val="both"/>
        <w:rPr>
          <w:rFonts w:ascii="Book Antiqua" w:hAnsi="Book Antiqua" w:cs="Arial"/>
        </w:rPr>
      </w:pPr>
    </w:p>
    <w:p w14:paraId="69A80EC1" w14:textId="7257539E" w:rsidR="001F2716" w:rsidRPr="00B57D66" w:rsidRDefault="00A45FD4" w:rsidP="00402B9E">
      <w:pPr>
        <w:tabs>
          <w:tab w:val="left" w:pos="2520"/>
        </w:tabs>
        <w:ind w:left="540" w:hanging="540"/>
        <w:jc w:val="both"/>
        <w:rPr>
          <w:rFonts w:ascii="Book Antiqua" w:hAnsi="Book Antiqua" w:cs="Arial"/>
        </w:rPr>
      </w:pPr>
      <w:r>
        <w:rPr>
          <w:rFonts w:ascii="Book Antiqua" w:hAnsi="Book Antiqua" w:cs="Arial"/>
        </w:rPr>
        <w:t xml:space="preserve">             </w:t>
      </w:r>
      <w:r w:rsidRPr="00B35E85">
        <w:rPr>
          <w:noProof/>
        </w:rPr>
        <w:drawing>
          <wp:inline distT="0" distB="0" distL="0" distR="0" wp14:anchorId="4C966DCD" wp14:editId="49B6513C">
            <wp:extent cx="1715135" cy="507365"/>
            <wp:effectExtent l="0" t="0" r="1206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135" cy="507365"/>
                    </a:xfrm>
                    <a:prstGeom prst="rect">
                      <a:avLst/>
                    </a:prstGeom>
                    <a:noFill/>
                    <a:ln>
                      <a:noFill/>
                    </a:ln>
                  </pic:spPr>
                </pic:pic>
              </a:graphicData>
            </a:graphic>
          </wp:inline>
        </w:drawing>
      </w:r>
    </w:p>
    <w:p w14:paraId="6F4AFDD1"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Dr H </w:t>
      </w:r>
      <w:proofErr w:type="spellStart"/>
      <w:r>
        <w:rPr>
          <w:rFonts w:ascii="Book Antiqua" w:hAnsi="Book Antiqua" w:cs="Arial"/>
          <w:color w:val="000000"/>
        </w:rPr>
        <w:t>H</w:t>
      </w:r>
      <w:proofErr w:type="spellEnd"/>
      <w:r>
        <w:rPr>
          <w:rFonts w:ascii="Book Antiqua" w:hAnsi="Book Antiqua" w:cs="Arial"/>
          <w:color w:val="000000"/>
        </w:rPr>
        <w:t xml:space="preserve"> Storey</w:t>
      </w:r>
    </w:p>
    <w:p w14:paraId="2AF836DC" w14:textId="77777777"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0F5D5A2F" w14:textId="77777777" w:rsidR="00173CC6" w:rsidRDefault="00173CC6" w:rsidP="007702DD">
      <w:pPr>
        <w:tabs>
          <w:tab w:val="left" w:pos="2520"/>
        </w:tabs>
        <w:ind w:left="540" w:hanging="540"/>
        <w:jc w:val="both"/>
        <w:rPr>
          <w:rFonts w:ascii="Book Antiqua" w:hAnsi="Book Antiqua" w:cs="Arial"/>
          <w:color w:val="000000"/>
        </w:rPr>
      </w:pPr>
    </w:p>
    <w:sectPr w:rsidR="00173CC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FD6B2" w14:textId="77777777" w:rsidR="001031AD" w:rsidRDefault="001031AD">
      <w:r>
        <w:separator/>
      </w:r>
    </w:p>
  </w:endnote>
  <w:endnote w:type="continuationSeparator" w:id="0">
    <w:p w14:paraId="2F25F687" w14:textId="77777777" w:rsidR="001031AD" w:rsidRDefault="0010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405FE" w14:textId="3413E730"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57138D">
      <w:rPr>
        <w:rStyle w:val="PageNumber"/>
        <w:rFonts w:ascii="Book Antiqua" w:hAnsi="Book Antiqua" w:cs="Arial"/>
        <w:noProof/>
        <w:sz w:val="16"/>
        <w:szCs w:val="16"/>
      </w:rPr>
      <w:t>3</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7DDC9"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71D0F" w14:textId="77777777" w:rsidR="001031AD" w:rsidRDefault="001031AD">
      <w:r>
        <w:separator/>
      </w:r>
    </w:p>
  </w:footnote>
  <w:footnote w:type="continuationSeparator" w:id="0">
    <w:p w14:paraId="34BC442A" w14:textId="77777777" w:rsidR="001031AD" w:rsidRDefault="00103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0154A"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 xml:space="preserve">Appeal Number: </w:t>
    </w:r>
    <w:r w:rsidR="00BC689E" w:rsidRPr="00BC689E">
      <w:rPr>
        <w:rFonts w:ascii="Book Antiqua" w:hAnsi="Book Antiqua" w:cs="Arial"/>
        <w:sz w:val="16"/>
        <w:szCs w:val="16"/>
      </w:rPr>
      <w:t>HU/18236/2016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761BF"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7FB"/>
    <w:rsid w:val="00000621"/>
    <w:rsid w:val="000036C2"/>
    <w:rsid w:val="00033D3D"/>
    <w:rsid w:val="00041A05"/>
    <w:rsid w:val="00062F02"/>
    <w:rsid w:val="00071A7E"/>
    <w:rsid w:val="000746C0"/>
    <w:rsid w:val="00074D1D"/>
    <w:rsid w:val="00082E32"/>
    <w:rsid w:val="00092580"/>
    <w:rsid w:val="00093D4D"/>
    <w:rsid w:val="000973C4"/>
    <w:rsid w:val="000A2820"/>
    <w:rsid w:val="000A383D"/>
    <w:rsid w:val="000D326A"/>
    <w:rsid w:val="000D5D94"/>
    <w:rsid w:val="000F1A0E"/>
    <w:rsid w:val="001031AD"/>
    <w:rsid w:val="001165A7"/>
    <w:rsid w:val="00152059"/>
    <w:rsid w:val="00167D3A"/>
    <w:rsid w:val="00173CC6"/>
    <w:rsid w:val="001A3082"/>
    <w:rsid w:val="001B186A"/>
    <w:rsid w:val="001B2F75"/>
    <w:rsid w:val="001D4DD2"/>
    <w:rsid w:val="001F2716"/>
    <w:rsid w:val="00200F1B"/>
    <w:rsid w:val="00207617"/>
    <w:rsid w:val="0023134B"/>
    <w:rsid w:val="00277CB5"/>
    <w:rsid w:val="00283659"/>
    <w:rsid w:val="002847FB"/>
    <w:rsid w:val="002C6BD4"/>
    <w:rsid w:val="002D68BF"/>
    <w:rsid w:val="002E476B"/>
    <w:rsid w:val="002F6B98"/>
    <w:rsid w:val="00307FF9"/>
    <w:rsid w:val="00327658"/>
    <w:rsid w:val="00336CBF"/>
    <w:rsid w:val="00343FE3"/>
    <w:rsid w:val="003546C8"/>
    <w:rsid w:val="00387A9C"/>
    <w:rsid w:val="003A7CF2"/>
    <w:rsid w:val="003C5CE5"/>
    <w:rsid w:val="003E267B"/>
    <w:rsid w:val="003E7CD1"/>
    <w:rsid w:val="003F367D"/>
    <w:rsid w:val="00402B9E"/>
    <w:rsid w:val="004249CB"/>
    <w:rsid w:val="00426616"/>
    <w:rsid w:val="004338FC"/>
    <w:rsid w:val="0044127D"/>
    <w:rsid w:val="004448DB"/>
    <w:rsid w:val="00446C9A"/>
    <w:rsid w:val="00452F2B"/>
    <w:rsid w:val="0046454F"/>
    <w:rsid w:val="00471B09"/>
    <w:rsid w:val="00477193"/>
    <w:rsid w:val="004A1848"/>
    <w:rsid w:val="004A3DFC"/>
    <w:rsid w:val="004A6F4A"/>
    <w:rsid w:val="004B5AEF"/>
    <w:rsid w:val="004E4717"/>
    <w:rsid w:val="00500E0C"/>
    <w:rsid w:val="005076C0"/>
    <w:rsid w:val="00507FEC"/>
    <w:rsid w:val="00510F0E"/>
    <w:rsid w:val="00531ADC"/>
    <w:rsid w:val="005339AD"/>
    <w:rsid w:val="005479E1"/>
    <w:rsid w:val="00553E0A"/>
    <w:rsid w:val="005570FD"/>
    <w:rsid w:val="005575EA"/>
    <w:rsid w:val="005665A9"/>
    <w:rsid w:val="005672D1"/>
    <w:rsid w:val="0057138D"/>
    <w:rsid w:val="0057790C"/>
    <w:rsid w:val="0058707B"/>
    <w:rsid w:val="00593795"/>
    <w:rsid w:val="005A13AD"/>
    <w:rsid w:val="005A487B"/>
    <w:rsid w:val="005A75FF"/>
    <w:rsid w:val="005D10AB"/>
    <w:rsid w:val="005F7FA2"/>
    <w:rsid w:val="00601D8F"/>
    <w:rsid w:val="006215B3"/>
    <w:rsid w:val="00653E97"/>
    <w:rsid w:val="00684A74"/>
    <w:rsid w:val="00690B8A"/>
    <w:rsid w:val="006B2B73"/>
    <w:rsid w:val="006C5560"/>
    <w:rsid w:val="006F2CF1"/>
    <w:rsid w:val="00700CB3"/>
    <w:rsid w:val="007038ED"/>
    <w:rsid w:val="00703BC3"/>
    <w:rsid w:val="00704B61"/>
    <w:rsid w:val="00720D28"/>
    <w:rsid w:val="0074439E"/>
    <w:rsid w:val="007552A9"/>
    <w:rsid w:val="00761858"/>
    <w:rsid w:val="00761DDA"/>
    <w:rsid w:val="00764C83"/>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659EC"/>
    <w:rsid w:val="00871D34"/>
    <w:rsid w:val="00872D99"/>
    <w:rsid w:val="00887DA7"/>
    <w:rsid w:val="008A01DD"/>
    <w:rsid w:val="008A151B"/>
    <w:rsid w:val="008B270C"/>
    <w:rsid w:val="008B4F43"/>
    <w:rsid w:val="008B5078"/>
    <w:rsid w:val="008C3D3D"/>
    <w:rsid w:val="008D1A1C"/>
    <w:rsid w:val="008D4131"/>
    <w:rsid w:val="008F0203"/>
    <w:rsid w:val="008F1932"/>
    <w:rsid w:val="008F1BC2"/>
    <w:rsid w:val="00921062"/>
    <w:rsid w:val="009407F7"/>
    <w:rsid w:val="00967DB0"/>
    <w:rsid w:val="009722BC"/>
    <w:rsid w:val="009727A3"/>
    <w:rsid w:val="00975893"/>
    <w:rsid w:val="00987774"/>
    <w:rsid w:val="009A11E8"/>
    <w:rsid w:val="009B4673"/>
    <w:rsid w:val="009F5220"/>
    <w:rsid w:val="00A15234"/>
    <w:rsid w:val="00A201AB"/>
    <w:rsid w:val="00A216A5"/>
    <w:rsid w:val="00A2306E"/>
    <w:rsid w:val="00A31C8B"/>
    <w:rsid w:val="00A45FD4"/>
    <w:rsid w:val="00A50368"/>
    <w:rsid w:val="00A509FA"/>
    <w:rsid w:val="00A845DC"/>
    <w:rsid w:val="00A9409A"/>
    <w:rsid w:val="00AD17CF"/>
    <w:rsid w:val="00B26AA2"/>
    <w:rsid w:val="00B3524D"/>
    <w:rsid w:val="00B40F69"/>
    <w:rsid w:val="00B448D5"/>
    <w:rsid w:val="00B46616"/>
    <w:rsid w:val="00B57D66"/>
    <w:rsid w:val="00B7040A"/>
    <w:rsid w:val="00B83391"/>
    <w:rsid w:val="00B95326"/>
    <w:rsid w:val="00BB45A9"/>
    <w:rsid w:val="00BC689E"/>
    <w:rsid w:val="00BD4196"/>
    <w:rsid w:val="00BE2F3A"/>
    <w:rsid w:val="00BF22CA"/>
    <w:rsid w:val="00BF23BB"/>
    <w:rsid w:val="00C12F95"/>
    <w:rsid w:val="00C26032"/>
    <w:rsid w:val="00C345E1"/>
    <w:rsid w:val="00C43BFD"/>
    <w:rsid w:val="00C816AD"/>
    <w:rsid w:val="00CB6E35"/>
    <w:rsid w:val="00CC26E8"/>
    <w:rsid w:val="00CD4CBE"/>
    <w:rsid w:val="00CD6F84"/>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A34A8"/>
    <w:rsid w:val="00DB70AE"/>
    <w:rsid w:val="00DC375C"/>
    <w:rsid w:val="00DD5071"/>
    <w:rsid w:val="00DD5C39"/>
    <w:rsid w:val="00DE7DB7"/>
    <w:rsid w:val="00E00A0A"/>
    <w:rsid w:val="00E01592"/>
    <w:rsid w:val="00E066DE"/>
    <w:rsid w:val="00E07F57"/>
    <w:rsid w:val="00E20E58"/>
    <w:rsid w:val="00E24E82"/>
    <w:rsid w:val="00E30683"/>
    <w:rsid w:val="00E4074F"/>
    <w:rsid w:val="00E453D8"/>
    <w:rsid w:val="00E465F2"/>
    <w:rsid w:val="00E500B2"/>
    <w:rsid w:val="00E50BCE"/>
    <w:rsid w:val="00E556B8"/>
    <w:rsid w:val="00E574BF"/>
    <w:rsid w:val="00E61292"/>
    <w:rsid w:val="00E77C4D"/>
    <w:rsid w:val="00E81D01"/>
    <w:rsid w:val="00E82519"/>
    <w:rsid w:val="00ED6E0E"/>
    <w:rsid w:val="00EE45D8"/>
    <w:rsid w:val="00F17123"/>
    <w:rsid w:val="00F22EDA"/>
    <w:rsid w:val="00F35C16"/>
    <w:rsid w:val="00F4194E"/>
    <w:rsid w:val="00F465D5"/>
    <w:rsid w:val="00F47952"/>
    <w:rsid w:val="00F93ABB"/>
    <w:rsid w:val="00F95BB7"/>
    <w:rsid w:val="00FA6FCD"/>
    <w:rsid w:val="00FC2E10"/>
    <w:rsid w:val="00FC45FD"/>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9985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2018-07-12T14:55:00Z</dcterms:created>
  <dcterms:modified xsi:type="dcterms:W3CDTF">2018-07-12T14:55:00Z</dcterms:modified>
</cp:coreProperties>
</file>