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9B" w:rsidRPr="00F15FCE" w:rsidRDefault="005F6F9B" w:rsidP="005F6F9B">
      <w:pPr>
        <w:ind w:left="567"/>
        <w:jc w:val="center"/>
        <w:rPr>
          <w:rFonts w:ascii="Book Antiqua" w:hAnsi="Book Antiqua" w:cs="Arial"/>
          <w:caps/>
          <w:color w:val="000000"/>
          <w:sz w:val="16"/>
          <w:szCs w:val="16"/>
        </w:rPr>
      </w:pPr>
      <w:r>
        <w:rPr>
          <w:noProof/>
        </w:rPr>
        <w:drawing>
          <wp:inline distT="0" distB="0" distL="0" distR="0">
            <wp:extent cx="10477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5F6F9B" w:rsidRPr="00AE6DDE" w:rsidRDefault="005F6F9B" w:rsidP="005F6F9B">
      <w:pPr>
        <w:ind w:left="567"/>
        <w:rPr>
          <w:rFonts w:ascii="Book Antiqua" w:hAnsi="Book Antiqua" w:cs="Arial"/>
          <w:color w:val="000000"/>
        </w:rPr>
      </w:pPr>
    </w:p>
    <w:p w:rsidR="005F6F9B" w:rsidRPr="00AE6DDE" w:rsidRDefault="005F6F9B" w:rsidP="005F6F9B">
      <w:pPr>
        <w:tabs>
          <w:tab w:val="right" w:pos="9720"/>
        </w:tabs>
        <w:ind w:left="567" w:right="-82"/>
        <w:rPr>
          <w:rFonts w:ascii="Book Antiqua" w:hAnsi="Book Antiqua" w:cs="Arial"/>
          <w:b/>
          <w:color w:val="000000"/>
        </w:rPr>
      </w:pPr>
      <w:r w:rsidRPr="00AE6DDE">
        <w:rPr>
          <w:rFonts w:ascii="Book Antiqua" w:hAnsi="Book Antiqua" w:cs="Arial"/>
          <w:b/>
          <w:color w:val="000000"/>
        </w:rPr>
        <w:t xml:space="preserve">Upper Tribunal </w:t>
      </w:r>
    </w:p>
    <w:p w:rsidR="005F6F9B" w:rsidRPr="004B6A79" w:rsidRDefault="005F6F9B" w:rsidP="005F6F9B">
      <w:pPr>
        <w:tabs>
          <w:tab w:val="right" w:pos="9720"/>
        </w:tabs>
        <w:ind w:left="567" w:right="-82"/>
        <w:rPr>
          <w:rFonts w:ascii="Book Antiqua" w:hAnsi="Book Antiqua" w:cs="Arial"/>
          <w:b/>
          <w:bCs/>
          <w:caps/>
          <w:color w:val="000000"/>
        </w:rPr>
      </w:pPr>
      <w:r w:rsidRPr="00AE6DDE">
        <w:rPr>
          <w:rFonts w:ascii="Book Antiqua" w:hAnsi="Book Antiqua" w:cs="Arial"/>
          <w:b/>
          <w:color w:val="000000"/>
        </w:rPr>
        <w:t>(Immigration and Asylum Chamber)</w:t>
      </w:r>
      <w:r w:rsidRPr="00AE6DDE">
        <w:rPr>
          <w:rFonts w:ascii="Book Antiqua" w:hAnsi="Book Antiqua" w:cs="Arial"/>
          <w:b/>
          <w:color w:val="000000"/>
        </w:rPr>
        <w:tab/>
      </w:r>
      <w:r w:rsidRPr="00F47FB8">
        <w:rPr>
          <w:rFonts w:ascii="Book Antiqua" w:hAnsi="Book Antiqua" w:cs="Arial"/>
          <w:b/>
          <w:color w:val="000000"/>
        </w:rPr>
        <w:t>Appeal Number: HU/18257/2018</w:t>
      </w:r>
      <w:r>
        <w:rPr>
          <w:rFonts w:ascii="Book Antiqua" w:hAnsi="Book Antiqua" w:cs="Arial"/>
          <w:color w:val="000000"/>
        </w:rPr>
        <w:t xml:space="preserve"> </w:t>
      </w:r>
      <w:r>
        <w:rPr>
          <w:rFonts w:ascii="Book Antiqua" w:hAnsi="Book Antiqua" w:cs="Arial"/>
          <w:b/>
          <w:bCs/>
          <w:color w:val="000000"/>
        </w:rPr>
        <w:t>(P)</w:t>
      </w:r>
    </w:p>
    <w:p w:rsidR="005F6F9B" w:rsidRPr="00AE6DDE" w:rsidRDefault="005F6F9B" w:rsidP="005F6F9B">
      <w:pPr>
        <w:ind w:left="567"/>
        <w:jc w:val="center"/>
        <w:rPr>
          <w:rFonts w:ascii="Book Antiqua" w:hAnsi="Book Antiqua" w:cs="Arial"/>
          <w:color w:val="000000"/>
        </w:rPr>
      </w:pPr>
    </w:p>
    <w:p w:rsidR="005F6F9B" w:rsidRPr="00AE6DDE" w:rsidRDefault="005F6F9B" w:rsidP="005F6F9B">
      <w:pPr>
        <w:ind w:left="567"/>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5F6F9B" w:rsidRPr="00AE6DDE" w:rsidRDefault="005F6F9B" w:rsidP="005F6F9B">
      <w:pPr>
        <w:ind w:left="567"/>
        <w:jc w:val="center"/>
        <w:rPr>
          <w:rFonts w:ascii="Book Antiqua" w:hAnsi="Book Antiqua" w:cs="Arial"/>
          <w:b/>
          <w:u w:val="single"/>
        </w:rPr>
      </w:pPr>
    </w:p>
    <w:tbl>
      <w:tblPr>
        <w:tblW w:w="9828" w:type="dxa"/>
        <w:tblInd w:w="567" w:type="dxa"/>
        <w:tblLook w:val="01E0" w:firstRow="1" w:lastRow="1" w:firstColumn="1" w:lastColumn="1" w:noHBand="0" w:noVBand="0"/>
      </w:tblPr>
      <w:tblGrid>
        <w:gridCol w:w="5245"/>
        <w:gridCol w:w="4583"/>
      </w:tblGrid>
      <w:tr w:rsidR="005F6F9B" w:rsidRPr="004B65D3" w:rsidTr="00F47FB8">
        <w:tc>
          <w:tcPr>
            <w:tcW w:w="5245" w:type="dxa"/>
            <w:shd w:val="clear" w:color="auto" w:fill="auto"/>
          </w:tcPr>
          <w:p w:rsidR="005F6F9B" w:rsidRPr="004B65D3" w:rsidRDefault="005F6F9B" w:rsidP="00FE595A">
            <w:pPr>
              <w:jc w:val="both"/>
              <w:rPr>
                <w:rFonts w:ascii="Book Antiqua" w:hAnsi="Book Antiqua" w:cs="Arial"/>
                <w:b/>
              </w:rPr>
            </w:pPr>
            <w:r>
              <w:rPr>
                <w:rFonts w:ascii="Book Antiqua" w:hAnsi="Book Antiqua" w:cs="Arial"/>
                <w:b/>
              </w:rPr>
              <w:t xml:space="preserve">Decided under rule 34 </w:t>
            </w:r>
          </w:p>
        </w:tc>
        <w:tc>
          <w:tcPr>
            <w:tcW w:w="4583" w:type="dxa"/>
            <w:shd w:val="clear" w:color="auto" w:fill="auto"/>
          </w:tcPr>
          <w:p w:rsidR="005F6F9B" w:rsidRPr="004B65D3" w:rsidRDefault="005F6F9B" w:rsidP="00FE595A">
            <w:pPr>
              <w:jc w:val="both"/>
              <w:rPr>
                <w:rFonts w:ascii="Book Antiqua" w:hAnsi="Book Antiqua" w:cs="Arial"/>
                <w:b/>
                <w:color w:val="000000"/>
              </w:rPr>
            </w:pPr>
            <w:r w:rsidRPr="004B65D3">
              <w:rPr>
                <w:rFonts w:ascii="Book Antiqua" w:hAnsi="Book Antiqua" w:cs="Arial"/>
                <w:b/>
                <w:color w:val="000000"/>
              </w:rPr>
              <w:t>Decision &amp; Reasons Promulgated</w:t>
            </w:r>
          </w:p>
        </w:tc>
      </w:tr>
      <w:tr w:rsidR="005F6F9B" w:rsidRPr="004B65D3" w:rsidTr="00F47FB8">
        <w:tc>
          <w:tcPr>
            <w:tcW w:w="5245" w:type="dxa"/>
            <w:shd w:val="clear" w:color="auto" w:fill="auto"/>
          </w:tcPr>
          <w:p w:rsidR="005F6F9B" w:rsidRPr="004B65D3" w:rsidRDefault="005F6F9B" w:rsidP="00FE595A">
            <w:pPr>
              <w:jc w:val="both"/>
              <w:rPr>
                <w:rFonts w:ascii="Book Antiqua" w:hAnsi="Book Antiqua" w:cs="Arial"/>
                <w:b/>
              </w:rPr>
            </w:pPr>
            <w:r>
              <w:rPr>
                <w:rFonts w:ascii="Book Antiqua" w:hAnsi="Book Antiqua" w:cs="Arial"/>
                <w:b/>
              </w:rPr>
              <w:t>On 17</w:t>
            </w:r>
            <w:r w:rsidRPr="00FE595A">
              <w:rPr>
                <w:rFonts w:ascii="Book Antiqua" w:hAnsi="Book Antiqua" w:cs="Arial"/>
                <w:b/>
                <w:vertAlign w:val="superscript"/>
              </w:rPr>
              <w:t>th</w:t>
            </w:r>
            <w:r>
              <w:rPr>
                <w:rFonts w:ascii="Book Antiqua" w:hAnsi="Book Antiqua" w:cs="Arial"/>
                <w:b/>
              </w:rPr>
              <w:t xml:space="preserve"> July 2020</w:t>
            </w:r>
          </w:p>
        </w:tc>
        <w:tc>
          <w:tcPr>
            <w:tcW w:w="4583" w:type="dxa"/>
            <w:shd w:val="clear" w:color="auto" w:fill="auto"/>
          </w:tcPr>
          <w:p w:rsidR="005F6F9B" w:rsidRPr="004B65D3" w:rsidRDefault="005F6F9B" w:rsidP="00FE595A">
            <w:pPr>
              <w:jc w:val="both"/>
              <w:rPr>
                <w:rFonts w:ascii="Book Antiqua" w:hAnsi="Book Antiqua" w:cs="Arial"/>
                <w:b/>
              </w:rPr>
            </w:pPr>
            <w:r>
              <w:rPr>
                <w:rFonts w:ascii="Book Antiqua" w:hAnsi="Book Antiqua" w:cs="Arial"/>
                <w:b/>
              </w:rPr>
              <w:t>On 27</w:t>
            </w:r>
            <w:r w:rsidRPr="005F6F9B">
              <w:rPr>
                <w:rFonts w:ascii="Book Antiqua" w:hAnsi="Book Antiqua" w:cs="Arial"/>
                <w:b/>
                <w:vertAlign w:val="superscript"/>
              </w:rPr>
              <w:t>th</w:t>
            </w:r>
            <w:r>
              <w:rPr>
                <w:rFonts w:ascii="Book Antiqua" w:hAnsi="Book Antiqua" w:cs="Arial"/>
                <w:b/>
              </w:rPr>
              <w:t xml:space="preserve"> August 2020</w:t>
            </w:r>
          </w:p>
        </w:tc>
      </w:tr>
      <w:tr w:rsidR="005F6F9B" w:rsidRPr="004B65D3" w:rsidTr="00F47FB8">
        <w:tc>
          <w:tcPr>
            <w:tcW w:w="5245" w:type="dxa"/>
            <w:shd w:val="clear" w:color="auto" w:fill="auto"/>
          </w:tcPr>
          <w:p w:rsidR="005F6F9B" w:rsidRPr="004B65D3" w:rsidRDefault="005F6F9B" w:rsidP="00FE595A">
            <w:pPr>
              <w:jc w:val="both"/>
              <w:rPr>
                <w:rFonts w:ascii="Book Antiqua" w:hAnsi="Book Antiqua" w:cs="Arial"/>
                <w:b/>
              </w:rPr>
            </w:pPr>
          </w:p>
        </w:tc>
        <w:tc>
          <w:tcPr>
            <w:tcW w:w="4583" w:type="dxa"/>
            <w:shd w:val="clear" w:color="auto" w:fill="auto"/>
          </w:tcPr>
          <w:p w:rsidR="005F6F9B" w:rsidRPr="004B65D3" w:rsidRDefault="005F6F9B" w:rsidP="00FE595A">
            <w:pPr>
              <w:jc w:val="both"/>
              <w:rPr>
                <w:rFonts w:ascii="Book Antiqua" w:hAnsi="Book Antiqua" w:cs="Arial"/>
                <w:b/>
              </w:rPr>
            </w:pPr>
          </w:p>
        </w:tc>
      </w:tr>
    </w:tbl>
    <w:p w:rsidR="005F6F9B" w:rsidRPr="00AE6DDE" w:rsidRDefault="005F6F9B" w:rsidP="005F6F9B">
      <w:pPr>
        <w:ind w:left="567"/>
        <w:jc w:val="center"/>
        <w:rPr>
          <w:rFonts w:ascii="Book Antiqua" w:hAnsi="Book Antiqua" w:cs="Arial"/>
        </w:rPr>
      </w:pPr>
    </w:p>
    <w:p w:rsidR="005F6F9B" w:rsidRPr="00AE6DDE" w:rsidRDefault="005F6F9B" w:rsidP="005F6F9B">
      <w:pPr>
        <w:ind w:left="567"/>
        <w:jc w:val="center"/>
        <w:rPr>
          <w:rFonts w:ascii="Book Antiqua" w:hAnsi="Book Antiqua" w:cs="Arial"/>
        </w:rPr>
      </w:pPr>
    </w:p>
    <w:p w:rsidR="005F6F9B" w:rsidRPr="00AE6DDE" w:rsidRDefault="005F6F9B" w:rsidP="005F6F9B">
      <w:pPr>
        <w:ind w:left="567"/>
        <w:jc w:val="center"/>
        <w:rPr>
          <w:rFonts w:ascii="Book Antiqua" w:hAnsi="Book Antiqua" w:cs="Arial"/>
          <w:b/>
        </w:rPr>
      </w:pPr>
      <w:r w:rsidRPr="00AE6DDE">
        <w:rPr>
          <w:rFonts w:ascii="Book Antiqua" w:hAnsi="Book Antiqua" w:cs="Arial"/>
          <w:b/>
        </w:rPr>
        <w:t>Before</w:t>
      </w:r>
    </w:p>
    <w:p w:rsidR="005F6F9B" w:rsidRPr="00AE6DDE" w:rsidRDefault="005F6F9B" w:rsidP="005F6F9B">
      <w:pPr>
        <w:ind w:left="567"/>
        <w:jc w:val="center"/>
        <w:rPr>
          <w:rFonts w:ascii="Book Antiqua" w:hAnsi="Book Antiqua" w:cs="Arial"/>
          <w:b/>
        </w:rPr>
      </w:pPr>
    </w:p>
    <w:p w:rsidR="005F6F9B" w:rsidRDefault="005F6F9B" w:rsidP="005F6F9B">
      <w:pPr>
        <w:ind w:left="567"/>
        <w:jc w:val="center"/>
        <w:rPr>
          <w:rFonts w:ascii="Book Antiqua" w:hAnsi="Book Antiqua" w:cs="Arial"/>
          <w:b/>
          <w:color w:val="000000"/>
        </w:rPr>
      </w:pPr>
      <w:r>
        <w:rPr>
          <w:rFonts w:ascii="Book Antiqua" w:hAnsi="Book Antiqua" w:cs="Arial"/>
          <w:b/>
          <w:color w:val="000000"/>
        </w:rPr>
        <w:t>UPPER TRIBUNAL JUDGE MANDALIA</w:t>
      </w:r>
    </w:p>
    <w:p w:rsidR="005F6F9B" w:rsidRPr="00AE6DDE" w:rsidRDefault="005F6F9B" w:rsidP="005F6F9B">
      <w:pPr>
        <w:ind w:left="567"/>
        <w:jc w:val="center"/>
        <w:rPr>
          <w:rFonts w:ascii="Book Antiqua" w:hAnsi="Book Antiqua" w:cs="Arial"/>
          <w:b/>
        </w:rPr>
      </w:pPr>
    </w:p>
    <w:p w:rsidR="005F6F9B" w:rsidRDefault="005F6F9B" w:rsidP="005F6F9B">
      <w:pPr>
        <w:ind w:left="567"/>
        <w:jc w:val="center"/>
        <w:rPr>
          <w:rFonts w:ascii="Book Antiqua" w:hAnsi="Book Antiqua" w:cs="Arial"/>
          <w:b/>
        </w:rPr>
      </w:pPr>
      <w:r w:rsidRPr="00AE6DDE">
        <w:rPr>
          <w:rFonts w:ascii="Book Antiqua" w:hAnsi="Book Antiqua" w:cs="Arial"/>
          <w:b/>
        </w:rPr>
        <w:t>Between</w:t>
      </w:r>
    </w:p>
    <w:p w:rsidR="005F6F9B" w:rsidRPr="00AE6DDE" w:rsidRDefault="005F6F9B" w:rsidP="005F6F9B">
      <w:pPr>
        <w:ind w:left="567"/>
        <w:jc w:val="center"/>
        <w:rPr>
          <w:rFonts w:ascii="Book Antiqua" w:hAnsi="Book Antiqua" w:cs="Arial"/>
          <w:b/>
        </w:rPr>
      </w:pPr>
    </w:p>
    <w:p w:rsidR="005F6F9B" w:rsidRDefault="005F6F9B" w:rsidP="005F6F9B">
      <w:pPr>
        <w:ind w:left="567"/>
        <w:jc w:val="center"/>
        <w:rPr>
          <w:rFonts w:ascii="Book Antiqua" w:hAnsi="Book Antiqua" w:cs="Arial"/>
          <w:b/>
          <w:caps/>
        </w:rPr>
      </w:pPr>
      <w:r>
        <w:rPr>
          <w:rFonts w:ascii="Book Antiqua" w:hAnsi="Book Antiqua" w:cs="Arial"/>
          <w:b/>
          <w:caps/>
        </w:rPr>
        <w:t>SECRETARY OF STATE FOR THE HOME DEPARTMENT</w:t>
      </w:r>
    </w:p>
    <w:p w:rsidR="005F6F9B" w:rsidRPr="00AE6DDE" w:rsidRDefault="005F6F9B" w:rsidP="005F6F9B">
      <w:pPr>
        <w:ind w:left="567"/>
        <w:jc w:val="right"/>
        <w:rPr>
          <w:rFonts w:ascii="Book Antiqua" w:hAnsi="Book Antiqua" w:cs="Arial"/>
          <w:u w:val="single"/>
        </w:rPr>
      </w:pPr>
      <w:r w:rsidRPr="00AE6DDE">
        <w:rPr>
          <w:rFonts w:ascii="Book Antiqua" w:hAnsi="Book Antiqua" w:cs="Arial"/>
          <w:u w:val="single"/>
        </w:rPr>
        <w:t>Appellant</w:t>
      </w:r>
    </w:p>
    <w:p w:rsidR="005F6F9B" w:rsidRPr="00AE6DDE" w:rsidRDefault="005F6F9B" w:rsidP="005F6F9B">
      <w:pPr>
        <w:ind w:left="567"/>
        <w:jc w:val="center"/>
        <w:rPr>
          <w:rFonts w:ascii="Book Antiqua" w:hAnsi="Book Antiqua" w:cs="Arial"/>
          <w:b/>
        </w:rPr>
      </w:pPr>
      <w:r w:rsidRPr="00AE6DDE">
        <w:rPr>
          <w:rFonts w:ascii="Book Antiqua" w:hAnsi="Book Antiqua" w:cs="Arial"/>
          <w:b/>
        </w:rPr>
        <w:t>and</w:t>
      </w:r>
    </w:p>
    <w:p w:rsidR="005F6F9B" w:rsidRDefault="005F6F9B" w:rsidP="005F6F9B">
      <w:pPr>
        <w:ind w:left="567"/>
        <w:jc w:val="center"/>
        <w:rPr>
          <w:rFonts w:ascii="Book Antiqua" w:hAnsi="Book Antiqua" w:cs="Arial"/>
          <w:b/>
        </w:rPr>
      </w:pPr>
      <w:r w:rsidRPr="00AE6DDE">
        <w:rPr>
          <w:rFonts w:ascii="Book Antiqua" w:hAnsi="Book Antiqua" w:cs="Arial"/>
          <w:b/>
        </w:rPr>
        <w:t xml:space="preserve"> </w:t>
      </w:r>
    </w:p>
    <w:p w:rsidR="005F6F9B" w:rsidRDefault="005F6F9B" w:rsidP="005F6F9B">
      <w:pPr>
        <w:ind w:left="567"/>
        <w:jc w:val="center"/>
        <w:rPr>
          <w:rFonts w:ascii="Book Antiqua" w:hAnsi="Book Antiqua" w:cs="Arial"/>
          <w:b/>
          <w:caps/>
        </w:rPr>
      </w:pPr>
    </w:p>
    <w:p w:rsidR="005F6F9B" w:rsidRDefault="005F6F9B" w:rsidP="005F6F9B">
      <w:pPr>
        <w:ind w:left="567"/>
        <w:jc w:val="center"/>
        <w:rPr>
          <w:rFonts w:ascii="Book Antiqua" w:hAnsi="Book Antiqua" w:cs="Arial"/>
          <w:b/>
        </w:rPr>
      </w:pPr>
      <w:r>
        <w:rPr>
          <w:rFonts w:ascii="Book Antiqua" w:hAnsi="Book Antiqua" w:cs="Arial"/>
          <w:b/>
        </w:rPr>
        <w:t>MR N M N</w:t>
      </w:r>
    </w:p>
    <w:p w:rsidR="005F6F9B" w:rsidRPr="00F47FB8" w:rsidRDefault="005F6F9B" w:rsidP="005F6F9B">
      <w:pPr>
        <w:ind w:left="567" w:right="-1"/>
        <w:jc w:val="center"/>
        <w:rPr>
          <w:rFonts w:ascii="Book Antiqua" w:hAnsi="Book Antiqua" w:cs="Arial"/>
          <w:caps/>
        </w:rPr>
      </w:pPr>
      <w:r w:rsidRPr="00F47FB8">
        <w:rPr>
          <w:rFonts w:ascii="Book Antiqua" w:hAnsi="Book Antiqua" w:cs="Arial"/>
          <w:caps/>
        </w:rPr>
        <w:t>(anonymity direction made)</w:t>
      </w:r>
    </w:p>
    <w:p w:rsidR="005F6F9B" w:rsidRPr="00AE6DDE" w:rsidRDefault="005F6F9B" w:rsidP="005F6F9B">
      <w:pPr>
        <w:ind w:left="567"/>
        <w:jc w:val="right"/>
        <w:rPr>
          <w:rFonts w:ascii="Book Antiqua" w:hAnsi="Book Antiqua" w:cs="Arial"/>
          <w:u w:val="single"/>
        </w:rPr>
      </w:pPr>
      <w:r>
        <w:rPr>
          <w:rFonts w:ascii="Book Antiqua" w:hAnsi="Book Antiqua" w:cs="Arial"/>
          <w:u w:val="single"/>
        </w:rPr>
        <w:t>R</w:t>
      </w:r>
      <w:r w:rsidRPr="00AE6DDE">
        <w:rPr>
          <w:rFonts w:ascii="Book Antiqua" w:hAnsi="Book Antiqua" w:cs="Arial"/>
          <w:u w:val="single"/>
        </w:rPr>
        <w:t>espondent</w:t>
      </w:r>
    </w:p>
    <w:p w:rsidR="005F6F9B" w:rsidRPr="00AE6DDE" w:rsidRDefault="005F6F9B" w:rsidP="005F6F9B">
      <w:pPr>
        <w:ind w:left="567"/>
        <w:rPr>
          <w:rFonts w:ascii="Book Antiqua" w:hAnsi="Book Antiqua" w:cs="Arial"/>
          <w:u w:val="single"/>
        </w:rPr>
      </w:pPr>
    </w:p>
    <w:p w:rsidR="005F6F9B" w:rsidRPr="00AE6DDE" w:rsidRDefault="005F6F9B" w:rsidP="005F6F9B">
      <w:pPr>
        <w:ind w:left="567"/>
        <w:jc w:val="center"/>
        <w:rPr>
          <w:rFonts w:ascii="Book Antiqua" w:hAnsi="Book Antiqua" w:cs="Arial"/>
        </w:rPr>
      </w:pPr>
    </w:p>
    <w:p w:rsidR="005F6F9B" w:rsidRPr="00AE6DDE" w:rsidRDefault="005F6F9B" w:rsidP="005F6F9B">
      <w:pPr>
        <w:ind w:left="567"/>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roofErr w:type="gramStart"/>
      <w:r>
        <w:rPr>
          <w:rFonts w:ascii="Book Antiqua" w:hAnsi="Book Antiqua" w:cs="Arial"/>
          <w:b/>
          <w:u w:val="single"/>
        </w:rPr>
        <w:t xml:space="preserve">   (</w:t>
      </w:r>
      <w:proofErr w:type="gramEnd"/>
      <w:r>
        <w:rPr>
          <w:rFonts w:ascii="Book Antiqua" w:hAnsi="Book Antiqua" w:cs="Arial"/>
          <w:b/>
          <w:u w:val="single"/>
        </w:rPr>
        <w:t>P)</w:t>
      </w:r>
    </w:p>
    <w:p w:rsidR="005F6F9B" w:rsidRDefault="005F6F9B" w:rsidP="005F6F9B">
      <w:pPr>
        <w:ind w:left="567"/>
        <w:jc w:val="both"/>
        <w:rPr>
          <w:rFonts w:ascii="Book Antiqua" w:hAnsi="Book Antiqua" w:cs="Arial"/>
        </w:rPr>
      </w:pP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5E390D">
        <w:rPr>
          <w:rFonts w:ascii="Book Antiqua" w:hAnsi="Book Antiqua" w:cs="Arial"/>
        </w:rPr>
        <w:t xml:space="preserve">The appellant in the appeal before </w:t>
      </w:r>
      <w:r>
        <w:rPr>
          <w:rFonts w:ascii="Book Antiqua" w:hAnsi="Book Antiqua" w:cs="Arial"/>
        </w:rPr>
        <w:t>me</w:t>
      </w:r>
      <w:r w:rsidRPr="005E390D">
        <w:rPr>
          <w:rFonts w:ascii="Book Antiqua" w:hAnsi="Book Antiqua" w:cs="Arial"/>
        </w:rPr>
        <w:t xml:space="preserve"> is the Secretary of State for the Home Department (“SSHD”) and the respondent to this appeal is Mr</w:t>
      </w:r>
      <w:r>
        <w:rPr>
          <w:rFonts w:ascii="Book Antiqua" w:hAnsi="Book Antiqua" w:cs="Arial"/>
        </w:rPr>
        <w:t xml:space="preserve"> NMN</w:t>
      </w:r>
      <w:r w:rsidRPr="005E390D">
        <w:rPr>
          <w:rFonts w:ascii="Book Antiqua" w:hAnsi="Book Antiqua" w:cs="Arial"/>
        </w:rPr>
        <w:t xml:space="preserve"> However, for ease of reference, in the course of this decision </w:t>
      </w:r>
      <w:r>
        <w:rPr>
          <w:rFonts w:ascii="Book Antiqua" w:hAnsi="Book Antiqua" w:cs="Arial"/>
        </w:rPr>
        <w:t>I</w:t>
      </w:r>
      <w:r w:rsidRPr="005E390D">
        <w:rPr>
          <w:rFonts w:ascii="Book Antiqua" w:hAnsi="Book Antiqua" w:cs="Arial"/>
        </w:rPr>
        <w:t xml:space="preserve"> adopt the parties’ status as it was before the </w:t>
      </w:r>
      <w:r>
        <w:rPr>
          <w:rFonts w:ascii="Book Antiqua" w:hAnsi="Book Antiqua" w:cs="Arial"/>
        </w:rPr>
        <w:t>First-tier Tribunal (“</w:t>
      </w:r>
      <w:proofErr w:type="spellStart"/>
      <w:r w:rsidRPr="005E390D">
        <w:rPr>
          <w:rFonts w:ascii="Book Antiqua" w:hAnsi="Book Antiqua" w:cs="Arial"/>
          <w:iCs/>
        </w:rPr>
        <w:t>Ft</w:t>
      </w:r>
      <w:r w:rsidRPr="0042486F">
        <w:rPr>
          <w:rFonts w:ascii="Book Antiqua" w:hAnsi="Book Antiqua" w:cs="Arial"/>
          <w:iCs/>
        </w:rPr>
        <w:t>T</w:t>
      </w:r>
      <w:proofErr w:type="spellEnd"/>
      <w:r>
        <w:rPr>
          <w:rFonts w:ascii="Book Antiqua" w:hAnsi="Book Antiqua" w:cs="Arial"/>
          <w:iCs/>
        </w:rPr>
        <w:t>”)</w:t>
      </w:r>
      <w:r w:rsidRPr="005E390D">
        <w:rPr>
          <w:rFonts w:ascii="Book Antiqua" w:hAnsi="Book Antiqua" w:cs="Arial"/>
        </w:rPr>
        <w:t xml:space="preserve">.  </w:t>
      </w:r>
      <w:r>
        <w:rPr>
          <w:rFonts w:ascii="Book Antiqua" w:hAnsi="Book Antiqua" w:cs="Arial"/>
        </w:rPr>
        <w:t>I</w:t>
      </w:r>
      <w:r w:rsidRPr="005E390D">
        <w:rPr>
          <w:rFonts w:ascii="Book Antiqua" w:hAnsi="Book Antiqua" w:cs="Arial"/>
        </w:rPr>
        <w:t xml:space="preserve"> refer to Mr</w:t>
      </w:r>
      <w:r>
        <w:rPr>
          <w:rFonts w:ascii="Book Antiqua" w:hAnsi="Book Antiqua" w:cs="Arial"/>
        </w:rPr>
        <w:t xml:space="preserve"> </w:t>
      </w:r>
      <w:r w:rsidRPr="00FE595A">
        <w:rPr>
          <w:rFonts w:ascii="Book Antiqua" w:hAnsi="Book Antiqua" w:cs="Arial"/>
        </w:rPr>
        <w:t>NMN</w:t>
      </w:r>
      <w:r w:rsidRPr="005E390D">
        <w:rPr>
          <w:rFonts w:ascii="Book Antiqua" w:hAnsi="Book Antiqua" w:cs="Arial"/>
        </w:rPr>
        <w:t xml:space="preserve"> as the appellant, and the S</w:t>
      </w:r>
      <w:r>
        <w:rPr>
          <w:rFonts w:ascii="Book Antiqua" w:hAnsi="Book Antiqua" w:cs="Arial"/>
        </w:rPr>
        <w:t xml:space="preserve">SHD </w:t>
      </w:r>
      <w:r w:rsidRPr="005E390D">
        <w:rPr>
          <w:rFonts w:ascii="Book Antiqua" w:hAnsi="Book Antiqua" w:cs="Arial"/>
        </w:rPr>
        <w:t>as the respondent.</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cs="Arial"/>
        </w:rPr>
        <w:t>On 28</w:t>
      </w:r>
      <w:r w:rsidRPr="00D52FB6">
        <w:rPr>
          <w:rFonts w:ascii="Book Antiqua" w:hAnsi="Book Antiqua" w:cs="Arial"/>
          <w:vertAlign w:val="superscript"/>
        </w:rPr>
        <w:t>th</w:t>
      </w:r>
      <w:r w:rsidRPr="00D52FB6">
        <w:rPr>
          <w:rFonts w:ascii="Book Antiqua" w:hAnsi="Book Antiqua" w:cs="Arial"/>
        </w:rPr>
        <w:t xml:space="preserve"> April 2020 directions were sent to the parties setting out my provisional view that in this case it would be appropriate to determine whether the making of the First-tier Tribunal’s decision involved the making of an error of law, and if so, whether that </w:t>
      </w:r>
      <w:r w:rsidRPr="00D52FB6">
        <w:rPr>
          <w:rFonts w:ascii="Book Antiqua" w:hAnsi="Book Antiqua" w:cs="Arial"/>
        </w:rPr>
        <w:lastRenderedPageBreak/>
        <w:t>decision should be set aside</w:t>
      </w:r>
      <w:r>
        <w:rPr>
          <w:rFonts w:ascii="Book Antiqua" w:hAnsi="Book Antiqua" w:cs="Arial"/>
        </w:rPr>
        <w:t>, without a hearing</w:t>
      </w:r>
      <w:r w:rsidRPr="00D52FB6">
        <w:rPr>
          <w:rFonts w:ascii="Book Antiqua" w:hAnsi="Book Antiqua" w:cs="Arial"/>
        </w:rPr>
        <w:t xml:space="preserve">.  I set out directions giving the </w:t>
      </w:r>
      <w:r>
        <w:rPr>
          <w:rFonts w:ascii="Book Antiqua" w:hAnsi="Book Antiqua" w:cs="Arial"/>
        </w:rPr>
        <w:t>SSHD</w:t>
      </w:r>
      <w:r w:rsidRPr="00D52FB6">
        <w:rPr>
          <w:rFonts w:ascii="Book Antiqua" w:hAnsi="Book Antiqua" w:cs="Arial"/>
        </w:rPr>
        <w:t xml:space="preserve"> an opportunity to submit further submissions in writing to support the assertion that the decision of the First-tier Tribunal is vitiated by an error of law.  The directions also provided an opportunity for the appellant to respond in writing, and, for the respondent to file and serve any further reply.</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cs="Arial"/>
        </w:rPr>
        <w:t xml:space="preserve">In response to the directions issued by me, the </w:t>
      </w:r>
      <w:r>
        <w:rPr>
          <w:rFonts w:ascii="Book Antiqua" w:hAnsi="Book Antiqua" w:cs="Arial"/>
        </w:rPr>
        <w:t>SSHD filed and served submissions in support of the grounds of appeal, dated 14</w:t>
      </w:r>
      <w:r w:rsidRPr="00D458A7">
        <w:rPr>
          <w:rFonts w:ascii="Book Antiqua" w:hAnsi="Book Antiqua" w:cs="Arial"/>
          <w:vertAlign w:val="superscript"/>
        </w:rPr>
        <w:t>th</w:t>
      </w:r>
      <w:r>
        <w:rPr>
          <w:rFonts w:ascii="Book Antiqua" w:hAnsi="Book Antiqua" w:cs="Arial"/>
        </w:rPr>
        <w:t xml:space="preserve"> April 2020.  The appellant’s representatives filed a response dated 26</w:t>
      </w:r>
      <w:r w:rsidRPr="00FE595A">
        <w:rPr>
          <w:rFonts w:ascii="Book Antiqua" w:hAnsi="Book Antiqua" w:cs="Arial"/>
          <w:vertAlign w:val="superscript"/>
        </w:rPr>
        <w:t>th</w:t>
      </w:r>
      <w:r>
        <w:rPr>
          <w:rFonts w:ascii="Book Antiqua" w:hAnsi="Book Antiqua" w:cs="Arial"/>
        </w:rPr>
        <w:t xml:space="preserve"> May 2020.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6C0879">
        <w:rPr>
          <w:rFonts w:ascii="Book Antiqua" w:hAnsi="Book Antiqua" w:cs="Arial"/>
        </w:rPr>
        <w:t xml:space="preserve">Rule 34 of The Tribunal Procedure (Upper Tribunal) Rules 2008 provides that the Upper Tribunal may make any decision without a hearing.  The Upper Tribunal must have regard to any view expressed by a party when deciding whether to hold a hearing to consider a matter, and the form of any such hearing. </w:t>
      </w:r>
      <w:r w:rsidRPr="00D62946">
        <w:rPr>
          <w:rFonts w:ascii="Book Antiqua" w:hAnsi="Book Antiqua" w:cs="Arial"/>
        </w:rPr>
        <w:t xml:space="preserve">The respondent did not express any view as to whether the Tribunal should make its decision without a hearing. The appellant’s representatives request an oral hearing.  They accept that in the current circumstances during the restrictions imposed by the government in response to the pandemic, such a hearing would most likely have to be conducted by remote means.  Neither party identifies any procedural unfairness that arises </w:t>
      </w:r>
      <w:proofErr w:type="gramStart"/>
      <w:r w:rsidRPr="00D62946">
        <w:rPr>
          <w:rFonts w:ascii="Book Antiqua" w:hAnsi="Book Antiqua" w:cs="Arial"/>
        </w:rPr>
        <w:t>in the event that</w:t>
      </w:r>
      <w:proofErr w:type="gramEnd"/>
      <w:r w:rsidRPr="00D62946">
        <w:rPr>
          <w:rFonts w:ascii="Book Antiqua" w:hAnsi="Book Antiqua" w:cs="Arial"/>
        </w:rPr>
        <w:t xml:space="preserve"> a decision is made without a hearing.  Having carefully considered the submissions made by the parties in writing, I am satisfied that it is in accordance with the overriding objective and the interests of justice for there to be a timely determination of the question whether there is an error of law in the decision of the </w:t>
      </w:r>
      <w:proofErr w:type="spellStart"/>
      <w:r w:rsidRPr="00D62946">
        <w:rPr>
          <w:rFonts w:ascii="Book Antiqua" w:hAnsi="Book Antiqua" w:cs="Arial"/>
        </w:rPr>
        <w:t>FtT</w:t>
      </w:r>
      <w:proofErr w:type="spellEnd"/>
      <w:r w:rsidRPr="00D62946">
        <w:rPr>
          <w:rFonts w:ascii="Book Antiqua" w:hAnsi="Book Antiqua" w:cs="Arial"/>
        </w:rPr>
        <w:t xml:space="preserve">, and that it is entirely appropriate for the error of law decision to be determined on the papers, to secure the proper administration of justice.  For the avoidance of doubt, in reaching my decision I have </w:t>
      </w:r>
      <w:proofErr w:type="gramStart"/>
      <w:r w:rsidRPr="00D62946">
        <w:rPr>
          <w:rFonts w:ascii="Book Antiqua" w:hAnsi="Book Antiqua" w:cs="Arial"/>
        </w:rPr>
        <w:t>taken into account</w:t>
      </w:r>
      <w:proofErr w:type="gramEnd"/>
      <w:r w:rsidRPr="00D62946">
        <w:rPr>
          <w:rFonts w:ascii="Book Antiqua" w:hAnsi="Book Antiqua" w:cs="Arial"/>
        </w:rPr>
        <w:t xml:space="preserve"> the matters set out in the grounds of appeal and the written representations made by the parties in response to the directions.</w:t>
      </w:r>
      <w:r>
        <w:rPr>
          <w:rFonts w:ascii="Book Antiqua" w:hAnsi="Book Antiqua" w:cs="Arial"/>
        </w:rPr>
        <w:t xml:space="preserve">  </w:t>
      </w:r>
      <w:r w:rsidRPr="00D62946">
        <w:rPr>
          <w:rFonts w:ascii="Book Antiqua" w:hAnsi="Book Antiqua" w:cs="Arial"/>
        </w:rPr>
        <w:t>I am grateful to the parties for their positive engagement with the directions issued.</w:t>
      </w:r>
    </w:p>
    <w:p w:rsidR="00F47FB8" w:rsidRDefault="00F47FB8" w:rsidP="005F6F9B">
      <w:pPr>
        <w:tabs>
          <w:tab w:val="left" w:pos="5387"/>
        </w:tabs>
        <w:spacing w:before="360" w:after="360" w:line="360" w:lineRule="auto"/>
        <w:jc w:val="both"/>
        <w:rPr>
          <w:rFonts w:ascii="Book Antiqua" w:hAnsi="Book Antiqua" w:cs="Arial"/>
          <w:u w:val="single"/>
        </w:rPr>
      </w:pPr>
    </w:p>
    <w:p w:rsidR="00F47FB8" w:rsidRDefault="00F47FB8" w:rsidP="005F6F9B">
      <w:pPr>
        <w:tabs>
          <w:tab w:val="left" w:pos="5387"/>
        </w:tabs>
        <w:spacing w:before="360" w:after="360" w:line="360" w:lineRule="auto"/>
        <w:jc w:val="both"/>
        <w:rPr>
          <w:rFonts w:ascii="Book Antiqua" w:hAnsi="Book Antiqua" w:cs="Arial"/>
          <w:u w:val="single"/>
        </w:rPr>
      </w:pPr>
    </w:p>
    <w:p w:rsidR="005F6F9B" w:rsidRDefault="005F6F9B" w:rsidP="005F6F9B">
      <w:pPr>
        <w:tabs>
          <w:tab w:val="left" w:pos="5387"/>
        </w:tabs>
        <w:spacing w:before="360" w:after="360" w:line="360" w:lineRule="auto"/>
        <w:jc w:val="both"/>
        <w:rPr>
          <w:rFonts w:ascii="Book Antiqua" w:hAnsi="Book Antiqua" w:cs="Arial"/>
          <w:u w:val="single"/>
        </w:rPr>
      </w:pPr>
      <w:r>
        <w:rPr>
          <w:rFonts w:ascii="Book Antiqua" w:hAnsi="Book Antiqua" w:cs="Arial"/>
          <w:u w:val="single"/>
        </w:rPr>
        <w:lastRenderedPageBreak/>
        <w:t>Background</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Pr>
          <w:rFonts w:ascii="Book Antiqua" w:hAnsi="Book Antiqua" w:cs="Arial"/>
        </w:rPr>
        <w:t>On 28</w:t>
      </w:r>
      <w:r w:rsidRPr="00213DC7">
        <w:rPr>
          <w:rFonts w:ascii="Book Antiqua" w:hAnsi="Book Antiqua" w:cs="Arial"/>
          <w:vertAlign w:val="superscript"/>
        </w:rPr>
        <w:t>th</w:t>
      </w:r>
      <w:r>
        <w:rPr>
          <w:rFonts w:ascii="Book Antiqua" w:hAnsi="Book Antiqua" w:cs="Arial"/>
        </w:rPr>
        <w:t xml:space="preserve"> February 2017, t</w:t>
      </w:r>
      <w:r w:rsidRPr="00213DC7">
        <w:rPr>
          <w:rFonts w:ascii="Book Antiqua" w:hAnsi="Book Antiqua" w:cs="Arial"/>
        </w:rPr>
        <w:t xml:space="preserve">he appellant, a national of </w:t>
      </w:r>
      <w:r>
        <w:rPr>
          <w:rFonts w:ascii="Book Antiqua" w:hAnsi="Book Antiqua" w:cs="Arial"/>
        </w:rPr>
        <w:t>Botswana</w:t>
      </w:r>
      <w:r w:rsidRPr="00213DC7">
        <w:rPr>
          <w:rFonts w:ascii="Book Antiqua" w:hAnsi="Book Antiqua" w:cs="Arial"/>
        </w:rPr>
        <w:t xml:space="preserve">, </w:t>
      </w:r>
      <w:r>
        <w:rPr>
          <w:rFonts w:ascii="Book Antiqua" w:hAnsi="Book Antiqua" w:cs="Arial"/>
        </w:rPr>
        <w:t xml:space="preserve">was convicted at Woolwich Crown Court of possession of a controlled drug – Class A – Cocaine, with intent to supply. He was sentenced to 3 years imprisonment in a young offender’s institution.  He was also convicted of possession of a controlled drug – Class A – MDMA, with intent to supply for which he received a concurrent three-year sentence of imprisonment and possession of a controlled drug – Class B – Cannabis, with intent to supply, for which he received concurrent a six-month sentence of imprisonment.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rPr>
        <w:t>On 1</w:t>
      </w:r>
      <w:r w:rsidRPr="00D52FB6">
        <w:rPr>
          <w:rFonts w:ascii="Book Antiqua" w:hAnsi="Book Antiqua"/>
          <w:vertAlign w:val="superscript"/>
        </w:rPr>
        <w:t>st</w:t>
      </w:r>
      <w:r w:rsidRPr="00D52FB6">
        <w:rPr>
          <w:rFonts w:ascii="Book Antiqua" w:hAnsi="Book Antiqua"/>
        </w:rPr>
        <w:t xml:space="preserve"> April 2017 the appellant was informed that </w:t>
      </w:r>
      <w:proofErr w:type="gramStart"/>
      <w:r w:rsidRPr="00D52FB6">
        <w:rPr>
          <w:rFonts w:ascii="Book Antiqua" w:hAnsi="Book Antiqua"/>
        </w:rPr>
        <w:t>in light of</w:t>
      </w:r>
      <w:proofErr w:type="gramEnd"/>
      <w:r w:rsidRPr="00D52FB6">
        <w:rPr>
          <w:rFonts w:ascii="Book Antiqua" w:hAnsi="Book Antiqua"/>
        </w:rPr>
        <w:t xml:space="preserve"> his convictions he is liable automatic deportation in accordance with s32(5) of the UK Borders Act 2007, unless one of the exceptions apply. The appellant made representations on 20</w:t>
      </w:r>
      <w:r w:rsidRPr="00D52FB6">
        <w:rPr>
          <w:rFonts w:ascii="Book Antiqua" w:hAnsi="Book Antiqua"/>
          <w:vertAlign w:val="superscript"/>
        </w:rPr>
        <w:t>th</w:t>
      </w:r>
      <w:r w:rsidRPr="00D52FB6">
        <w:rPr>
          <w:rFonts w:ascii="Book Antiqua" w:hAnsi="Book Antiqua"/>
        </w:rPr>
        <w:t xml:space="preserve"> April 2018 and on 19</w:t>
      </w:r>
      <w:r w:rsidRPr="00D52FB6">
        <w:rPr>
          <w:rFonts w:ascii="Book Antiqua" w:hAnsi="Book Antiqua"/>
          <w:vertAlign w:val="superscript"/>
        </w:rPr>
        <w:t>th</w:t>
      </w:r>
      <w:r w:rsidRPr="00D52FB6">
        <w:rPr>
          <w:rFonts w:ascii="Book Antiqua" w:hAnsi="Book Antiqua"/>
        </w:rPr>
        <w:t xml:space="preserve"> August 2018, a deportation order was signed.  The appellant was also served with a decision to refuse his human rights claim dated 20</w:t>
      </w:r>
      <w:r w:rsidRPr="00D52FB6">
        <w:rPr>
          <w:rFonts w:ascii="Book Antiqua" w:hAnsi="Book Antiqua"/>
          <w:vertAlign w:val="superscript"/>
        </w:rPr>
        <w:t>th</w:t>
      </w:r>
      <w:r w:rsidRPr="00D52FB6">
        <w:rPr>
          <w:rFonts w:ascii="Book Antiqua" w:hAnsi="Book Antiqua"/>
        </w:rPr>
        <w:t xml:space="preserve"> August 2018.  The appellant’s appeal against that decision was heard by First-tier Tribunal Judges Freer and </w:t>
      </w:r>
      <w:proofErr w:type="spellStart"/>
      <w:r w:rsidRPr="00D52FB6">
        <w:rPr>
          <w:rFonts w:ascii="Book Antiqua" w:hAnsi="Book Antiqua"/>
        </w:rPr>
        <w:t>Swaney</w:t>
      </w:r>
      <w:proofErr w:type="spellEnd"/>
      <w:r w:rsidRPr="00D52FB6">
        <w:rPr>
          <w:rFonts w:ascii="Book Antiqua" w:hAnsi="Book Antiqua"/>
        </w:rPr>
        <w:t xml:space="preserve"> on 4</w:t>
      </w:r>
      <w:r w:rsidRPr="00D52FB6">
        <w:rPr>
          <w:rFonts w:ascii="Book Antiqua" w:hAnsi="Book Antiqua"/>
          <w:vertAlign w:val="superscript"/>
        </w:rPr>
        <w:t>th</w:t>
      </w:r>
      <w:r w:rsidRPr="00D52FB6">
        <w:rPr>
          <w:rFonts w:ascii="Book Antiqua" w:hAnsi="Book Antiqua"/>
        </w:rPr>
        <w:t xml:space="preserve"> October 2019 and allowed for reasons set out in a decision promulgated on 15</w:t>
      </w:r>
      <w:r w:rsidRPr="00D52FB6">
        <w:rPr>
          <w:rFonts w:ascii="Book Antiqua" w:hAnsi="Book Antiqua"/>
          <w:vertAlign w:val="superscript"/>
        </w:rPr>
        <w:t>th</w:t>
      </w:r>
      <w:r w:rsidRPr="00D52FB6">
        <w:rPr>
          <w:rFonts w:ascii="Book Antiqua" w:hAnsi="Book Antiqua"/>
        </w:rPr>
        <w:t xml:space="preserve"> October 2019.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cs="Arial"/>
        </w:rPr>
        <w:t xml:space="preserve">The judges set out the evidence received by the </w:t>
      </w:r>
      <w:r>
        <w:rPr>
          <w:rFonts w:ascii="Book Antiqua" w:hAnsi="Book Antiqua" w:cs="Arial"/>
        </w:rPr>
        <w:t>T</w:t>
      </w:r>
      <w:r w:rsidRPr="00D52FB6">
        <w:rPr>
          <w:rFonts w:ascii="Book Antiqua" w:hAnsi="Book Antiqua" w:cs="Arial"/>
        </w:rPr>
        <w:t>ribunal from the appellant, his father and Mr Zulu at paragraphs [15] to [44] of their decision. The judges</w:t>
      </w:r>
      <w:r>
        <w:rPr>
          <w:rFonts w:ascii="Book Antiqua" w:hAnsi="Book Antiqua" w:cs="Arial"/>
        </w:rPr>
        <w:t>’</w:t>
      </w:r>
      <w:r w:rsidRPr="00D52FB6">
        <w:rPr>
          <w:rFonts w:ascii="Book Antiqua" w:hAnsi="Book Antiqua" w:cs="Arial"/>
        </w:rPr>
        <w:t xml:space="preserve"> findings and conclusions are set out at paragraphs [57] to [74] of the decision.  The appellant accepted that the family and private life exceptions set out in the immigration rules and s117C Nationality, Immigration and Asylum Act 2002 (“the 2002 Act”) are not met by the appellant.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cs="Arial"/>
        </w:rPr>
        <w:t>Insofar as the appellant’s private life is concerned, it was common ground between the parties that the appellant has not been lawfully resident in the UK for most of his life and he could not therefore benefit from paragraph 399A of the immigration rules or Exception 1 set out in s117</w:t>
      </w:r>
      <w:proofErr w:type="gramStart"/>
      <w:r w:rsidRPr="00D52FB6">
        <w:rPr>
          <w:rFonts w:ascii="Book Antiqua" w:hAnsi="Book Antiqua" w:cs="Arial"/>
        </w:rPr>
        <w:t>C(</w:t>
      </w:r>
      <w:proofErr w:type="gramEnd"/>
      <w:r w:rsidRPr="00D52FB6">
        <w:rPr>
          <w:rFonts w:ascii="Book Antiqua" w:hAnsi="Book Antiqua" w:cs="Arial"/>
        </w:rPr>
        <w:t xml:space="preserve">4) of the 2002 Act.  The </w:t>
      </w:r>
      <w:r>
        <w:rPr>
          <w:rFonts w:ascii="Book Antiqua" w:hAnsi="Book Antiqua" w:cs="Arial"/>
        </w:rPr>
        <w:t>T</w:t>
      </w:r>
      <w:r w:rsidRPr="00D52FB6">
        <w:rPr>
          <w:rFonts w:ascii="Book Antiqua" w:hAnsi="Book Antiqua" w:cs="Arial"/>
        </w:rPr>
        <w:t xml:space="preserve">ribunal was however satisfied for the reasons set out at paragraphs [63] and [64] of its decision that the appellant is socially and culturally integrated in the UK, and, </w:t>
      </w:r>
      <w:r>
        <w:rPr>
          <w:rFonts w:ascii="Book Antiqua" w:hAnsi="Book Antiqua" w:cs="Arial"/>
        </w:rPr>
        <w:t xml:space="preserve">for reasons </w:t>
      </w:r>
      <w:r w:rsidRPr="00D52FB6">
        <w:rPr>
          <w:rFonts w:ascii="Book Antiqua" w:hAnsi="Book Antiqua" w:cs="Arial"/>
        </w:rPr>
        <w:t xml:space="preserve">set out at paragraphs [65] </w:t>
      </w:r>
      <w:r w:rsidRPr="00D52FB6">
        <w:rPr>
          <w:rFonts w:ascii="Book Antiqua" w:hAnsi="Book Antiqua" w:cs="Arial"/>
        </w:rPr>
        <w:lastRenderedPageBreak/>
        <w:t>to [68]</w:t>
      </w:r>
      <w:r>
        <w:rPr>
          <w:rFonts w:ascii="Book Antiqua" w:hAnsi="Book Antiqua" w:cs="Arial"/>
        </w:rPr>
        <w:t>,</w:t>
      </w:r>
      <w:r w:rsidRPr="00D52FB6">
        <w:rPr>
          <w:rFonts w:ascii="Book Antiqua" w:hAnsi="Book Antiqua" w:cs="Arial"/>
        </w:rPr>
        <w:t xml:space="preserve"> that there would be very significant obstacles to the appellant’s integration into Botswana.</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Pr>
          <w:rFonts w:ascii="Book Antiqua" w:hAnsi="Book Antiqua" w:cs="Arial"/>
        </w:rPr>
        <w:t>T</w:t>
      </w:r>
      <w:r w:rsidRPr="00D52FB6">
        <w:rPr>
          <w:rFonts w:ascii="Book Antiqua" w:hAnsi="Book Antiqua" w:cs="Arial"/>
        </w:rPr>
        <w:t xml:space="preserve">he </w:t>
      </w:r>
      <w:r>
        <w:rPr>
          <w:rFonts w:ascii="Book Antiqua" w:hAnsi="Book Antiqua" w:cs="Arial"/>
        </w:rPr>
        <w:t>T</w:t>
      </w:r>
      <w:r w:rsidRPr="00D52FB6">
        <w:rPr>
          <w:rFonts w:ascii="Book Antiqua" w:hAnsi="Book Antiqua" w:cs="Arial"/>
        </w:rPr>
        <w:t>ribunal found the evidence received to be credible and</w:t>
      </w:r>
      <w:r>
        <w:rPr>
          <w:rFonts w:ascii="Book Antiqua" w:hAnsi="Book Antiqua" w:cs="Arial"/>
        </w:rPr>
        <w:t xml:space="preserve"> although the appellant could not benefit from paragraphs 399 and 399A of the immigration rules,</w:t>
      </w:r>
      <w:r w:rsidRPr="00D52FB6">
        <w:rPr>
          <w:rFonts w:ascii="Book Antiqua" w:hAnsi="Book Antiqua" w:cs="Arial"/>
        </w:rPr>
        <w:t xml:space="preserve"> found the appellant enjoys a family and private life in the UK.  It found the ties between the appellant and his father go beyond the normal emotional ties between a parent and an adult child, because of the care needs of the appellant’s father which are met in a significant way by the appellant.  At paragraph [69] of its decision the </w:t>
      </w:r>
      <w:r>
        <w:rPr>
          <w:rFonts w:ascii="Book Antiqua" w:hAnsi="Book Antiqua" w:cs="Arial"/>
        </w:rPr>
        <w:t>T</w:t>
      </w:r>
      <w:r w:rsidRPr="00D52FB6">
        <w:rPr>
          <w:rFonts w:ascii="Book Antiqua" w:hAnsi="Book Antiqua" w:cs="Arial"/>
        </w:rPr>
        <w:t>ribunal refers to the medical evidence regarding the health of the appellant</w:t>
      </w:r>
      <w:r>
        <w:rPr>
          <w:rFonts w:ascii="Book Antiqua" w:hAnsi="Book Antiqua" w:cs="Arial"/>
        </w:rPr>
        <w:t>’</w:t>
      </w:r>
      <w:r w:rsidRPr="00D52FB6">
        <w:rPr>
          <w:rFonts w:ascii="Book Antiqua" w:hAnsi="Book Antiqua" w:cs="Arial"/>
        </w:rPr>
        <w:t xml:space="preserve">s father. The </w:t>
      </w:r>
      <w:r>
        <w:rPr>
          <w:rFonts w:ascii="Book Antiqua" w:hAnsi="Book Antiqua" w:cs="Arial"/>
        </w:rPr>
        <w:t>T</w:t>
      </w:r>
      <w:r w:rsidRPr="00D52FB6">
        <w:rPr>
          <w:rFonts w:ascii="Book Antiqua" w:hAnsi="Book Antiqua" w:cs="Arial"/>
        </w:rPr>
        <w:t>ribunal found that since December 2012, the appellant</w:t>
      </w:r>
      <w:r>
        <w:rPr>
          <w:rFonts w:ascii="Book Antiqua" w:hAnsi="Book Antiqua" w:cs="Arial"/>
        </w:rPr>
        <w:t>’</w:t>
      </w:r>
      <w:r w:rsidRPr="00D52FB6">
        <w:rPr>
          <w:rFonts w:ascii="Book Antiqua" w:hAnsi="Book Antiqua" w:cs="Arial"/>
        </w:rPr>
        <w:t>s father has been in a long-term situation of poor health and disability</w:t>
      </w:r>
      <w:r>
        <w:rPr>
          <w:rFonts w:ascii="Book Antiqua" w:hAnsi="Book Antiqua" w:cs="Arial"/>
        </w:rPr>
        <w:t>.</w:t>
      </w:r>
      <w:r w:rsidRPr="00D52FB6">
        <w:rPr>
          <w:rFonts w:ascii="Book Antiqua" w:hAnsi="Book Antiqua" w:cs="Arial"/>
        </w:rPr>
        <w:t xml:space="preserve"> The </w:t>
      </w:r>
      <w:r>
        <w:rPr>
          <w:rFonts w:ascii="Book Antiqua" w:hAnsi="Book Antiqua" w:cs="Arial"/>
        </w:rPr>
        <w:t>T</w:t>
      </w:r>
      <w:r w:rsidRPr="00D52FB6">
        <w:rPr>
          <w:rFonts w:ascii="Book Antiqua" w:hAnsi="Book Antiqua" w:cs="Arial"/>
        </w:rPr>
        <w:t>ribunal accepted the appellant</w:t>
      </w:r>
      <w:r>
        <w:rPr>
          <w:rFonts w:ascii="Book Antiqua" w:hAnsi="Book Antiqua" w:cs="Arial"/>
        </w:rPr>
        <w:t>’</w:t>
      </w:r>
      <w:r w:rsidRPr="00D52FB6">
        <w:rPr>
          <w:rFonts w:ascii="Book Antiqua" w:hAnsi="Book Antiqua" w:cs="Arial"/>
        </w:rPr>
        <w:t xml:space="preserve">s evidence that the time after his father’s stroke was very difficult for him and although there was a financial element to the appellant’s offending, the offending arose from the difficult circumstances the appellant found himself in as an adolescent struggling to cope with his father’s circumstances.  The </w:t>
      </w:r>
      <w:r>
        <w:rPr>
          <w:rFonts w:ascii="Book Antiqua" w:hAnsi="Book Antiqua" w:cs="Arial"/>
        </w:rPr>
        <w:t>T</w:t>
      </w:r>
      <w:r w:rsidRPr="00D52FB6">
        <w:rPr>
          <w:rFonts w:ascii="Book Antiqua" w:hAnsi="Book Antiqua" w:cs="Arial"/>
        </w:rPr>
        <w:t xml:space="preserve">ribunal found the appellant provides the main emotional support needed in his father’s life. The </w:t>
      </w:r>
      <w:r>
        <w:rPr>
          <w:rFonts w:ascii="Book Antiqua" w:hAnsi="Book Antiqua" w:cs="Arial"/>
        </w:rPr>
        <w:t>T</w:t>
      </w:r>
      <w:r w:rsidRPr="00D52FB6">
        <w:rPr>
          <w:rFonts w:ascii="Book Antiqua" w:hAnsi="Book Antiqua" w:cs="Arial"/>
        </w:rPr>
        <w:t>ribunal considered the availability of alternative care for the appellant’s father and having heard evidence from Mr Zulu, found that Mr Zulu could not replace the care provided by the appellant</w:t>
      </w:r>
      <w:r>
        <w:rPr>
          <w:rFonts w:ascii="Book Antiqua" w:hAnsi="Book Antiqua" w:cs="Arial"/>
        </w:rPr>
        <w:t xml:space="preserve">.  The Tribunal </w:t>
      </w:r>
      <w:r w:rsidRPr="00D52FB6">
        <w:rPr>
          <w:rFonts w:ascii="Book Antiqua" w:hAnsi="Book Antiqua" w:cs="Arial"/>
        </w:rPr>
        <w:t>not</w:t>
      </w:r>
      <w:r>
        <w:rPr>
          <w:rFonts w:ascii="Book Antiqua" w:hAnsi="Book Antiqua" w:cs="Arial"/>
        </w:rPr>
        <w:t>ed</w:t>
      </w:r>
      <w:r w:rsidRPr="00D52FB6">
        <w:rPr>
          <w:rFonts w:ascii="Book Antiqua" w:hAnsi="Book Antiqua" w:cs="Arial"/>
        </w:rPr>
        <w:t xml:space="preserve"> there is a specific bond between the appellant and his father which is irreplaceable and</w:t>
      </w:r>
      <w:r>
        <w:rPr>
          <w:rFonts w:ascii="Book Antiqua" w:hAnsi="Book Antiqua" w:cs="Arial"/>
        </w:rPr>
        <w:t xml:space="preserve"> accepted the </w:t>
      </w:r>
      <w:r w:rsidRPr="00D52FB6">
        <w:rPr>
          <w:rFonts w:ascii="Book Antiqua" w:hAnsi="Book Antiqua" w:cs="Arial"/>
        </w:rPr>
        <w:t xml:space="preserve">evidence of </w:t>
      </w:r>
      <w:r>
        <w:rPr>
          <w:rFonts w:ascii="Book Antiqua" w:hAnsi="Book Antiqua" w:cs="Arial"/>
        </w:rPr>
        <w:t xml:space="preserve">Mr Zulu regarding </w:t>
      </w:r>
      <w:r w:rsidRPr="00D52FB6">
        <w:rPr>
          <w:rFonts w:ascii="Book Antiqua" w:hAnsi="Book Antiqua" w:cs="Arial"/>
        </w:rPr>
        <w:t>the degree to which the appellant</w:t>
      </w:r>
      <w:r>
        <w:rPr>
          <w:rFonts w:ascii="Book Antiqua" w:hAnsi="Book Antiqua" w:cs="Arial"/>
        </w:rPr>
        <w:t>’</w:t>
      </w:r>
      <w:r w:rsidRPr="00D52FB6">
        <w:rPr>
          <w:rFonts w:ascii="Book Antiqua" w:hAnsi="Book Antiqua" w:cs="Arial"/>
        </w:rPr>
        <w:t>s father relies on the appellant for intangible care</w:t>
      </w:r>
      <w:r>
        <w:rPr>
          <w:rFonts w:ascii="Book Antiqua" w:hAnsi="Book Antiqua" w:cs="Arial"/>
        </w:rPr>
        <w:t xml:space="preserve"> that carers simply cannot provide</w:t>
      </w:r>
      <w:r w:rsidRPr="00D52FB6">
        <w:rPr>
          <w:rFonts w:ascii="Book Antiqua" w:hAnsi="Book Antiqua" w:cs="Arial"/>
        </w:rPr>
        <w:t xml:space="preserve"> in the form of love and emotional support that only a family member can provide.</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cs="Arial"/>
        </w:rPr>
        <w:t>The Tribunal noted, at paragraph [71], the relevant public interest factors, and for reasons set out at paragraphs [72] to [73] concluded that there are very compelling circumstances over and above the exceptions to deportation set out in s117C of the 2002 Act such that the public interest does not require deportation</w:t>
      </w:r>
      <w:r>
        <w:rPr>
          <w:rFonts w:ascii="Book Antiqua" w:hAnsi="Book Antiqua" w:cs="Arial"/>
        </w:rPr>
        <w:t>,</w:t>
      </w:r>
      <w:r w:rsidRPr="00D52FB6">
        <w:rPr>
          <w:rFonts w:ascii="Book Antiqua" w:hAnsi="Book Antiqua" w:cs="Arial"/>
        </w:rPr>
        <w:t xml:space="preserve"> and</w:t>
      </w:r>
      <w:r>
        <w:rPr>
          <w:rFonts w:ascii="Book Antiqua" w:hAnsi="Book Antiqua" w:cs="Arial"/>
        </w:rPr>
        <w:t>,</w:t>
      </w:r>
      <w:r w:rsidRPr="00D52FB6">
        <w:rPr>
          <w:rFonts w:ascii="Book Antiqua" w:hAnsi="Book Antiqua" w:cs="Arial"/>
        </w:rPr>
        <w:t xml:space="preserve"> the decision to deport the appellant would be contrary to the appellant</w:t>
      </w:r>
      <w:r>
        <w:rPr>
          <w:rFonts w:ascii="Book Antiqua" w:hAnsi="Book Antiqua" w:cs="Arial"/>
        </w:rPr>
        <w:t>’</w:t>
      </w:r>
      <w:r w:rsidRPr="00D52FB6">
        <w:rPr>
          <w:rFonts w:ascii="Book Antiqua" w:hAnsi="Book Antiqua" w:cs="Arial"/>
        </w:rPr>
        <w:t>s Convention rights under the ECHR.</w:t>
      </w:r>
    </w:p>
    <w:p w:rsidR="005F6F9B" w:rsidRPr="00D52FB6" w:rsidRDefault="005F6F9B" w:rsidP="005F6F9B">
      <w:pPr>
        <w:tabs>
          <w:tab w:val="left" w:pos="5387"/>
        </w:tabs>
        <w:spacing w:before="360" w:after="360" w:line="360" w:lineRule="auto"/>
        <w:jc w:val="both"/>
        <w:rPr>
          <w:rFonts w:ascii="Book Antiqua" w:hAnsi="Book Antiqua" w:cs="Arial"/>
          <w:u w:val="single"/>
        </w:rPr>
      </w:pPr>
      <w:r>
        <w:rPr>
          <w:rFonts w:ascii="Book Antiqua" w:hAnsi="Book Antiqua" w:cs="Arial"/>
          <w:u w:val="single"/>
        </w:rPr>
        <w:lastRenderedPageBreak/>
        <w:t>The appeal before me</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D52FB6">
        <w:rPr>
          <w:rFonts w:ascii="Book Antiqua" w:hAnsi="Book Antiqua" w:cs="Arial"/>
        </w:rPr>
        <w:t xml:space="preserve">The respondent claims the appellant is unable to bring himself within paragraphs 399 or 399A immigration rules and the reasons given by the </w:t>
      </w:r>
      <w:r>
        <w:rPr>
          <w:rFonts w:ascii="Book Antiqua" w:hAnsi="Book Antiqua" w:cs="Arial"/>
        </w:rPr>
        <w:t>T</w:t>
      </w:r>
      <w:r w:rsidRPr="00D52FB6">
        <w:rPr>
          <w:rFonts w:ascii="Book Antiqua" w:hAnsi="Book Antiqua" w:cs="Arial"/>
        </w:rPr>
        <w:t>ribunal for its conclusion that there are very compelling circumstances over and above the exceptions to deportation set out in s117C of the 2002 Act</w:t>
      </w:r>
      <w:r>
        <w:rPr>
          <w:rFonts w:ascii="Book Antiqua" w:hAnsi="Book Antiqua" w:cs="Arial"/>
        </w:rPr>
        <w:t>,</w:t>
      </w:r>
      <w:r w:rsidRPr="00D52FB6">
        <w:rPr>
          <w:rFonts w:ascii="Book Antiqua" w:hAnsi="Book Antiqua" w:cs="Arial"/>
        </w:rPr>
        <w:t xml:space="preserve"> fall short of establishing the very high threshold that must be met.  </w:t>
      </w:r>
      <w:r>
        <w:rPr>
          <w:rFonts w:ascii="Book Antiqua" w:hAnsi="Book Antiqua" w:cs="Arial"/>
        </w:rPr>
        <w:t xml:space="preserve">The respondent submits the </w:t>
      </w:r>
      <w:proofErr w:type="spellStart"/>
      <w:r>
        <w:rPr>
          <w:rFonts w:ascii="Book Antiqua" w:hAnsi="Book Antiqua" w:cs="Arial"/>
        </w:rPr>
        <w:t>FtT</w:t>
      </w:r>
      <w:proofErr w:type="spellEnd"/>
      <w:r>
        <w:rPr>
          <w:rFonts w:ascii="Book Antiqua" w:hAnsi="Book Antiqua" w:cs="Arial"/>
        </w:rPr>
        <w:t xml:space="preserve"> erroneously found there would be very significant obstacles to the appellant’s integration into Botswana.  It is said the Tribunal referred to the decision in </w:t>
      </w:r>
      <w:r>
        <w:rPr>
          <w:rFonts w:ascii="Book Antiqua" w:hAnsi="Book Antiqua" w:cs="Arial"/>
          <w:u w:val="single"/>
        </w:rPr>
        <w:t>SSHD -v- Kamara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813, but failed to have regard to the subsequent decision of the Court of Appeal in </w:t>
      </w:r>
      <w:proofErr w:type="spellStart"/>
      <w:r>
        <w:rPr>
          <w:rFonts w:ascii="Book Antiqua" w:hAnsi="Book Antiqua" w:cs="Arial"/>
          <w:u w:val="single"/>
        </w:rPr>
        <w:t>Mwesezi</w:t>
      </w:r>
      <w:proofErr w:type="spellEnd"/>
      <w:r>
        <w:rPr>
          <w:rFonts w:ascii="Book Antiqua" w:hAnsi="Book Antiqua" w:cs="Arial"/>
          <w:u w:val="single"/>
        </w:rPr>
        <w:t xml:space="preserve"> -v- SSHD</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1104, in which Sales LJ said at paragraph [26] that in </w:t>
      </w:r>
      <w:r w:rsidRPr="0098126F">
        <w:rPr>
          <w:rFonts w:ascii="Book Antiqua" w:hAnsi="Book Antiqua" w:cs="Arial"/>
          <w:u w:val="single"/>
        </w:rPr>
        <w:t>Kamara</w:t>
      </w:r>
      <w:r>
        <w:rPr>
          <w:rFonts w:ascii="Book Antiqua" w:hAnsi="Book Antiqua" w:cs="Arial"/>
        </w:rPr>
        <w:t xml:space="preserve">, </w:t>
      </w:r>
      <w:r w:rsidRPr="0098126F">
        <w:rPr>
          <w:rFonts w:ascii="Book Antiqua" w:hAnsi="Book Antiqua" w:cs="Arial"/>
        </w:rPr>
        <w:t xml:space="preserve">there were particular reasons why the individual could not be expected to integrate if removed to Sierra Leone, as the </w:t>
      </w:r>
      <w:r>
        <w:rPr>
          <w:rFonts w:ascii="Book Antiqua" w:hAnsi="Book Antiqua" w:cs="Arial"/>
        </w:rPr>
        <w:t>T</w:t>
      </w:r>
      <w:r w:rsidRPr="0098126F">
        <w:rPr>
          <w:rFonts w:ascii="Book Antiqua" w:hAnsi="Book Antiqua" w:cs="Arial"/>
        </w:rPr>
        <w:t>ribunal had been entitled to conclude on the evidence before it in that case</w:t>
      </w:r>
      <w:r>
        <w:rPr>
          <w:rFonts w:ascii="Book Antiqua" w:hAnsi="Book Antiqua" w:cs="Arial"/>
        </w:rPr>
        <w:t xml:space="preserve">.  </w:t>
      </w:r>
      <w:r w:rsidRPr="0098126F">
        <w:rPr>
          <w:rFonts w:ascii="Book Antiqua" w:hAnsi="Book Antiqua" w:cs="Arial"/>
        </w:rPr>
        <w:t xml:space="preserve">  </w:t>
      </w:r>
    </w:p>
    <w:p w:rsidR="005F6F9B" w:rsidRPr="0098126F"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Pr>
          <w:rFonts w:ascii="Book Antiqua" w:hAnsi="Book Antiqua" w:cs="Arial"/>
        </w:rPr>
        <w:t xml:space="preserve">Permission to appeal was granted by </w:t>
      </w:r>
      <w:proofErr w:type="spellStart"/>
      <w:r>
        <w:rPr>
          <w:rFonts w:ascii="Book Antiqua" w:hAnsi="Book Antiqua" w:cs="Arial"/>
        </w:rPr>
        <w:t>FtT</w:t>
      </w:r>
      <w:proofErr w:type="spellEnd"/>
      <w:r>
        <w:rPr>
          <w:rFonts w:ascii="Book Antiqua" w:hAnsi="Book Antiqua" w:cs="Arial"/>
        </w:rPr>
        <w:t xml:space="preserve"> Judge Macleman on 3</w:t>
      </w:r>
      <w:r w:rsidRPr="00FE595A">
        <w:rPr>
          <w:rFonts w:ascii="Book Antiqua" w:hAnsi="Book Antiqua" w:cs="Arial"/>
          <w:vertAlign w:val="superscript"/>
        </w:rPr>
        <w:t>rd</w:t>
      </w:r>
      <w:r>
        <w:rPr>
          <w:rFonts w:ascii="Book Antiqua" w:hAnsi="Book Antiqua" w:cs="Arial"/>
        </w:rPr>
        <w:t xml:space="preserve"> February 2020.  In doing so, he noted the </w:t>
      </w:r>
      <w:proofErr w:type="spellStart"/>
      <w:r>
        <w:rPr>
          <w:rFonts w:ascii="Book Antiqua" w:hAnsi="Book Antiqua" w:cs="Arial"/>
        </w:rPr>
        <w:t>FtT</w:t>
      </w:r>
      <w:proofErr w:type="spellEnd"/>
      <w:r>
        <w:rPr>
          <w:rFonts w:ascii="Book Antiqua" w:hAnsi="Book Antiqua" w:cs="Arial"/>
        </w:rPr>
        <w:t xml:space="preserve"> clearly identified the matters which it held to constitute </w:t>
      </w:r>
      <w:proofErr w:type="gramStart"/>
      <w:r>
        <w:rPr>
          <w:rFonts w:ascii="Book Antiqua" w:hAnsi="Book Antiqua" w:cs="Arial"/>
        </w:rPr>
        <w:t>“ very</w:t>
      </w:r>
      <w:proofErr w:type="gramEnd"/>
      <w:r>
        <w:rPr>
          <w:rFonts w:ascii="Book Antiqua" w:hAnsi="Book Antiqua" w:cs="Arial"/>
        </w:rPr>
        <w:t xml:space="preserve"> significant obstacles to integration” and, crucially, “very compelling circumstances, over and above” the exceptions in the immigration rules, but it is arguable whether the matters identified met either of those high tests.</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Pr>
          <w:rFonts w:ascii="Book Antiqua" w:hAnsi="Book Antiqua" w:cs="Arial"/>
        </w:rPr>
        <w:t>In the further submissions filed on behalf of the respondent dated 14</w:t>
      </w:r>
      <w:r w:rsidRPr="00F12A2F">
        <w:rPr>
          <w:rFonts w:ascii="Book Antiqua" w:hAnsi="Book Antiqua" w:cs="Arial"/>
          <w:vertAlign w:val="superscript"/>
        </w:rPr>
        <w:t>th</w:t>
      </w:r>
      <w:r>
        <w:rPr>
          <w:rFonts w:ascii="Book Antiqua" w:hAnsi="Book Antiqua" w:cs="Arial"/>
        </w:rPr>
        <w:t xml:space="preserve"> April 2020, the respondent adopts the grounds of appeal and submits that although the appellant’s father may prefer to receive the care provided by the appellant, that is not to say that the consequences of the appellant’s deportation would be unduly harsh.  The respondent draws attention to the appellant’s evidence set out at paragraph [27] of the decision that carers come to the house three times a day.  The respondent submits the </w:t>
      </w:r>
      <w:proofErr w:type="spellStart"/>
      <w:r>
        <w:rPr>
          <w:rFonts w:ascii="Book Antiqua" w:hAnsi="Book Antiqua" w:cs="Arial"/>
        </w:rPr>
        <w:t>FtT</w:t>
      </w:r>
      <w:proofErr w:type="spellEnd"/>
      <w:r>
        <w:rPr>
          <w:rFonts w:ascii="Book Antiqua" w:hAnsi="Book Antiqua" w:cs="Arial"/>
        </w:rPr>
        <w:t xml:space="preserve"> impermissibly considered, at paragraph [73] of its decision, that if the appellant’s father were a qualifying partner or child the appellant’s deportation would have a particularly harsh effect on his father.  The immigration rules do not refer to a relationship with a parent when considering whether the deportation would be contrary to the UK’s obligations under Article 8 ECHR. </w:t>
      </w:r>
    </w:p>
    <w:p w:rsidR="005F6F9B" w:rsidRPr="00FE595A"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Pr>
          <w:rFonts w:ascii="Book Antiqua" w:hAnsi="Book Antiqua" w:cs="Arial"/>
        </w:rPr>
        <w:lastRenderedPageBreak/>
        <w:t xml:space="preserve">In response, the appellant submits that contrary to what is said in the respondent’s submissions, the claim made by the appellant was not that the appellant’s father would essentially prefer the appellant to care for him.  The appellant submits the </w:t>
      </w:r>
      <w:proofErr w:type="spellStart"/>
      <w:r>
        <w:rPr>
          <w:rFonts w:ascii="Book Antiqua" w:hAnsi="Book Antiqua" w:cs="Arial"/>
        </w:rPr>
        <w:t>FtT</w:t>
      </w:r>
      <w:proofErr w:type="spellEnd"/>
      <w:r>
        <w:rPr>
          <w:rFonts w:ascii="Book Antiqua" w:hAnsi="Book Antiqua" w:cs="Arial"/>
        </w:rPr>
        <w:t xml:space="preserve"> clearly had in mind the high threshold applicable in reaching its conclusion that there are very compelling circumstances over and above those described in Exceptions 1 and 2 set out in s117C of the 2002 Act.  The appellant submits the grounds of appeal and submissions relied upon by the respondent amount to no more than a disagreement with findings that were open to the Tribunal. The appellant submits the Upper Tribunal should be slow to substitute a different assessment of the evidence where the panel of the </w:t>
      </w:r>
      <w:proofErr w:type="spellStart"/>
      <w:r>
        <w:rPr>
          <w:rFonts w:ascii="Book Antiqua" w:hAnsi="Book Antiqua" w:cs="Arial"/>
        </w:rPr>
        <w:t>FtT</w:t>
      </w:r>
      <w:proofErr w:type="spellEnd"/>
      <w:r>
        <w:rPr>
          <w:rFonts w:ascii="Book Antiqua" w:hAnsi="Book Antiqua" w:cs="Arial"/>
        </w:rPr>
        <w:t xml:space="preserve"> had the benefit of hearing all the evidence and considering the extensive medical evidence relied upon.</w:t>
      </w:r>
    </w:p>
    <w:p w:rsidR="005F6F9B" w:rsidRPr="006B4FF9" w:rsidRDefault="005F6F9B" w:rsidP="005F6F9B">
      <w:pPr>
        <w:tabs>
          <w:tab w:val="left" w:pos="5387"/>
        </w:tabs>
        <w:spacing w:before="360" w:after="360" w:line="360" w:lineRule="auto"/>
        <w:jc w:val="both"/>
        <w:rPr>
          <w:rFonts w:ascii="Book Antiqua" w:hAnsi="Book Antiqua" w:cs="Arial"/>
          <w:u w:val="single"/>
        </w:rPr>
      </w:pPr>
      <w:r>
        <w:rPr>
          <w:rFonts w:ascii="Book Antiqua" w:hAnsi="Book Antiqua" w:cs="Arial"/>
          <w:u w:val="single"/>
        </w:rPr>
        <w:t>Discussion</w:t>
      </w:r>
    </w:p>
    <w:p w:rsidR="005F6F9B" w:rsidRPr="00793A6D"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793A6D">
        <w:rPr>
          <w:rFonts w:ascii="Book Antiqua" w:hAnsi="Book Antiqua" w:cs="Arial"/>
        </w:rPr>
        <w:t>Section 32 of the UK Borders Act 2007 defines a foreign criminal, as a person not a British citizen who is convicted in the UK of an offence and, inter alia, sentenced to a period of imprisonment of at least 12 months. Section 32(4) of the 2007 Act sets outs out the clear proposition that deportation of a foreign criminal is conducive to the public good. That is a statement of public policy enacted by the legislature, which the courts and tribunals are obliged to respect. Section 32(5) of the 2007 Act requires the Secretary of State to make a deportation order in respect of every foreign criminal, subject to the exceptions set out in section 33.  Insofar as is relevant that is:</w:t>
      </w:r>
    </w:p>
    <w:p w:rsidR="005F6F9B" w:rsidRPr="00673355" w:rsidRDefault="005F6F9B" w:rsidP="005F6F9B">
      <w:pPr>
        <w:spacing w:before="120"/>
        <w:ind w:left="1134"/>
        <w:rPr>
          <w:rFonts w:ascii="Book Antiqua" w:hAnsi="Book Antiqua"/>
          <w:sz w:val="22"/>
          <w:szCs w:val="22"/>
        </w:rPr>
      </w:pPr>
      <w:r>
        <w:rPr>
          <w:rFonts w:ascii="Book Antiqua" w:hAnsi="Book Antiqua"/>
          <w:sz w:val="22"/>
          <w:szCs w:val="22"/>
        </w:rPr>
        <w:t>“</w:t>
      </w:r>
      <w:r w:rsidRPr="00673355">
        <w:rPr>
          <w:rFonts w:ascii="Book Antiqua" w:hAnsi="Book Antiqua"/>
          <w:sz w:val="22"/>
          <w:szCs w:val="22"/>
        </w:rPr>
        <w:t>(2</w:t>
      </w:r>
      <w:proofErr w:type="gramStart"/>
      <w:r w:rsidRPr="00673355">
        <w:rPr>
          <w:rFonts w:ascii="Book Antiqua" w:hAnsi="Book Antiqua"/>
          <w:sz w:val="22"/>
          <w:szCs w:val="22"/>
        </w:rPr>
        <w:t>)  </w:t>
      </w:r>
      <w:bookmarkStart w:id="0" w:name="_Hlk32577173"/>
      <w:r w:rsidRPr="00673355">
        <w:rPr>
          <w:rFonts w:ascii="Book Antiqua" w:hAnsi="Book Antiqua"/>
          <w:sz w:val="22"/>
          <w:szCs w:val="22"/>
        </w:rPr>
        <w:t>Exception</w:t>
      </w:r>
      <w:proofErr w:type="gramEnd"/>
      <w:r w:rsidRPr="00673355">
        <w:rPr>
          <w:rFonts w:ascii="Book Antiqua" w:hAnsi="Book Antiqua"/>
          <w:sz w:val="22"/>
          <w:szCs w:val="22"/>
        </w:rPr>
        <w:t xml:space="preserve"> 1 is where removal of the foreign criminal in pursuance of the deportation order would breach–</w:t>
      </w:r>
    </w:p>
    <w:p w:rsidR="005F6F9B" w:rsidRPr="00673355" w:rsidRDefault="005F6F9B" w:rsidP="005F6F9B">
      <w:pPr>
        <w:spacing w:before="120"/>
        <w:ind w:left="1134" w:firstLine="567"/>
        <w:rPr>
          <w:rFonts w:ascii="Book Antiqua" w:hAnsi="Book Antiqua"/>
          <w:sz w:val="22"/>
          <w:szCs w:val="22"/>
        </w:rPr>
      </w:pPr>
      <w:r w:rsidRPr="00673355">
        <w:rPr>
          <w:rFonts w:ascii="Book Antiqua" w:hAnsi="Book Antiqua"/>
          <w:sz w:val="22"/>
          <w:szCs w:val="22"/>
        </w:rPr>
        <w:t>(a)  a person's Convention rights, or</w:t>
      </w:r>
    </w:p>
    <w:bookmarkEnd w:id="0"/>
    <w:p w:rsidR="005F6F9B" w:rsidRDefault="005F6F9B" w:rsidP="005F6F9B">
      <w:pPr>
        <w:spacing w:before="120"/>
        <w:ind w:left="1134" w:firstLine="567"/>
        <w:rPr>
          <w:rFonts w:ascii="Book Antiqua" w:hAnsi="Book Antiqua"/>
          <w:sz w:val="22"/>
          <w:szCs w:val="22"/>
        </w:rPr>
      </w:pPr>
      <w:r>
        <w:rPr>
          <w:rFonts w:ascii="Book Antiqua" w:hAnsi="Book Antiqua"/>
          <w:sz w:val="22"/>
          <w:szCs w:val="22"/>
        </w:rPr>
        <w:t>…</w:t>
      </w:r>
    </w:p>
    <w:p w:rsidR="005F6F9B" w:rsidRPr="00406D02" w:rsidRDefault="005F6F9B" w:rsidP="005F6F9B">
      <w:pPr>
        <w:spacing w:before="120"/>
        <w:rPr>
          <w:rFonts w:ascii="Book Antiqua" w:hAnsi="Book Antiqua"/>
          <w:sz w:val="22"/>
          <w:szCs w:val="22"/>
        </w:rPr>
      </w:pPr>
      <w:r>
        <w:rPr>
          <w:rFonts w:ascii="Book Antiqua" w:hAnsi="Book Antiqua"/>
          <w:sz w:val="22"/>
          <w:szCs w:val="22"/>
        </w:rPr>
        <w:tab/>
      </w:r>
      <w:r>
        <w:rPr>
          <w:rFonts w:ascii="Book Antiqua" w:hAnsi="Book Antiqua"/>
          <w:sz w:val="22"/>
          <w:szCs w:val="22"/>
        </w:rPr>
        <w:tab/>
        <w:t>…</w:t>
      </w:r>
    </w:p>
    <w:p w:rsidR="005F6F9B" w:rsidRPr="00406D02" w:rsidRDefault="005F6F9B" w:rsidP="005F6F9B">
      <w:pPr>
        <w:spacing w:before="120"/>
        <w:ind w:left="567" w:firstLine="567"/>
        <w:rPr>
          <w:rFonts w:ascii="Book Antiqua" w:hAnsi="Book Antiqua"/>
          <w:sz w:val="22"/>
          <w:szCs w:val="22"/>
        </w:rPr>
      </w:pPr>
      <w:r w:rsidRPr="00406D02">
        <w:rPr>
          <w:rFonts w:ascii="Book Antiqua" w:hAnsi="Book Antiqua"/>
          <w:sz w:val="22"/>
          <w:szCs w:val="22"/>
        </w:rPr>
        <w:t>(7) The application of an exception—</w:t>
      </w:r>
    </w:p>
    <w:p w:rsidR="005F6F9B" w:rsidRPr="00406D02" w:rsidRDefault="005F6F9B" w:rsidP="005F6F9B">
      <w:pPr>
        <w:spacing w:before="120"/>
        <w:ind w:left="1134" w:firstLine="567"/>
        <w:rPr>
          <w:rFonts w:ascii="Book Antiqua" w:hAnsi="Book Antiqua"/>
          <w:sz w:val="22"/>
          <w:szCs w:val="22"/>
        </w:rPr>
      </w:pPr>
      <w:r w:rsidRPr="00406D02">
        <w:rPr>
          <w:rFonts w:ascii="Book Antiqua" w:hAnsi="Book Antiqua"/>
          <w:sz w:val="22"/>
          <w:szCs w:val="22"/>
        </w:rPr>
        <w:t>(a) does not prevent the making of a deportation order;</w:t>
      </w:r>
    </w:p>
    <w:p w:rsidR="005F6F9B" w:rsidRPr="00406D02" w:rsidRDefault="005F6F9B" w:rsidP="005F6F9B">
      <w:pPr>
        <w:spacing w:before="120"/>
        <w:ind w:left="1701"/>
        <w:rPr>
          <w:rFonts w:ascii="Book Antiqua" w:hAnsi="Book Antiqua"/>
          <w:sz w:val="22"/>
          <w:szCs w:val="22"/>
        </w:rPr>
      </w:pPr>
      <w:r w:rsidRPr="00406D02">
        <w:rPr>
          <w:rFonts w:ascii="Book Antiqua" w:hAnsi="Book Antiqua"/>
          <w:sz w:val="22"/>
          <w:szCs w:val="22"/>
        </w:rPr>
        <w:t>(b) results in it being assumed neither that deportation of the person concerned is conducive to the public good nor that it is not conducive to the public good;</w:t>
      </w:r>
    </w:p>
    <w:p w:rsidR="005F6F9B" w:rsidRPr="00406D02" w:rsidRDefault="005F6F9B" w:rsidP="005F6F9B">
      <w:pPr>
        <w:spacing w:before="120"/>
        <w:ind w:left="567" w:firstLine="567"/>
        <w:rPr>
          <w:rFonts w:ascii="Book Antiqua" w:hAnsi="Book Antiqua"/>
          <w:sz w:val="22"/>
          <w:szCs w:val="22"/>
        </w:rPr>
      </w:pPr>
      <w:r w:rsidRPr="00406D02">
        <w:rPr>
          <w:rFonts w:ascii="Book Antiqua" w:hAnsi="Book Antiqua"/>
          <w:sz w:val="22"/>
          <w:szCs w:val="22"/>
        </w:rPr>
        <w:t xml:space="preserve">but section 32(4) applies despite the application of Exception 1 or 4.". </w:t>
      </w:r>
    </w:p>
    <w:p w:rsidR="005F6F9B" w:rsidRPr="00673355" w:rsidRDefault="005F6F9B" w:rsidP="005F6F9B">
      <w:pPr>
        <w:spacing w:before="120"/>
        <w:rPr>
          <w:rFonts w:ascii="Book Antiqua" w:hAnsi="Book Antiqua"/>
          <w:sz w:val="22"/>
          <w:szCs w:val="22"/>
        </w:rPr>
      </w:pP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793A6D">
        <w:rPr>
          <w:rFonts w:ascii="Book Antiqua" w:hAnsi="Book Antiqua" w:cs="Arial"/>
        </w:rPr>
        <w:lastRenderedPageBreak/>
        <w:t xml:space="preserve">Part 5A of the Nationality, Immigration and Asylum Act 2002 NIAA 2002 informs the decision making in relation to the application of the section 33 exceptions. Section 117A in Part 5A provides that, when a court or tribunal is required to determine whether a decision made under the Immigration Acts breaches a person's right to respect for private and family life under Article 8, and, as a result, would be unlawful under section 6 of the HRA 1998, the court, in considering the public interest question, must (in particular) have regard to the considerations listed in section 117B and, additionally, in cases concerning the deportation of foreign criminals, to the considerations listed in section 117C.  </w:t>
      </w:r>
    </w:p>
    <w:p w:rsidR="005F6F9B" w:rsidRPr="00793A6D"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793A6D">
        <w:rPr>
          <w:rFonts w:ascii="Book Antiqua" w:hAnsi="Book Antiqua"/>
        </w:rPr>
        <w:t>Applying s117</w:t>
      </w:r>
      <w:proofErr w:type="gramStart"/>
      <w:r w:rsidRPr="00793A6D">
        <w:rPr>
          <w:rFonts w:ascii="Book Antiqua" w:hAnsi="Book Antiqua"/>
        </w:rPr>
        <w:t>C(</w:t>
      </w:r>
      <w:proofErr w:type="gramEnd"/>
      <w:r w:rsidRPr="00793A6D">
        <w:rPr>
          <w:rFonts w:ascii="Book Antiqua" w:hAnsi="Book Antiqua"/>
        </w:rPr>
        <w:t xml:space="preserve">3) of the 2002 Act, the public interest required the appellant’s deportation unless Exceptions 1 or 2 set out in s.117C(4) and (5) apply.  The appellant was unable to establish that Exceptions 1 or 2 apply, essentially for the reasons given by the </w:t>
      </w:r>
      <w:proofErr w:type="spellStart"/>
      <w:r>
        <w:rPr>
          <w:rFonts w:ascii="Book Antiqua" w:hAnsi="Book Antiqua"/>
        </w:rPr>
        <w:t>FtT</w:t>
      </w:r>
      <w:proofErr w:type="spellEnd"/>
      <w:r w:rsidRPr="00793A6D">
        <w:rPr>
          <w:rFonts w:ascii="Book Antiqua" w:hAnsi="Book Antiqua"/>
        </w:rPr>
        <w:t xml:space="preserve"> for concluding that paragraphs 399 and 399A of the immigration rules do not apply.</w:t>
      </w:r>
    </w:p>
    <w:p w:rsidR="005F6F9B" w:rsidRPr="00793A6D"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cs="Arial"/>
        </w:rPr>
      </w:pPr>
      <w:r w:rsidRPr="00793A6D">
        <w:rPr>
          <w:rFonts w:ascii="Book Antiqua" w:hAnsi="Book Antiqua"/>
        </w:rPr>
        <w:t xml:space="preserve">In </w:t>
      </w:r>
      <w:r w:rsidRPr="00793A6D">
        <w:rPr>
          <w:rFonts w:ascii="Book Antiqua" w:hAnsi="Book Antiqua"/>
          <w:u w:val="single"/>
        </w:rPr>
        <w:t>NA (Pakistan) -v- SSHD</w:t>
      </w:r>
      <w:r w:rsidRPr="00793A6D">
        <w:rPr>
          <w:rFonts w:ascii="Book Antiqua" w:hAnsi="Book Antiqua"/>
        </w:rPr>
        <w:t xml:space="preserve"> [2016] EWCA </w:t>
      </w:r>
      <w:proofErr w:type="spellStart"/>
      <w:r w:rsidRPr="00793A6D">
        <w:rPr>
          <w:rFonts w:ascii="Book Antiqua" w:hAnsi="Book Antiqua"/>
        </w:rPr>
        <w:t>Civ</w:t>
      </w:r>
      <w:proofErr w:type="spellEnd"/>
      <w:r w:rsidRPr="00793A6D">
        <w:rPr>
          <w:rFonts w:ascii="Book Antiqua" w:hAnsi="Book Antiqua"/>
        </w:rPr>
        <w:t xml:space="preserve"> 662, Lord Justice Jackson held that the fall back protection set out in s117C(6) also avails those who fall outside Exceptions 1 and 2 and that on a proper construction of section 117C(3), the public interest requires the person’s deportation unless Exception 1 or Exception 2 applies or unless there are very compelling circumstances, over and above those described in Exceptions 1 and 2.  As to the meaning of “very compelling circumstances” over and above those described in Exceptions 1 and 2, Lord Justice Jackson said:</w:t>
      </w:r>
    </w:p>
    <w:p w:rsidR="005F6F9B" w:rsidRPr="00634B16" w:rsidRDefault="005F6F9B" w:rsidP="005F6F9B">
      <w:pPr>
        <w:pStyle w:val="p"/>
        <w:spacing w:before="120"/>
        <w:ind w:left="1134" w:firstLine="0"/>
        <w:rPr>
          <w:sz w:val="22"/>
          <w:szCs w:val="22"/>
        </w:rPr>
      </w:pPr>
      <w:r w:rsidRPr="00634B16">
        <w:rPr>
          <w:sz w:val="22"/>
          <w:szCs w:val="22"/>
        </w:rPr>
        <w:t>“28.</w:t>
      </w:r>
      <w:r w:rsidRPr="00634B16">
        <w:rPr>
          <w:sz w:val="22"/>
          <w:szCs w:val="22"/>
        </w:rPr>
        <w:tab/>
        <w:t>… The new para. 398 uses the same language as section 117</w:t>
      </w:r>
      <w:proofErr w:type="gramStart"/>
      <w:r w:rsidRPr="00634B16">
        <w:rPr>
          <w:sz w:val="22"/>
          <w:szCs w:val="22"/>
        </w:rPr>
        <w:t>C(</w:t>
      </w:r>
      <w:proofErr w:type="gramEnd"/>
      <w:r w:rsidRPr="00634B16">
        <w:rPr>
          <w:sz w:val="22"/>
          <w:szCs w:val="22"/>
        </w:rPr>
        <w:t>6). It refers to “very compelling circumstances, over and above those described in paragraphs 399 and 399A.” Paragraphs 399 and 399A of the 2014 rules refer to the same subject matter as Exceptions 1 and 2 in section 117</w:t>
      </w:r>
      <w:proofErr w:type="gramStart"/>
      <w:r w:rsidRPr="00634B16">
        <w:rPr>
          <w:sz w:val="22"/>
          <w:szCs w:val="22"/>
        </w:rPr>
        <w:t>C ,</w:t>
      </w:r>
      <w:proofErr w:type="gramEnd"/>
      <w:r w:rsidRPr="00634B16">
        <w:rPr>
          <w:sz w:val="22"/>
          <w:szCs w:val="22"/>
        </w:rPr>
        <w:t xml:space="preserve"> but they do so in greater detail.</w:t>
      </w:r>
    </w:p>
    <w:p w:rsidR="005F6F9B" w:rsidRPr="00634B16" w:rsidRDefault="005F6F9B" w:rsidP="005F6F9B">
      <w:pPr>
        <w:pStyle w:val="p"/>
        <w:spacing w:before="120"/>
        <w:ind w:left="1134" w:firstLine="0"/>
        <w:rPr>
          <w:sz w:val="22"/>
          <w:szCs w:val="22"/>
        </w:rPr>
      </w:pPr>
      <w:r w:rsidRPr="00634B16">
        <w:rPr>
          <w:sz w:val="22"/>
          <w:szCs w:val="22"/>
        </w:rPr>
        <w:t>29. In our view, the reasoning of the Court of Appeal in JZ (Zambia) applies to those provisions. The phrase used in section 117</w:t>
      </w:r>
      <w:proofErr w:type="gramStart"/>
      <w:r w:rsidRPr="00634B16">
        <w:rPr>
          <w:sz w:val="22"/>
          <w:szCs w:val="22"/>
        </w:rPr>
        <w:t>C(</w:t>
      </w:r>
      <w:proofErr w:type="gramEnd"/>
      <w:r w:rsidRPr="00634B16">
        <w:rPr>
          <w:sz w:val="22"/>
          <w:szCs w:val="22"/>
        </w:rPr>
        <w:t xml:space="preserve">6), in para. 398 of the 2014 rules and which we have held is to be read into section 117C(3) does not mean that a foreign criminal facing deportation is altogether disentitled from seeking to rely on matters falling within the scope of the circumstances described in Exceptions 1 and 2 when seeking to contend that “there are very compelling circumstances, over and above those described in Exceptions 1 and 2”. As we have indicated above, a foreign criminal is entitled to rely upon such matters, but he would need to be able to point to features of his case of a kind </w:t>
      </w:r>
      <w:r w:rsidRPr="00634B16">
        <w:rPr>
          <w:sz w:val="22"/>
          <w:szCs w:val="22"/>
        </w:rPr>
        <w:lastRenderedPageBreak/>
        <w:t xml:space="preserve">mentioned in Exceptions 1 and 2 (and in paras. 399 or 399A of the 2014 rules), or features falling outside the circumstances described in those Exceptions and those paragraphs, which made his claim based on Article 8 especially strong.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rFonts w:ascii="Book Antiqua" w:hAnsi="Book Antiqua"/>
        </w:rPr>
        <w:t>W</w:t>
      </w:r>
      <w:r w:rsidRPr="00793A6D">
        <w:rPr>
          <w:rFonts w:ascii="Book Antiqua" w:hAnsi="Book Antiqua"/>
        </w:rPr>
        <w:t xml:space="preserve">hether there are “very compelling circumstances” is a demanding test, but nonetheless requires a wide-ranging assessment, </w:t>
      </w:r>
      <w:proofErr w:type="gramStart"/>
      <w:r w:rsidRPr="00793A6D">
        <w:rPr>
          <w:rFonts w:ascii="Book Antiqua" w:hAnsi="Book Antiqua"/>
        </w:rPr>
        <w:t>so as to</w:t>
      </w:r>
      <w:proofErr w:type="gramEnd"/>
      <w:r w:rsidRPr="00793A6D">
        <w:rPr>
          <w:rFonts w:ascii="Book Antiqua" w:hAnsi="Book Antiqua"/>
        </w:rPr>
        <w:t xml:space="preserve"> ensure that Part 5A produces a result compatible with Article 8.  At paragraph [73] of </w:t>
      </w:r>
      <w:r>
        <w:rPr>
          <w:rFonts w:ascii="Book Antiqua" w:hAnsi="Book Antiqua"/>
        </w:rPr>
        <w:t>its</w:t>
      </w:r>
      <w:r w:rsidRPr="00793A6D">
        <w:rPr>
          <w:rFonts w:ascii="Book Antiqua" w:hAnsi="Book Antiqua"/>
        </w:rPr>
        <w:t xml:space="preserve"> decision the </w:t>
      </w:r>
      <w:proofErr w:type="spellStart"/>
      <w:r w:rsidRPr="00793A6D">
        <w:rPr>
          <w:rFonts w:ascii="Book Antiqua" w:hAnsi="Book Antiqua"/>
        </w:rPr>
        <w:t>FtT</w:t>
      </w:r>
      <w:proofErr w:type="spellEnd"/>
      <w:r w:rsidRPr="00793A6D">
        <w:rPr>
          <w:rFonts w:ascii="Book Antiqua" w:hAnsi="Book Antiqua"/>
        </w:rPr>
        <w:t xml:space="preserve"> set out the factors that make the appellant’s circumstances very compelling. The judges noted that although the appellant had not lawfully been resident in the UK for most of his life, he is socially and culturally integrated in the UK and there would be very significant obstacles to his integration into Botswana. The </w:t>
      </w:r>
      <w:proofErr w:type="spellStart"/>
      <w:r>
        <w:rPr>
          <w:rFonts w:ascii="Book Antiqua" w:hAnsi="Book Antiqua"/>
        </w:rPr>
        <w:t>FtT</w:t>
      </w:r>
      <w:proofErr w:type="spellEnd"/>
      <w:r w:rsidRPr="00793A6D">
        <w:rPr>
          <w:rFonts w:ascii="Book Antiqua" w:hAnsi="Book Antiqua"/>
        </w:rPr>
        <w:t xml:space="preserve"> found that the</w:t>
      </w:r>
      <w:r>
        <w:rPr>
          <w:rFonts w:ascii="Book Antiqua" w:hAnsi="Book Antiqua"/>
        </w:rPr>
        <w:t xml:space="preserve"> appellant has a </w:t>
      </w:r>
      <w:r w:rsidRPr="00793A6D">
        <w:rPr>
          <w:rFonts w:ascii="Book Antiqua" w:hAnsi="Book Antiqua"/>
        </w:rPr>
        <w:t xml:space="preserve">lack of any meaningful ties to Botswana other than his entitlement to citizenship. </w:t>
      </w:r>
    </w:p>
    <w:p w:rsidR="005F6F9B" w:rsidRPr="001D00FC"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rFonts w:ascii="Book Antiqua" w:hAnsi="Book Antiqua"/>
        </w:rPr>
        <w:t xml:space="preserve">It is convenient to start with the respondent’s claim that the </w:t>
      </w:r>
      <w:proofErr w:type="spellStart"/>
      <w:r>
        <w:rPr>
          <w:rFonts w:ascii="Book Antiqua" w:hAnsi="Book Antiqua"/>
        </w:rPr>
        <w:t>FtT</w:t>
      </w:r>
      <w:proofErr w:type="spellEnd"/>
      <w:r>
        <w:rPr>
          <w:rFonts w:ascii="Book Antiqua" w:hAnsi="Book Antiqua"/>
        </w:rPr>
        <w:t xml:space="preserve"> erroneously found there would be very significant obstacles to the appellant’s integration into Botswana.  </w:t>
      </w:r>
      <w:r w:rsidRPr="001D00FC">
        <w:rPr>
          <w:rFonts w:ascii="Book Antiqua" w:hAnsi="Book Antiqua"/>
        </w:rPr>
        <w:t xml:space="preserve">The respondent refers to the decision of the Court of Appeal in </w:t>
      </w:r>
      <w:proofErr w:type="spellStart"/>
      <w:r w:rsidRPr="001D00FC">
        <w:rPr>
          <w:rFonts w:ascii="Book Antiqua" w:hAnsi="Book Antiqua"/>
          <w:u w:val="single"/>
        </w:rPr>
        <w:t>Mwesezi</w:t>
      </w:r>
      <w:proofErr w:type="spellEnd"/>
      <w:r w:rsidRPr="001D00FC">
        <w:rPr>
          <w:rFonts w:ascii="Book Antiqua" w:hAnsi="Book Antiqua"/>
          <w:u w:val="single"/>
        </w:rPr>
        <w:t xml:space="preserve"> -v- SSHD</w:t>
      </w:r>
      <w:r w:rsidRPr="001D00FC">
        <w:rPr>
          <w:rFonts w:ascii="Book Antiqua" w:hAnsi="Book Antiqua"/>
        </w:rPr>
        <w:t xml:space="preserve"> [2018] EWCA </w:t>
      </w:r>
      <w:proofErr w:type="spellStart"/>
      <w:r w:rsidRPr="001D00FC">
        <w:rPr>
          <w:rFonts w:ascii="Book Antiqua" w:hAnsi="Book Antiqua"/>
        </w:rPr>
        <w:t>Civ</w:t>
      </w:r>
      <w:proofErr w:type="spellEnd"/>
      <w:r w:rsidRPr="001D00FC">
        <w:rPr>
          <w:rFonts w:ascii="Book Antiqua" w:hAnsi="Book Antiqua"/>
        </w:rPr>
        <w:t xml:space="preserve"> 1104.  </w:t>
      </w:r>
      <w:r w:rsidRPr="001D00FC">
        <w:rPr>
          <w:rFonts w:ascii="Book Antiqua" w:hAnsi="Book Antiqua" w:cs="Arial"/>
        </w:rPr>
        <w:t xml:space="preserve">There, the </w:t>
      </w:r>
      <w:proofErr w:type="spellStart"/>
      <w:r w:rsidRPr="001D00FC">
        <w:rPr>
          <w:rFonts w:ascii="Book Antiqua" w:hAnsi="Book Antiqua" w:cs="Arial"/>
        </w:rPr>
        <w:t>FtT</w:t>
      </w:r>
      <w:proofErr w:type="spellEnd"/>
      <w:r w:rsidRPr="001D00FC">
        <w:rPr>
          <w:rFonts w:ascii="Book Antiqua" w:hAnsi="Book Antiqua" w:cs="Arial"/>
        </w:rPr>
        <w:t xml:space="preserve"> held that there would be very significant obstacles</w:t>
      </w:r>
      <w:bookmarkStart w:id="1" w:name="_GoBack"/>
      <w:bookmarkEnd w:id="1"/>
      <w:r w:rsidRPr="001D00FC">
        <w:rPr>
          <w:rFonts w:ascii="Book Antiqua" w:hAnsi="Book Antiqua" w:cs="Arial"/>
        </w:rPr>
        <w:t xml:space="preserve"> to integration for a Ugandan national who came to the UK with his mother and brother when he was aged two, and who was subsequently diagnosed as suffering from bipolar affective disorder.  The appellant had committed serious firearms offences when aged 23 for which he was sentenced to six years' imprisonment.  </w:t>
      </w:r>
      <w:r w:rsidRPr="001D00FC">
        <w:rPr>
          <w:rFonts w:ascii="Book Antiqua" w:hAnsi="Book Antiqua"/>
        </w:rPr>
        <w:t xml:space="preserve">The Court of Appeal held the Upper Tribunal was right to hold that the </w:t>
      </w:r>
      <w:proofErr w:type="spellStart"/>
      <w:r w:rsidRPr="001D00FC">
        <w:rPr>
          <w:rFonts w:ascii="Book Antiqua" w:hAnsi="Book Antiqua"/>
        </w:rPr>
        <w:t>FtT's</w:t>
      </w:r>
      <w:proofErr w:type="spellEnd"/>
      <w:r w:rsidRPr="001D00FC">
        <w:rPr>
          <w:rFonts w:ascii="Book Antiqua" w:hAnsi="Book Antiqua"/>
        </w:rPr>
        <w:t xml:space="preserve"> conclusion that the appellant had made out "very compelling circumstances" for the purposes of s117</w:t>
      </w:r>
      <w:proofErr w:type="gramStart"/>
      <w:r w:rsidRPr="001D00FC">
        <w:rPr>
          <w:rFonts w:ascii="Book Antiqua" w:hAnsi="Book Antiqua"/>
        </w:rPr>
        <w:t>C(</w:t>
      </w:r>
      <w:proofErr w:type="gramEnd"/>
      <w:r w:rsidRPr="001D00FC">
        <w:rPr>
          <w:rFonts w:ascii="Book Antiqua" w:hAnsi="Book Antiqua"/>
        </w:rPr>
        <w:t xml:space="preserve">6) of the 2002 Act was not one reasonably open to it. At paragraph [26] of the judgment Sales LJ said that in </w:t>
      </w:r>
      <w:r w:rsidRPr="001D00FC">
        <w:rPr>
          <w:rFonts w:ascii="Book Antiqua" w:hAnsi="Book Antiqua"/>
          <w:u w:val="single"/>
        </w:rPr>
        <w:t>Kamara</w:t>
      </w:r>
      <w:r w:rsidRPr="001D00FC">
        <w:rPr>
          <w:rFonts w:ascii="Book Antiqua" w:hAnsi="Book Antiqua"/>
        </w:rPr>
        <w:t xml:space="preserve">, there were </w:t>
      </w:r>
      <w:proofErr w:type="gramStart"/>
      <w:r w:rsidRPr="001D00FC">
        <w:rPr>
          <w:rFonts w:ascii="Book Antiqua" w:hAnsi="Book Antiqua"/>
        </w:rPr>
        <w:t>particular reasons</w:t>
      </w:r>
      <w:proofErr w:type="gramEnd"/>
      <w:r w:rsidRPr="001D00FC">
        <w:rPr>
          <w:rFonts w:ascii="Book Antiqua" w:hAnsi="Book Antiqua"/>
        </w:rPr>
        <w:t xml:space="preserve"> why the individual could not be expected to integrate if removed to Sierra Leone.</w:t>
      </w:r>
      <w:r>
        <w:rPr>
          <w:rFonts w:ascii="Book Antiqua" w:hAnsi="Book Antiqua"/>
        </w:rPr>
        <w:t xml:space="preserve">  To put that in context, it is necessary to consider the decision in </w:t>
      </w:r>
      <w:r>
        <w:rPr>
          <w:rFonts w:ascii="Book Antiqua" w:hAnsi="Book Antiqua"/>
          <w:u w:val="single"/>
        </w:rPr>
        <w:t>Kamara</w:t>
      </w:r>
      <w:r>
        <w:rPr>
          <w:rFonts w:ascii="Book Antiqua" w:hAnsi="Book Antiqua"/>
        </w:rPr>
        <w:t xml:space="preserve"> in a little more detail.</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sidRPr="000869E7">
        <w:rPr>
          <w:rFonts w:ascii="Book Antiqua" w:hAnsi="Book Antiqua" w:cs="Arial"/>
        </w:rPr>
        <w:t xml:space="preserve">In </w:t>
      </w:r>
      <w:r w:rsidRPr="000869E7">
        <w:rPr>
          <w:rFonts w:ascii="Book Antiqua" w:hAnsi="Book Antiqua" w:cs="Arial"/>
          <w:u w:val="single"/>
        </w:rPr>
        <w:t>Kamara</w:t>
      </w:r>
      <w:r w:rsidRPr="000869E7">
        <w:rPr>
          <w:rFonts w:ascii="Book Antiqua" w:hAnsi="Book Antiqua" w:cs="Arial"/>
        </w:rPr>
        <w:t>, the Upper Tribunal had found there would be very significant obstacles to Mr Kamara's integration into Sierra Leone, if deported there for the reasons summarised by Sales</w:t>
      </w:r>
      <w:r>
        <w:rPr>
          <w:rFonts w:ascii="Book Antiqua" w:hAnsi="Book Antiqua" w:cs="Arial"/>
        </w:rPr>
        <w:t xml:space="preserve"> LJ</w:t>
      </w:r>
      <w:r w:rsidRPr="000869E7">
        <w:rPr>
          <w:rFonts w:ascii="Book Antiqua" w:hAnsi="Book Antiqua" w:cs="Arial"/>
        </w:rPr>
        <w:t xml:space="preserve"> at paragraph [12] of his decision.  The Upper Tribunal had found Mr Kamara </w:t>
      </w:r>
      <w:r w:rsidRPr="000869E7">
        <w:rPr>
          <w:rFonts w:ascii="Book Antiqua" w:hAnsi="Book Antiqua"/>
        </w:rPr>
        <w:t xml:space="preserve">had no family, familial links or friends in Sierra Leone. </w:t>
      </w:r>
      <w:r>
        <w:rPr>
          <w:rFonts w:ascii="Book Antiqua" w:hAnsi="Book Antiqua"/>
        </w:rPr>
        <w:t xml:space="preserve"> There were n</w:t>
      </w:r>
      <w:r w:rsidRPr="000869E7">
        <w:rPr>
          <w:rFonts w:ascii="Book Antiqua" w:hAnsi="Book Antiqua"/>
        </w:rPr>
        <w:t xml:space="preserve">o other relevant factors such as social or cultural ties of a nature which would provide </w:t>
      </w:r>
      <w:r w:rsidRPr="000869E7">
        <w:rPr>
          <w:rFonts w:ascii="Book Antiqua" w:hAnsi="Book Antiqua"/>
        </w:rPr>
        <w:lastRenderedPageBreak/>
        <w:t xml:space="preserve">him with the basis for establishing a private life and thus integration in </w:t>
      </w:r>
      <w:r>
        <w:rPr>
          <w:rFonts w:ascii="Book Antiqua" w:hAnsi="Book Antiqua"/>
        </w:rPr>
        <w:t>Sierra Leone</w:t>
      </w:r>
      <w:r w:rsidRPr="000869E7">
        <w:rPr>
          <w:rFonts w:ascii="Book Antiqua" w:hAnsi="Book Antiqua"/>
        </w:rPr>
        <w:t>. Mr Kamara did not speak any of the local languages</w:t>
      </w:r>
      <w:r>
        <w:rPr>
          <w:rFonts w:ascii="Book Antiqua" w:hAnsi="Book Antiqua"/>
        </w:rPr>
        <w:t xml:space="preserve"> and the Upper Tribunal found that </w:t>
      </w:r>
      <w:r w:rsidRPr="000869E7">
        <w:rPr>
          <w:rFonts w:ascii="Book Antiqua" w:hAnsi="Book Antiqua"/>
        </w:rPr>
        <w:t xml:space="preserve">Sierra Leone is a highly contextualised society, many things in the language are not expressed, </w:t>
      </w:r>
      <w:r>
        <w:rPr>
          <w:rFonts w:ascii="Book Antiqua" w:hAnsi="Book Antiqua"/>
        </w:rPr>
        <w:t xml:space="preserve">but are </w:t>
      </w:r>
      <w:r w:rsidRPr="000869E7">
        <w:rPr>
          <w:rFonts w:ascii="Book Antiqua" w:hAnsi="Book Antiqua"/>
        </w:rPr>
        <w:t xml:space="preserve">instead interpreted through non-verbal cues or cultural norms, with which Mr Kamara would have no familiarity. </w:t>
      </w:r>
      <w:proofErr w:type="gramStart"/>
      <w:r>
        <w:rPr>
          <w:rFonts w:ascii="Book Antiqua" w:hAnsi="Book Antiqua"/>
        </w:rPr>
        <w:t>Furthermore</w:t>
      </w:r>
      <w:proofErr w:type="gramEnd"/>
      <w:r>
        <w:rPr>
          <w:rFonts w:ascii="Book Antiqua" w:hAnsi="Book Antiqua"/>
        </w:rPr>
        <w:t xml:space="preserve"> </w:t>
      </w:r>
      <w:r w:rsidRPr="000869E7">
        <w:rPr>
          <w:rFonts w:ascii="Book Antiqua" w:hAnsi="Book Antiqua"/>
        </w:rPr>
        <w:t xml:space="preserve">the evidence </w:t>
      </w:r>
      <w:r>
        <w:rPr>
          <w:rFonts w:ascii="Book Antiqua" w:hAnsi="Book Antiqua"/>
        </w:rPr>
        <w:t xml:space="preserve">before the Upper Tribunal </w:t>
      </w:r>
      <w:r w:rsidRPr="000869E7">
        <w:rPr>
          <w:rFonts w:ascii="Book Antiqua" w:hAnsi="Book Antiqua"/>
        </w:rPr>
        <w:t>showed that there were continuing hardships experienced by the population in Sierra Leone in relation to the country's fight against Ebola, which would make it still more difficult for an outsider like Mr Kamara</w:t>
      </w:r>
      <w:r>
        <w:rPr>
          <w:rFonts w:ascii="Book Antiqua" w:hAnsi="Book Antiqua"/>
        </w:rPr>
        <w:t>.  At paragraph [14] of the judgment, Sales LJ said:</w:t>
      </w:r>
    </w:p>
    <w:p w:rsidR="005F6F9B" w:rsidRPr="000869E7" w:rsidRDefault="005F6F9B" w:rsidP="005F6F9B">
      <w:pPr>
        <w:pStyle w:val="p"/>
        <w:spacing w:before="120"/>
        <w:ind w:left="1134" w:firstLine="0"/>
      </w:pPr>
      <w:r>
        <w:t>“</w:t>
      </w:r>
      <w:r w:rsidRPr="000869E7">
        <w:rPr>
          <w:sz w:val="22"/>
          <w:szCs w:val="22"/>
        </w:rPr>
        <w:t xml:space="preserve">14. In my view,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as subject to some gloss and it will usually be </w:t>
      </w:r>
      <w:proofErr w:type="gramStart"/>
      <w:r w:rsidRPr="000869E7">
        <w:rPr>
          <w:sz w:val="22"/>
          <w:szCs w:val="22"/>
        </w:rPr>
        <w:t>sufficient</w:t>
      </w:r>
      <w:proofErr w:type="gramEnd"/>
      <w:r w:rsidRPr="000869E7">
        <w:rPr>
          <w:sz w:val="22"/>
          <w:szCs w:val="22"/>
        </w:rPr>
        <w:t xml:space="preserve"> for a court or tribunal simply to direct itself in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r>
        <w:rPr>
          <w:sz w:val="22"/>
          <w:szCs w:val="22"/>
        </w:rPr>
        <w:t>”</w:t>
      </w:r>
      <w:r w:rsidRPr="000869E7">
        <w:t xml:space="preserve">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rFonts w:ascii="Book Antiqua" w:hAnsi="Book Antiqua"/>
        </w:rPr>
        <w:t xml:space="preserve">I reject the claim by the respondent that there is nothing in the appellant’s circumstances here, that can lead to a rational conclusion that there would be very significant obstacles to the appellant’s integration into Botswana. The respondent claims the appellant comes from a ‘Botswanan background’ and he would have some awareness of its society and culture. The respondent submits many people move to a new country and are quite capable of starting up a new life.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rFonts w:ascii="Book Antiqua" w:hAnsi="Book Antiqua"/>
        </w:rPr>
        <w:t xml:space="preserve">The </w:t>
      </w:r>
      <w:proofErr w:type="spellStart"/>
      <w:r>
        <w:rPr>
          <w:rFonts w:ascii="Book Antiqua" w:hAnsi="Book Antiqua"/>
        </w:rPr>
        <w:t>FtT’s</w:t>
      </w:r>
      <w:proofErr w:type="spellEnd"/>
      <w:r>
        <w:rPr>
          <w:rFonts w:ascii="Book Antiqua" w:hAnsi="Book Antiqua"/>
        </w:rPr>
        <w:t xml:space="preserve"> reasons for its finding are to be found at paragraphs [66] to [68] of its decision.  Although I accept that </w:t>
      </w:r>
      <w:r w:rsidRPr="001D00FC">
        <w:rPr>
          <w:rFonts w:ascii="Book Antiqua" w:hAnsi="Book Antiqua"/>
        </w:rPr>
        <w:t>that there are many migrants who seek a new life in countries other than their own</w:t>
      </w:r>
      <w:r>
        <w:rPr>
          <w:rFonts w:ascii="Book Antiqua" w:hAnsi="Book Antiqua"/>
        </w:rPr>
        <w:t xml:space="preserve">, here, the </w:t>
      </w:r>
      <w:proofErr w:type="spellStart"/>
      <w:r>
        <w:rPr>
          <w:rFonts w:ascii="Book Antiqua" w:hAnsi="Book Antiqua"/>
        </w:rPr>
        <w:t>FtT</w:t>
      </w:r>
      <w:proofErr w:type="spellEnd"/>
      <w:r>
        <w:rPr>
          <w:rFonts w:ascii="Book Antiqua" w:hAnsi="Book Antiqua"/>
        </w:rPr>
        <w:t xml:space="preserve"> noted the appellant has never been to Botswana apart from a brief visit to attend a funeral when he was a young child.  The Tribunal noted that the appellant was born and brought up in Zimbabwe, until he came to the UK and accepted the appellant’s evidence that he has no meaningful connection with Botswana at all. The </w:t>
      </w:r>
      <w:proofErr w:type="spellStart"/>
      <w:r>
        <w:rPr>
          <w:rFonts w:ascii="Book Antiqua" w:hAnsi="Book Antiqua"/>
        </w:rPr>
        <w:t>FtT</w:t>
      </w:r>
      <w:proofErr w:type="spellEnd"/>
      <w:r>
        <w:rPr>
          <w:rFonts w:ascii="Book Antiqua" w:hAnsi="Book Antiqua"/>
        </w:rPr>
        <w:t xml:space="preserve"> accepted the appellant has no relatives either in Botswana, or with connections in Botswana who would be able, in any practical sense, to assist him. The </w:t>
      </w:r>
      <w:proofErr w:type="spellStart"/>
      <w:r>
        <w:rPr>
          <w:rFonts w:ascii="Book Antiqua" w:hAnsi="Book Antiqua"/>
        </w:rPr>
        <w:t>FtT</w:t>
      </w:r>
      <w:proofErr w:type="spellEnd"/>
      <w:r>
        <w:rPr>
          <w:rFonts w:ascii="Book Antiqua" w:hAnsi="Book Antiqua"/>
        </w:rPr>
        <w:t xml:space="preserve"> noted the appellant has no knowledge whatsoever of how life in society in Botswana is carried on.  The </w:t>
      </w:r>
      <w:proofErr w:type="spellStart"/>
      <w:r>
        <w:rPr>
          <w:rFonts w:ascii="Book Antiqua" w:hAnsi="Book Antiqua"/>
        </w:rPr>
        <w:t>FtT</w:t>
      </w:r>
      <w:proofErr w:type="spellEnd"/>
      <w:r>
        <w:rPr>
          <w:rFonts w:ascii="Book Antiqua" w:hAnsi="Book Antiqua"/>
        </w:rPr>
        <w:t xml:space="preserve"> identified other difficulties the appellant would face and noted that although English may be widely spoken, day-to-day interactions are conducted in local languages and the appellant lacks knowledge of any local languages. Although the </w:t>
      </w:r>
      <w:proofErr w:type="spellStart"/>
      <w:r>
        <w:rPr>
          <w:rFonts w:ascii="Book Antiqua" w:hAnsi="Book Antiqua"/>
        </w:rPr>
        <w:t>FtT</w:t>
      </w:r>
      <w:proofErr w:type="spellEnd"/>
      <w:r>
        <w:rPr>
          <w:rFonts w:ascii="Book Antiqua" w:hAnsi="Book Antiqua"/>
        </w:rPr>
        <w:t xml:space="preserve"> was satisfied the appellant has the capacity to learn another language, it noted that would take time and found the appellant would face very significant obstacles to building up the kind of ties that will give substance to his private and family life within a reasonable time.  In my judgement the conclusion reached by the </w:t>
      </w:r>
      <w:proofErr w:type="spellStart"/>
      <w:r>
        <w:rPr>
          <w:rFonts w:ascii="Book Antiqua" w:hAnsi="Book Antiqua"/>
        </w:rPr>
        <w:t>FtT</w:t>
      </w:r>
      <w:proofErr w:type="spellEnd"/>
      <w:r>
        <w:rPr>
          <w:rFonts w:ascii="Book Antiqua" w:hAnsi="Book Antiqua"/>
        </w:rPr>
        <w:t xml:space="preserve"> that there are very significant obstacles to the appellant’s integration into Botswana, is </w:t>
      </w:r>
      <w:r w:rsidRPr="001353D0">
        <w:rPr>
          <w:rFonts w:ascii="Book Antiqua" w:hAnsi="Book Antiqua"/>
          <w:lang w:val="en-US"/>
        </w:rPr>
        <w:t xml:space="preserve">neither irrational nor unreasonable in the </w:t>
      </w:r>
      <w:proofErr w:type="spellStart"/>
      <w:r w:rsidRPr="001353D0">
        <w:rPr>
          <w:rFonts w:ascii="Book Antiqua" w:hAnsi="Book Antiqua"/>
          <w:i/>
          <w:iCs/>
          <w:lang w:val="en-US"/>
        </w:rPr>
        <w:t>Wednesbury</w:t>
      </w:r>
      <w:proofErr w:type="spellEnd"/>
      <w:r w:rsidRPr="001353D0">
        <w:rPr>
          <w:rFonts w:ascii="Book Antiqua" w:hAnsi="Book Antiqua"/>
          <w:i/>
          <w:iCs/>
          <w:lang w:val="en-US"/>
        </w:rPr>
        <w:t xml:space="preserve"> </w:t>
      </w:r>
      <w:r w:rsidRPr="001353D0">
        <w:rPr>
          <w:rFonts w:ascii="Book Antiqua" w:hAnsi="Book Antiqua"/>
          <w:lang w:val="en-US"/>
        </w:rPr>
        <w:t xml:space="preserve">sense, or </w:t>
      </w:r>
      <w:r>
        <w:rPr>
          <w:rFonts w:ascii="Book Antiqua" w:hAnsi="Book Antiqua"/>
          <w:lang w:val="en-US"/>
        </w:rPr>
        <w:t>a c</w:t>
      </w:r>
      <w:r w:rsidRPr="001353D0">
        <w:rPr>
          <w:rFonts w:ascii="Book Antiqua" w:hAnsi="Book Antiqua"/>
          <w:lang w:val="en-US"/>
        </w:rPr>
        <w:t>onclusion that w</w:t>
      </w:r>
      <w:r>
        <w:rPr>
          <w:rFonts w:ascii="Book Antiqua" w:hAnsi="Book Antiqua"/>
          <w:lang w:val="en-US"/>
        </w:rPr>
        <w:t>as</w:t>
      </w:r>
      <w:r w:rsidRPr="001353D0">
        <w:rPr>
          <w:rFonts w:ascii="Book Antiqua" w:hAnsi="Book Antiqua"/>
          <w:lang w:val="en-US"/>
        </w:rPr>
        <w:t xml:space="preserve"> wholly unsupported by the evidence.  </w:t>
      </w:r>
      <w:r>
        <w:rPr>
          <w:rFonts w:ascii="Book Antiqua" w:hAnsi="Book Antiqua"/>
        </w:rPr>
        <w:t xml:space="preserve">In </w:t>
      </w:r>
      <w:proofErr w:type="gramStart"/>
      <w:r>
        <w:rPr>
          <w:rFonts w:ascii="Book Antiqua" w:hAnsi="Book Antiqua"/>
        </w:rPr>
        <w:t>fact</w:t>
      </w:r>
      <w:proofErr w:type="gramEnd"/>
      <w:r>
        <w:rPr>
          <w:rFonts w:ascii="Book Antiqua" w:hAnsi="Book Antiqua"/>
        </w:rPr>
        <w:t xml:space="preserve"> many of the factors referred to by the </w:t>
      </w:r>
      <w:proofErr w:type="spellStart"/>
      <w:r>
        <w:rPr>
          <w:rFonts w:ascii="Book Antiqua" w:hAnsi="Book Antiqua"/>
        </w:rPr>
        <w:t>FtT</w:t>
      </w:r>
      <w:proofErr w:type="spellEnd"/>
      <w:r>
        <w:rPr>
          <w:rFonts w:ascii="Book Antiqua" w:hAnsi="Book Antiqua"/>
        </w:rPr>
        <w:t xml:space="preserve"> are the sort of factors that were considered by the Court of Appeal to be relevant in </w:t>
      </w:r>
      <w:r>
        <w:rPr>
          <w:rFonts w:ascii="Book Antiqua" w:hAnsi="Book Antiqua"/>
          <w:u w:val="single"/>
        </w:rPr>
        <w:t>Kamara</w:t>
      </w:r>
      <w:r>
        <w:rPr>
          <w:rFonts w:ascii="Book Antiqua" w:hAnsi="Book Antiqua"/>
        </w:rPr>
        <w:t xml:space="preserve">.  </w:t>
      </w:r>
      <w:r>
        <w:rPr>
          <w:rFonts w:ascii="Book Antiqua" w:hAnsi="Book Antiqua"/>
          <w:lang w:val="en-US"/>
        </w:rPr>
        <w:t xml:space="preserve">It </w:t>
      </w:r>
      <w:r>
        <w:rPr>
          <w:rFonts w:ascii="Book Antiqua" w:hAnsi="Book Antiqua"/>
        </w:rPr>
        <w:t xml:space="preserve">is in my judgment a conclusion that was properly open to the </w:t>
      </w:r>
      <w:proofErr w:type="spellStart"/>
      <w:r>
        <w:rPr>
          <w:rFonts w:ascii="Book Antiqua" w:hAnsi="Book Antiqua"/>
        </w:rPr>
        <w:t>FtT</w:t>
      </w:r>
      <w:proofErr w:type="spellEnd"/>
      <w:r>
        <w:rPr>
          <w:rFonts w:ascii="Book Antiqua" w:hAnsi="Book Antiqua"/>
        </w:rPr>
        <w:t xml:space="preserve">.   </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rFonts w:ascii="Book Antiqua" w:hAnsi="Book Antiqua"/>
        </w:rPr>
        <w:t>In considering whether there are any compelling circumstances over and above those described in Exceptions 1 and 2 of s117C of the 2002 Act, t</w:t>
      </w:r>
      <w:r w:rsidRPr="001353D0">
        <w:rPr>
          <w:rFonts w:ascii="Book Antiqua" w:hAnsi="Book Antiqua"/>
        </w:rPr>
        <w:t xml:space="preserve">he </w:t>
      </w:r>
      <w:proofErr w:type="spellStart"/>
      <w:r>
        <w:rPr>
          <w:rFonts w:ascii="Book Antiqua" w:hAnsi="Book Antiqua"/>
        </w:rPr>
        <w:t>FtT</w:t>
      </w:r>
      <w:proofErr w:type="spellEnd"/>
      <w:r>
        <w:rPr>
          <w:rFonts w:ascii="Book Antiqua" w:hAnsi="Book Antiqua"/>
        </w:rPr>
        <w:t xml:space="preserve"> </w:t>
      </w:r>
      <w:r w:rsidRPr="001353D0">
        <w:rPr>
          <w:rFonts w:ascii="Book Antiqua" w:hAnsi="Book Antiqua"/>
        </w:rPr>
        <w:t>found that the United Kingdom is the only country in which the appellant has any family members with whom he enjoys a relationship and his close relationship with his father, taken together with his father’s dependence on the appellant for emotional and practical support is likely to have a particularly harsh effect on his father.</w:t>
      </w:r>
    </w:p>
    <w:p w:rsidR="005F6F9B"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rFonts w:ascii="Book Antiqua" w:hAnsi="Book Antiqua"/>
        </w:rPr>
        <w:t>Having found the appellant is socially and culturally integrated in the United Kingdom and there would be very significant obstacles to the appellant’s integration into Botswana, i</w:t>
      </w:r>
      <w:r w:rsidRPr="001353D0">
        <w:rPr>
          <w:rFonts w:ascii="Book Antiqua" w:hAnsi="Book Antiqua"/>
        </w:rPr>
        <w:t xml:space="preserve">n the final analysis, the </w:t>
      </w:r>
      <w:proofErr w:type="spellStart"/>
      <w:r>
        <w:rPr>
          <w:rFonts w:ascii="Book Antiqua" w:hAnsi="Book Antiqua"/>
        </w:rPr>
        <w:t>FtT</w:t>
      </w:r>
      <w:proofErr w:type="spellEnd"/>
      <w:r w:rsidRPr="001353D0">
        <w:rPr>
          <w:rFonts w:ascii="Book Antiqua" w:hAnsi="Book Antiqua"/>
        </w:rPr>
        <w:t xml:space="preserve"> reminded </w:t>
      </w:r>
      <w:r>
        <w:rPr>
          <w:rFonts w:ascii="Book Antiqua" w:hAnsi="Book Antiqua"/>
        </w:rPr>
        <w:t>itself</w:t>
      </w:r>
      <w:r w:rsidRPr="001353D0">
        <w:rPr>
          <w:rFonts w:ascii="Book Antiqua" w:hAnsi="Book Antiqua"/>
        </w:rPr>
        <w:t xml:space="preserve"> of the strong public interest in the deportation of foreign offenders who commit serious offences but found that on the particular facts, the strong public interest is outweighed for the reasons set out in paragraph [73]. </w:t>
      </w:r>
      <w:r>
        <w:rPr>
          <w:rFonts w:ascii="Book Antiqua" w:hAnsi="Book Antiqua"/>
        </w:rPr>
        <w:t xml:space="preserve"> The </w:t>
      </w:r>
      <w:proofErr w:type="spellStart"/>
      <w:r>
        <w:rPr>
          <w:rFonts w:ascii="Book Antiqua" w:hAnsi="Book Antiqua"/>
        </w:rPr>
        <w:t>FtT</w:t>
      </w:r>
      <w:proofErr w:type="spellEnd"/>
      <w:r>
        <w:rPr>
          <w:rFonts w:ascii="Book Antiqua" w:hAnsi="Book Antiqua"/>
        </w:rPr>
        <w:t xml:space="preserve"> concluded that </w:t>
      </w:r>
      <w:r w:rsidRPr="003F244E">
        <w:rPr>
          <w:rFonts w:ascii="Book Antiqua" w:hAnsi="Book Antiqua"/>
        </w:rPr>
        <w:t>the very substantial weight to be attached to the public interest in removing foreign criminals is, exceptionally, outweighed on the particular facts of this case.</w:t>
      </w:r>
      <w:r>
        <w:rPr>
          <w:rFonts w:ascii="Book Antiqua" w:hAnsi="Book Antiqua"/>
        </w:rPr>
        <w:t xml:space="preserve">  </w:t>
      </w:r>
      <w:r w:rsidRPr="001353D0">
        <w:rPr>
          <w:rFonts w:ascii="Book Antiqua" w:hAnsi="Book Antiqua"/>
        </w:rPr>
        <w:t xml:space="preserve">If the Tribunal judge applied the correct test, and that resulted in an arguably generous conclusion, it does not mean that it was erroneous in law.  </w:t>
      </w:r>
    </w:p>
    <w:p w:rsidR="005F6F9B" w:rsidRPr="00FE595A" w:rsidRDefault="005F6F9B"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sidRPr="00210C64">
        <w:rPr>
          <w:rFonts w:ascii="Book Antiqua" w:hAnsi="Book Antiqua"/>
        </w:rPr>
        <w:t xml:space="preserve">In my judgement the decision of the First-tier Tribunal Judges was one that was open to them on the evidence.  The findings and conclusions reached by the </w:t>
      </w:r>
      <w:proofErr w:type="spellStart"/>
      <w:r w:rsidRPr="00210C64">
        <w:rPr>
          <w:rFonts w:ascii="Book Antiqua" w:hAnsi="Book Antiqua"/>
        </w:rPr>
        <w:t>FtT</w:t>
      </w:r>
      <w:proofErr w:type="spellEnd"/>
      <w:r w:rsidRPr="00210C64">
        <w:rPr>
          <w:rFonts w:ascii="Book Antiqua" w:hAnsi="Book Antiqua"/>
        </w:rPr>
        <w:t xml:space="preserve"> were neither irrational nor unreasonable in the </w:t>
      </w:r>
      <w:r w:rsidRPr="00210C64">
        <w:rPr>
          <w:rFonts w:ascii="Book Antiqua" w:hAnsi="Book Antiqua"/>
          <w:i/>
          <w:iCs/>
        </w:rPr>
        <w:t xml:space="preserve">Wednesbury </w:t>
      </w:r>
      <w:r w:rsidRPr="00210C64">
        <w:rPr>
          <w:rFonts w:ascii="Book Antiqua" w:hAnsi="Book Antiqua"/>
        </w:rPr>
        <w:t>sense</w:t>
      </w:r>
      <w:r>
        <w:rPr>
          <w:rFonts w:ascii="Book Antiqua" w:hAnsi="Book Antiqua"/>
        </w:rPr>
        <w:t xml:space="preserve"> and i</w:t>
      </w:r>
      <w:r w:rsidRPr="00210C64">
        <w:rPr>
          <w:rFonts w:ascii="Book Antiqua" w:hAnsi="Book Antiqua"/>
        </w:rPr>
        <w:t>t follows that in my judgement there is no error of law and the appeal is dismissed.</w:t>
      </w:r>
    </w:p>
    <w:p w:rsidR="005F6F9B" w:rsidRPr="00FE595A" w:rsidRDefault="005F6F9B" w:rsidP="005F6F9B">
      <w:pPr>
        <w:tabs>
          <w:tab w:val="left" w:pos="5387"/>
        </w:tabs>
        <w:spacing w:before="360" w:after="360" w:line="360" w:lineRule="auto"/>
        <w:jc w:val="both"/>
        <w:rPr>
          <w:rFonts w:ascii="Book Antiqua" w:hAnsi="Book Antiqua"/>
        </w:rPr>
      </w:pPr>
      <w:r w:rsidRPr="00FE595A">
        <w:rPr>
          <w:rFonts w:ascii="Book Antiqua" w:hAnsi="Book Antiqua"/>
          <w:b/>
          <w:bCs/>
        </w:rPr>
        <w:t>NOTICE OF DECISION</w:t>
      </w:r>
    </w:p>
    <w:p w:rsidR="005F6F9B" w:rsidRPr="00FE595A" w:rsidRDefault="00D326C7" w:rsidP="005F6F9B">
      <w:pPr>
        <w:numPr>
          <w:ilvl w:val="0"/>
          <w:numId w:val="1"/>
        </w:numPr>
        <w:tabs>
          <w:tab w:val="clear" w:pos="924"/>
          <w:tab w:val="num" w:pos="567"/>
          <w:tab w:val="left" w:pos="5387"/>
        </w:tabs>
        <w:spacing w:before="360" w:after="360" w:line="360" w:lineRule="auto"/>
        <w:ind w:left="567" w:hanging="567"/>
        <w:jc w:val="both"/>
        <w:rPr>
          <w:rFonts w:ascii="Book Antiqua" w:hAnsi="Book Antiqua"/>
        </w:rPr>
      </w:pPr>
      <w:r>
        <w:rPr>
          <w:noProof/>
        </w:rPr>
        <w:drawing>
          <wp:anchor distT="0" distB="0" distL="114300" distR="114300" simplePos="0" relativeHeight="251659264" behindDoc="1" locked="0" layoutInCell="1" allowOverlap="1" wp14:anchorId="247C3113" wp14:editId="4B737780">
            <wp:simplePos x="0" y="0"/>
            <wp:positionH relativeFrom="column">
              <wp:posOffset>4343400</wp:posOffset>
            </wp:positionH>
            <wp:positionV relativeFrom="paragraph">
              <wp:posOffset>369570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F6F9B" w:rsidRPr="00FE595A">
        <w:rPr>
          <w:rFonts w:ascii="Book Antiqua" w:hAnsi="Book Antiqua"/>
        </w:rPr>
        <w:t>The appeal is dismissed</w:t>
      </w:r>
    </w:p>
    <w:p w:rsidR="005F6F9B" w:rsidRPr="00FE595A" w:rsidRDefault="005F6F9B" w:rsidP="005F6F9B">
      <w:pPr>
        <w:ind w:left="567"/>
        <w:jc w:val="both"/>
        <w:rPr>
          <w:rFonts w:ascii="Book Antiqua" w:hAnsi="Book Antiqua" w:cs="Arial"/>
        </w:rPr>
      </w:pPr>
    </w:p>
    <w:p w:rsidR="005F6F9B" w:rsidRPr="00FE595A" w:rsidRDefault="005F6F9B" w:rsidP="005F6F9B">
      <w:pPr>
        <w:ind w:left="1134"/>
        <w:jc w:val="both"/>
        <w:rPr>
          <w:rFonts w:ascii="Lucida Handwriting" w:hAnsi="Lucida Handwriting" w:cs="Arial"/>
          <w:b/>
          <w:bCs/>
          <w:sz w:val="28"/>
          <w:szCs w:val="28"/>
        </w:rPr>
      </w:pPr>
      <w:r>
        <w:rPr>
          <w:rFonts w:ascii="Lucida Handwriting" w:hAnsi="Lucida Handwriting" w:cs="Arial"/>
          <w:b/>
          <w:bCs/>
          <w:sz w:val="28"/>
          <w:szCs w:val="28"/>
        </w:rPr>
        <w:t>V. Mandalia</w:t>
      </w:r>
    </w:p>
    <w:p w:rsidR="005F6F9B" w:rsidRPr="00AE6DDE" w:rsidRDefault="005F6F9B" w:rsidP="005F6F9B">
      <w:pPr>
        <w:ind w:left="567"/>
        <w:jc w:val="both"/>
        <w:rPr>
          <w:rFonts w:ascii="Book Antiqua" w:hAnsi="Book Antiqua" w:cs="Arial"/>
        </w:rPr>
      </w:pPr>
    </w:p>
    <w:p w:rsidR="005F6F9B" w:rsidRDefault="005F6F9B" w:rsidP="005F6F9B">
      <w:pPr>
        <w:ind w:left="567" w:firstLine="567"/>
        <w:jc w:val="both"/>
        <w:rPr>
          <w:rFonts w:ascii="Book Antiqua" w:hAnsi="Book Antiqua" w:cs="Arial"/>
          <w:color w:val="000000"/>
        </w:rPr>
      </w:pPr>
      <w:r>
        <w:rPr>
          <w:rFonts w:ascii="Book Antiqua" w:hAnsi="Book Antiqua" w:cs="Arial"/>
          <w:color w:val="000000"/>
        </w:rPr>
        <w:t xml:space="preserve">Upper Tribunal Judge Mandalia </w:t>
      </w:r>
    </w:p>
    <w:p w:rsidR="005F6F9B" w:rsidRDefault="005F6F9B" w:rsidP="005F6F9B">
      <w:pPr>
        <w:ind w:left="567" w:firstLine="567"/>
        <w:jc w:val="both"/>
        <w:rPr>
          <w:rFonts w:ascii="Book Antiqua" w:hAnsi="Book Antiqua" w:cs="Arial"/>
          <w:color w:val="000000"/>
        </w:rPr>
      </w:pPr>
    </w:p>
    <w:p w:rsidR="005F6F9B" w:rsidRDefault="005F6F9B" w:rsidP="005F6F9B">
      <w:pPr>
        <w:ind w:left="567" w:firstLine="567"/>
        <w:jc w:val="both"/>
        <w:rPr>
          <w:rFonts w:ascii="Book Antiqua" w:hAnsi="Book Antiqua" w:cs="Arial"/>
          <w:color w:val="000000"/>
        </w:rPr>
      </w:pPr>
      <w:r>
        <w:rPr>
          <w:rFonts w:ascii="Book Antiqua" w:hAnsi="Book Antiqua" w:cs="Arial"/>
          <w:color w:val="000000"/>
        </w:rPr>
        <w:t>17</w:t>
      </w:r>
      <w:r w:rsidRPr="00FE595A">
        <w:rPr>
          <w:rFonts w:ascii="Book Antiqua" w:hAnsi="Book Antiqua" w:cs="Arial"/>
          <w:color w:val="000000"/>
          <w:vertAlign w:val="superscript"/>
        </w:rPr>
        <w:t>th</w:t>
      </w:r>
      <w:r>
        <w:rPr>
          <w:rFonts w:ascii="Book Antiqua" w:hAnsi="Book Antiqua" w:cs="Arial"/>
          <w:color w:val="000000"/>
        </w:rPr>
        <w:t xml:space="preserve"> July 2020</w:t>
      </w:r>
    </w:p>
    <w:p w:rsidR="005F6F9B" w:rsidRDefault="005F6F9B" w:rsidP="005F6F9B">
      <w:pPr>
        <w:ind w:left="567"/>
        <w:jc w:val="both"/>
        <w:rPr>
          <w:rFonts w:ascii="Book Antiqua" w:hAnsi="Book Antiqua" w:cs="Arial"/>
          <w:color w:val="000000"/>
        </w:rPr>
      </w:pPr>
    </w:p>
    <w:p w:rsidR="005F6F9B" w:rsidRPr="00AE6DDE" w:rsidRDefault="005F6F9B" w:rsidP="005F6F9B">
      <w:pPr>
        <w:ind w:left="567"/>
        <w:rPr>
          <w:rFonts w:ascii="Book Antiqua" w:hAnsi="Book Antiqua" w:cs="Arial"/>
        </w:rPr>
      </w:pPr>
    </w:p>
    <w:p w:rsidR="005F6F9B" w:rsidRDefault="005F6F9B" w:rsidP="005F6F9B">
      <w:pPr>
        <w:spacing w:before="360" w:after="360" w:line="360" w:lineRule="auto"/>
        <w:ind w:left="567"/>
        <w:jc w:val="both"/>
        <w:rPr>
          <w:rFonts w:ascii="Book Antiqua" w:hAnsi="Book Antiqua" w:cs="Arial"/>
          <w:color w:val="000000"/>
        </w:rPr>
      </w:pPr>
      <w:r>
        <w:rPr>
          <w:rFonts w:ascii="Book Antiqua" w:hAnsi="Book Antiqua" w:cs="Arial"/>
          <w:color w:val="000000"/>
        </w:rPr>
        <w:t xml:space="preserve"> </w:t>
      </w:r>
    </w:p>
    <w:p w:rsidR="00674D75" w:rsidRDefault="00674D75"/>
    <w:sectPr w:rsidR="00674D75" w:rsidSect="00415080">
      <w:headerReference w:type="default" r:id="rId9"/>
      <w:footerReference w:type="default" r:id="rId10"/>
      <w:footerReference w:type="first" r:id="rId11"/>
      <w:pgSz w:w="11906" w:h="16838"/>
      <w:pgMar w:top="1440"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640A2">
      <w:r>
        <w:separator/>
      </w:r>
    </w:p>
  </w:endnote>
  <w:endnote w:type="continuationSeparator" w:id="0">
    <w:p w:rsidR="00000000" w:rsidRDefault="0096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639" w:rsidRPr="00F47FB8" w:rsidRDefault="009640A2" w:rsidP="00F47FB8">
    <w:pPr>
      <w:pStyle w:val="Footer"/>
      <w:jc w:val="center"/>
      <w:rPr>
        <w:rFonts w:ascii="Book Antiqua" w:hAnsi="Book Antiqua"/>
      </w:rPr>
    </w:pPr>
    <w:r w:rsidRPr="00F47FB8">
      <w:rPr>
        <w:rFonts w:ascii="Book Antiqua" w:hAnsi="Book Antiqua"/>
      </w:rPr>
      <w:fldChar w:fldCharType="begin"/>
    </w:r>
    <w:r w:rsidRPr="00F47FB8">
      <w:rPr>
        <w:rFonts w:ascii="Book Antiqua" w:hAnsi="Book Antiqua"/>
      </w:rPr>
      <w:instrText xml:space="preserve"> PAGE   \* MERGEFORMAT </w:instrText>
    </w:r>
    <w:r w:rsidRPr="00F47FB8">
      <w:rPr>
        <w:rFonts w:ascii="Book Antiqua" w:hAnsi="Book Antiqua"/>
      </w:rPr>
      <w:fldChar w:fldCharType="separate"/>
    </w:r>
    <w:r w:rsidRPr="00F47FB8">
      <w:rPr>
        <w:rFonts w:ascii="Book Antiqua" w:hAnsi="Book Antiqua"/>
        <w:noProof/>
      </w:rPr>
      <w:t>11</w:t>
    </w:r>
    <w:r w:rsidRPr="00F47FB8">
      <w:rPr>
        <w:rFonts w:ascii="Book Antiqua" w:hAnsi="Book Antiqua"/>
        <w:noProof/>
      </w:rPr>
      <w:fldChar w:fldCharType="end"/>
    </w:r>
  </w:p>
  <w:p w:rsidR="006B7639" w:rsidRDefault="00964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AE2" w:rsidRDefault="009640A2" w:rsidP="00110F15">
    <w:pPr>
      <w:pStyle w:val="Footer"/>
      <w:jc w:val="center"/>
    </w:pPr>
    <w:r w:rsidRPr="00AE6DDE">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640A2">
      <w:r>
        <w:separator/>
      </w:r>
    </w:p>
  </w:footnote>
  <w:footnote w:type="continuationSeparator" w:id="0">
    <w:p w:rsidR="00000000" w:rsidRDefault="00964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FEA" w:rsidRPr="00F47FB8" w:rsidRDefault="00F47FB8" w:rsidP="00A41FEA">
    <w:pPr>
      <w:pStyle w:val="Header"/>
      <w:jc w:val="right"/>
      <w:rPr>
        <w:rFonts w:ascii="Book Antiqua" w:hAnsi="Book Antiqua"/>
        <w:sz w:val="16"/>
        <w:szCs w:val="16"/>
      </w:rPr>
    </w:pPr>
    <w:r w:rsidRPr="00F47FB8">
      <w:rPr>
        <w:rFonts w:ascii="Book Antiqua" w:hAnsi="Book Antiqua"/>
        <w:sz w:val="16"/>
        <w:szCs w:val="16"/>
      </w:rPr>
      <w:t xml:space="preserve">Appeal Number: </w:t>
    </w:r>
    <w:r w:rsidR="009640A2" w:rsidRPr="00F47FB8">
      <w:rPr>
        <w:rFonts w:ascii="Book Antiqua" w:hAnsi="Book Antiqua"/>
        <w:sz w:val="16"/>
        <w:szCs w:val="16"/>
      </w:rPr>
      <w:t>HU/18257/2018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561AB85C"/>
    <w:lvl w:ilvl="0" w:tplc="7B0049EC">
      <w:start w:val="1"/>
      <w:numFmt w:val="decimal"/>
      <w:lvlText w:val="%1."/>
      <w:lvlJc w:val="left"/>
      <w:pPr>
        <w:tabs>
          <w:tab w:val="num" w:pos="924"/>
        </w:tabs>
        <w:ind w:left="924" w:hanging="851"/>
      </w:pPr>
      <w:rPr>
        <w:rFonts w:hint="default"/>
      </w:rPr>
    </w:lvl>
    <w:lvl w:ilvl="1" w:tplc="08090019">
      <w:start w:val="1"/>
      <w:numFmt w:val="lowerLetter"/>
      <w:lvlText w:val="%2."/>
      <w:lvlJc w:val="left"/>
      <w:pPr>
        <w:tabs>
          <w:tab w:val="num" w:pos="1720"/>
        </w:tabs>
        <w:ind w:left="1720" w:hanging="360"/>
      </w:pPr>
    </w:lvl>
    <w:lvl w:ilvl="2" w:tplc="0809001B">
      <w:start w:val="1"/>
      <w:numFmt w:val="lowerRoman"/>
      <w:lvlText w:val="%3."/>
      <w:lvlJc w:val="right"/>
      <w:pPr>
        <w:tabs>
          <w:tab w:val="num" w:pos="2440"/>
        </w:tabs>
        <w:ind w:left="2440" w:hanging="180"/>
      </w:pPr>
    </w:lvl>
    <w:lvl w:ilvl="3" w:tplc="0809000F" w:tentative="1">
      <w:start w:val="1"/>
      <w:numFmt w:val="decimal"/>
      <w:lvlText w:val="%4."/>
      <w:lvlJc w:val="left"/>
      <w:pPr>
        <w:tabs>
          <w:tab w:val="num" w:pos="3160"/>
        </w:tabs>
        <w:ind w:left="3160" w:hanging="360"/>
      </w:pPr>
    </w:lvl>
    <w:lvl w:ilvl="4" w:tplc="08090019" w:tentative="1">
      <w:start w:val="1"/>
      <w:numFmt w:val="lowerLetter"/>
      <w:lvlText w:val="%5."/>
      <w:lvlJc w:val="left"/>
      <w:pPr>
        <w:tabs>
          <w:tab w:val="num" w:pos="3880"/>
        </w:tabs>
        <w:ind w:left="3880" w:hanging="360"/>
      </w:pPr>
    </w:lvl>
    <w:lvl w:ilvl="5" w:tplc="0809001B" w:tentative="1">
      <w:start w:val="1"/>
      <w:numFmt w:val="lowerRoman"/>
      <w:lvlText w:val="%6."/>
      <w:lvlJc w:val="right"/>
      <w:pPr>
        <w:tabs>
          <w:tab w:val="num" w:pos="4600"/>
        </w:tabs>
        <w:ind w:left="4600" w:hanging="180"/>
      </w:pPr>
    </w:lvl>
    <w:lvl w:ilvl="6" w:tplc="0809000F" w:tentative="1">
      <w:start w:val="1"/>
      <w:numFmt w:val="decimal"/>
      <w:lvlText w:val="%7."/>
      <w:lvlJc w:val="left"/>
      <w:pPr>
        <w:tabs>
          <w:tab w:val="num" w:pos="5320"/>
        </w:tabs>
        <w:ind w:left="5320" w:hanging="360"/>
      </w:pPr>
    </w:lvl>
    <w:lvl w:ilvl="7" w:tplc="08090019" w:tentative="1">
      <w:start w:val="1"/>
      <w:numFmt w:val="lowerLetter"/>
      <w:lvlText w:val="%8."/>
      <w:lvlJc w:val="left"/>
      <w:pPr>
        <w:tabs>
          <w:tab w:val="num" w:pos="6040"/>
        </w:tabs>
        <w:ind w:left="6040" w:hanging="360"/>
      </w:pPr>
    </w:lvl>
    <w:lvl w:ilvl="8" w:tplc="0809001B" w:tentative="1">
      <w:start w:val="1"/>
      <w:numFmt w:val="lowerRoman"/>
      <w:lvlText w:val="%9."/>
      <w:lvlJc w:val="right"/>
      <w:pPr>
        <w:tabs>
          <w:tab w:val="num" w:pos="6760"/>
        </w:tabs>
        <w:ind w:left="6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B"/>
    <w:rsid w:val="00196AE1"/>
    <w:rsid w:val="005F6F9B"/>
    <w:rsid w:val="00606E31"/>
    <w:rsid w:val="00674D75"/>
    <w:rsid w:val="009640A2"/>
    <w:rsid w:val="00A14F65"/>
    <w:rsid w:val="00D326C7"/>
    <w:rsid w:val="00F47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5DC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F9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6F9B"/>
    <w:pPr>
      <w:tabs>
        <w:tab w:val="center" w:pos="4153"/>
        <w:tab w:val="right" w:pos="8306"/>
      </w:tabs>
    </w:pPr>
  </w:style>
  <w:style w:type="character" w:customStyle="1" w:styleId="HeaderChar">
    <w:name w:val="Header Char"/>
    <w:basedOn w:val="DefaultParagraphFont"/>
    <w:link w:val="Header"/>
    <w:rsid w:val="005F6F9B"/>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5F6F9B"/>
    <w:pPr>
      <w:tabs>
        <w:tab w:val="center" w:pos="4153"/>
        <w:tab w:val="right" w:pos="8306"/>
      </w:tabs>
    </w:pPr>
  </w:style>
  <w:style w:type="character" w:customStyle="1" w:styleId="FooterChar">
    <w:name w:val="Footer Char"/>
    <w:basedOn w:val="DefaultParagraphFont"/>
    <w:link w:val="Footer"/>
    <w:uiPriority w:val="99"/>
    <w:rsid w:val="005F6F9B"/>
    <w:rPr>
      <w:rFonts w:ascii="Times New Roman" w:eastAsia="Times New Roman" w:hAnsi="Times New Roman" w:cs="Times New Roman"/>
      <w:sz w:val="24"/>
      <w:szCs w:val="24"/>
      <w:lang w:eastAsia="en-GB"/>
    </w:rPr>
  </w:style>
  <w:style w:type="paragraph" w:customStyle="1" w:styleId="p">
    <w:name w:val="p"/>
    <w:basedOn w:val="Normal"/>
    <w:link w:val="pChar"/>
    <w:rsid w:val="005F6F9B"/>
    <w:pPr>
      <w:ind w:left="567" w:hanging="567"/>
      <w:jc w:val="both"/>
    </w:pPr>
    <w:rPr>
      <w:rFonts w:ascii="Book Antiqua" w:hAnsi="Book Antiqua" w:cs="Arial"/>
      <w:lang w:eastAsia="en-US"/>
    </w:rPr>
  </w:style>
  <w:style w:type="character" w:customStyle="1" w:styleId="pChar">
    <w:name w:val="p Char"/>
    <w:link w:val="p"/>
    <w:rsid w:val="005F6F9B"/>
    <w:rPr>
      <w:rFonts w:ascii="Book Antiqua" w:eastAsia="Times New Roman" w:hAnsi="Book Antiqua" w:cs="Arial"/>
      <w:sz w:val="24"/>
      <w:szCs w:val="24"/>
    </w:rPr>
  </w:style>
  <w:style w:type="paragraph" w:styleId="BalloonText">
    <w:name w:val="Balloon Text"/>
    <w:basedOn w:val="Normal"/>
    <w:link w:val="BalloonTextChar"/>
    <w:uiPriority w:val="99"/>
    <w:semiHidden/>
    <w:unhideWhenUsed/>
    <w:rsid w:val="005F6F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9B"/>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3396</Words>
  <Characters>19359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2020-09-14T12:35:00Z</dcterms:created>
  <dcterms:modified xsi:type="dcterms:W3CDTF">2020-09-14T12:35:00Z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