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B91DC" w14:textId="77777777" w:rsidR="0020384A" w:rsidRPr="00F97703" w:rsidRDefault="0020384A" w:rsidP="0020384A">
      <w:pPr>
        <w:rPr>
          <w:rFonts w:ascii="Book Antiqua" w:hAnsi="Book Antiqua" w:cs="Arial"/>
          <w:color w:val="000000"/>
          <w:sz w:val="16"/>
          <w:szCs w:val="16"/>
        </w:rPr>
      </w:pPr>
    </w:p>
    <w:p w14:paraId="403784D5" w14:textId="77777777" w:rsidR="0020384A" w:rsidRPr="00B67284" w:rsidRDefault="004B456A" w:rsidP="0020384A">
      <w:pPr>
        <w:jc w:val="center"/>
        <w:rPr>
          <w:rFonts w:ascii="Book Antiqua" w:hAnsi="Book Antiqua" w:cs="Arial"/>
          <w:color w:val="000000"/>
        </w:rPr>
      </w:pPr>
      <w:r>
        <w:rPr>
          <w:rFonts w:ascii="Book Antiqua" w:hAnsi="Book Antiqua"/>
          <w:noProof/>
        </w:rPr>
        <w:drawing>
          <wp:inline distT="0" distB="0" distL="0" distR="0" wp14:anchorId="286F2042" wp14:editId="199A5BAD">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14:paraId="2CEFA60A" w14:textId="77777777" w:rsidR="0020384A" w:rsidRPr="00B67284" w:rsidRDefault="0020384A" w:rsidP="0020384A">
      <w:pPr>
        <w:tabs>
          <w:tab w:val="right" w:pos="9720"/>
        </w:tabs>
        <w:ind w:right="-82"/>
        <w:outlineLvl w:val="0"/>
        <w:rPr>
          <w:rFonts w:ascii="Book Antiqua" w:hAnsi="Book Antiqua" w:cs="Arial"/>
          <w:b/>
          <w:color w:val="000000"/>
        </w:rPr>
      </w:pPr>
      <w:r>
        <w:rPr>
          <w:rFonts w:ascii="Book Antiqua" w:hAnsi="Book Antiqua" w:cs="Arial"/>
          <w:b/>
          <w:color w:val="000000"/>
        </w:rPr>
        <w:t xml:space="preserve">Upper </w:t>
      </w:r>
      <w:r w:rsidRPr="00B67284">
        <w:rPr>
          <w:rFonts w:ascii="Book Antiqua" w:hAnsi="Book Antiqua" w:cs="Arial"/>
          <w:b/>
          <w:color w:val="000000"/>
        </w:rPr>
        <w:t xml:space="preserve">Tribunal </w:t>
      </w:r>
    </w:p>
    <w:p w14:paraId="00C18C21" w14:textId="7B76F4C0" w:rsidR="0020384A" w:rsidRPr="00084E08" w:rsidRDefault="0020384A" w:rsidP="0020384A">
      <w:pPr>
        <w:tabs>
          <w:tab w:val="right" w:pos="9720"/>
        </w:tabs>
        <w:ind w:right="-82"/>
        <w:rPr>
          <w:rFonts w:ascii="Book Antiqua" w:hAnsi="Book Antiqua" w:cs="Arial"/>
          <w:b/>
          <w:color w:val="000000"/>
        </w:rPr>
      </w:pPr>
      <w:r w:rsidRPr="00B67284">
        <w:rPr>
          <w:rFonts w:ascii="Book Antiqua" w:hAnsi="Book Antiqua" w:cs="Arial"/>
          <w:b/>
          <w:color w:val="000000"/>
        </w:rPr>
        <w:t xml:space="preserve">(Immigration and Asylum </w:t>
      </w:r>
      <w:proofErr w:type="gramStart"/>
      <w:r w:rsidRPr="00B67284">
        <w:rPr>
          <w:rFonts w:ascii="Book Antiqua" w:hAnsi="Book Antiqua" w:cs="Arial"/>
          <w:b/>
          <w:color w:val="000000"/>
        </w:rPr>
        <w:t>Chamber)</w:t>
      </w:r>
      <w:r w:rsidR="007A1200">
        <w:rPr>
          <w:rFonts w:ascii="Book Antiqua" w:hAnsi="Book Antiqua" w:cs="Arial"/>
          <w:b/>
          <w:color w:val="000000"/>
        </w:rPr>
        <w:t xml:space="preserve">   </w:t>
      </w:r>
      <w:proofErr w:type="gramEnd"/>
      <w:r w:rsidR="007A1200">
        <w:rPr>
          <w:rFonts w:ascii="Book Antiqua" w:hAnsi="Book Antiqua" w:cs="Arial"/>
          <w:b/>
          <w:color w:val="000000"/>
        </w:rPr>
        <w:t xml:space="preserve">                     </w:t>
      </w:r>
      <w:r w:rsidRPr="00031C92">
        <w:rPr>
          <w:rFonts w:ascii="Book Antiqua" w:hAnsi="Book Antiqua" w:cs="Arial"/>
          <w:b/>
          <w:color w:val="000000"/>
        </w:rPr>
        <w:t xml:space="preserve">Appeal Number: </w:t>
      </w:r>
      <w:r w:rsidR="00207D8D">
        <w:rPr>
          <w:rFonts w:ascii="Book Antiqua" w:hAnsi="Book Antiqua" w:cs="Arial"/>
          <w:b/>
          <w:caps/>
          <w:color w:val="000000"/>
        </w:rPr>
        <w:t>HU</w:t>
      </w:r>
      <w:r w:rsidR="00147148">
        <w:rPr>
          <w:rFonts w:ascii="Book Antiqua" w:hAnsi="Book Antiqua" w:cs="Arial"/>
          <w:b/>
          <w:caps/>
          <w:color w:val="000000"/>
        </w:rPr>
        <w:t>/</w:t>
      </w:r>
      <w:r w:rsidR="00207D8D">
        <w:rPr>
          <w:rFonts w:ascii="Book Antiqua" w:hAnsi="Book Antiqua" w:cs="Arial"/>
          <w:b/>
          <w:caps/>
          <w:color w:val="000000"/>
        </w:rPr>
        <w:t>18277</w:t>
      </w:r>
      <w:r w:rsidR="00953D03">
        <w:rPr>
          <w:rFonts w:ascii="Book Antiqua" w:hAnsi="Book Antiqua" w:cs="Arial"/>
          <w:b/>
          <w:caps/>
          <w:color w:val="000000"/>
        </w:rPr>
        <w:t>/201</w:t>
      </w:r>
      <w:r w:rsidR="008F45C5">
        <w:rPr>
          <w:rFonts w:ascii="Book Antiqua" w:hAnsi="Book Antiqua" w:cs="Arial"/>
          <w:b/>
          <w:caps/>
          <w:color w:val="000000"/>
        </w:rPr>
        <w:t>9</w:t>
      </w:r>
    </w:p>
    <w:p w14:paraId="1C296DD6" w14:textId="77777777" w:rsidR="0020384A" w:rsidRPr="00B67284" w:rsidRDefault="0020384A" w:rsidP="007863DA">
      <w:pPr>
        <w:tabs>
          <w:tab w:val="right" w:pos="9720"/>
        </w:tabs>
        <w:ind w:right="-82"/>
        <w:rPr>
          <w:rFonts w:ascii="Book Antiqua" w:hAnsi="Book Antiqua" w:cs="Arial"/>
          <w:color w:val="000000"/>
        </w:rPr>
      </w:pPr>
      <w:r>
        <w:rPr>
          <w:rFonts w:ascii="Book Antiqua" w:hAnsi="Book Antiqua" w:cs="Arial"/>
          <w:caps/>
          <w:color w:val="000000"/>
        </w:rPr>
        <w:tab/>
      </w:r>
    </w:p>
    <w:p w14:paraId="7C6765C9" w14:textId="2798B30C" w:rsidR="0020384A" w:rsidRDefault="0020384A" w:rsidP="0020384A">
      <w:pPr>
        <w:jc w:val="center"/>
        <w:outlineLvl w:val="0"/>
        <w:rPr>
          <w:rFonts w:ascii="Book Antiqua" w:hAnsi="Book Antiqua" w:cs="Arial"/>
          <w:b/>
          <w:color w:val="000000"/>
          <w:u w:val="single"/>
        </w:rPr>
      </w:pPr>
      <w:r w:rsidRPr="00B67284">
        <w:rPr>
          <w:rFonts w:ascii="Book Antiqua" w:hAnsi="Book Antiqua" w:cs="Arial"/>
          <w:b/>
          <w:color w:val="000000"/>
          <w:u w:val="single"/>
        </w:rPr>
        <w:t>THE IMMIGRATION ACTS</w:t>
      </w:r>
    </w:p>
    <w:p w14:paraId="25B8BA75" w14:textId="77777777" w:rsidR="0020384A" w:rsidRPr="00B67284" w:rsidRDefault="0020384A" w:rsidP="007863DA">
      <w:pPr>
        <w:rPr>
          <w:rFonts w:ascii="Book Antiqua" w:hAnsi="Book Antiqua" w:cs="Arial"/>
          <w:b/>
          <w:u w:val="single"/>
        </w:rPr>
      </w:pPr>
    </w:p>
    <w:tbl>
      <w:tblPr>
        <w:tblW w:w="10260" w:type="dxa"/>
        <w:tblLook w:val="01E0" w:firstRow="1" w:lastRow="1" w:firstColumn="1" w:lastColumn="1" w:noHBand="0" w:noVBand="0"/>
      </w:tblPr>
      <w:tblGrid>
        <w:gridCol w:w="5245"/>
        <w:gridCol w:w="5015"/>
      </w:tblGrid>
      <w:tr w:rsidR="0020384A" w:rsidRPr="00431C7D" w14:paraId="67C170A5" w14:textId="77777777" w:rsidTr="007A1200">
        <w:trPr>
          <w:trHeight w:val="673"/>
        </w:trPr>
        <w:tc>
          <w:tcPr>
            <w:tcW w:w="5245" w:type="dxa"/>
          </w:tcPr>
          <w:p w14:paraId="3ED9020F" w14:textId="77777777" w:rsidR="007A1200" w:rsidRDefault="0020384A" w:rsidP="00A9231C">
            <w:pPr>
              <w:jc w:val="both"/>
              <w:rPr>
                <w:rFonts w:ascii="Book Antiqua" w:hAnsi="Book Antiqua" w:cs="Arial"/>
                <w:b/>
              </w:rPr>
            </w:pPr>
            <w:r w:rsidRPr="00431C7D">
              <w:rPr>
                <w:rFonts w:ascii="Book Antiqua" w:hAnsi="Book Antiqua" w:cs="Arial"/>
                <w:b/>
              </w:rPr>
              <w:t xml:space="preserve">Heard </w:t>
            </w:r>
            <w:r>
              <w:rPr>
                <w:rFonts w:ascii="Book Antiqua" w:hAnsi="Book Antiqua" w:cs="Arial"/>
                <w:b/>
              </w:rPr>
              <w:t xml:space="preserve">at </w:t>
            </w:r>
            <w:r w:rsidR="00BB6EC0">
              <w:rPr>
                <w:rFonts w:ascii="Book Antiqua" w:hAnsi="Book Antiqua" w:cs="Arial"/>
                <w:b/>
              </w:rPr>
              <w:t>Manchester CJC</w:t>
            </w:r>
            <w:r w:rsidR="00B101A9">
              <w:rPr>
                <w:rFonts w:ascii="Book Antiqua" w:hAnsi="Book Antiqua" w:cs="Arial"/>
                <w:b/>
              </w:rPr>
              <w:t xml:space="preserve"> </w:t>
            </w:r>
          </w:p>
          <w:p w14:paraId="3AD5E210" w14:textId="75C26CE8" w:rsidR="0020384A" w:rsidRPr="00431C7D" w:rsidRDefault="007A1200" w:rsidP="00A9231C">
            <w:pPr>
              <w:jc w:val="both"/>
              <w:rPr>
                <w:rFonts w:ascii="Book Antiqua" w:hAnsi="Book Antiqua" w:cs="Arial"/>
                <w:b/>
              </w:rPr>
            </w:pPr>
            <w:r>
              <w:rPr>
                <w:rFonts w:ascii="Book Antiqua" w:hAnsi="Book Antiqua" w:cs="Arial"/>
                <w:b/>
              </w:rPr>
              <w:t>O</w:t>
            </w:r>
            <w:r w:rsidR="00ED20F8">
              <w:rPr>
                <w:rFonts w:ascii="Book Antiqua" w:hAnsi="Book Antiqua" w:cs="Arial"/>
                <w:b/>
              </w:rPr>
              <w:t xml:space="preserve">n </w:t>
            </w:r>
            <w:r w:rsidR="00B544AC">
              <w:rPr>
                <w:rFonts w:ascii="Book Antiqua" w:hAnsi="Book Antiqua" w:cs="Arial"/>
                <w:b/>
              </w:rPr>
              <w:t>19 Nov</w:t>
            </w:r>
            <w:r w:rsidR="00CF5289">
              <w:rPr>
                <w:rFonts w:ascii="Book Antiqua" w:hAnsi="Book Antiqua" w:cs="Arial"/>
                <w:b/>
              </w:rPr>
              <w:t>ember</w:t>
            </w:r>
            <w:r w:rsidR="00BB6EC0">
              <w:rPr>
                <w:rFonts w:ascii="Book Antiqua" w:hAnsi="Book Antiqua" w:cs="Arial"/>
                <w:b/>
              </w:rPr>
              <w:t xml:space="preserve"> </w:t>
            </w:r>
            <w:r w:rsidR="00ED20F8">
              <w:rPr>
                <w:rFonts w:ascii="Book Antiqua" w:hAnsi="Book Antiqua" w:cs="Arial"/>
                <w:b/>
              </w:rPr>
              <w:t>20</w:t>
            </w:r>
            <w:r w:rsidR="003F66F2">
              <w:rPr>
                <w:rFonts w:ascii="Book Antiqua" w:hAnsi="Book Antiqua" w:cs="Arial"/>
                <w:b/>
              </w:rPr>
              <w:t>20</w:t>
            </w:r>
          </w:p>
        </w:tc>
        <w:tc>
          <w:tcPr>
            <w:tcW w:w="5015" w:type="dxa"/>
          </w:tcPr>
          <w:p w14:paraId="2E075265" w14:textId="70732F7F" w:rsidR="0020384A" w:rsidRDefault="006453F7" w:rsidP="0020384A">
            <w:pPr>
              <w:jc w:val="both"/>
              <w:rPr>
                <w:rFonts w:ascii="Book Antiqua" w:hAnsi="Book Antiqua" w:cs="Arial"/>
                <w:b/>
                <w:color w:val="000000"/>
              </w:rPr>
            </w:pPr>
            <w:r>
              <w:rPr>
                <w:rFonts w:ascii="Book Antiqua" w:hAnsi="Book Antiqua" w:cs="Arial"/>
                <w:b/>
                <w:color w:val="000000"/>
              </w:rPr>
              <w:t>Decision</w:t>
            </w:r>
            <w:r w:rsidR="00F5544B">
              <w:rPr>
                <w:rFonts w:ascii="Book Antiqua" w:hAnsi="Book Antiqua" w:cs="Arial"/>
                <w:b/>
                <w:color w:val="000000"/>
              </w:rPr>
              <w:t xml:space="preserve"> &amp; Reasons</w:t>
            </w:r>
            <w:r w:rsidR="0020384A" w:rsidRPr="00431C7D">
              <w:rPr>
                <w:rFonts w:ascii="Book Antiqua" w:hAnsi="Book Antiqua" w:cs="Arial"/>
                <w:b/>
                <w:color w:val="000000"/>
              </w:rPr>
              <w:t xml:space="preserve"> Promulgated</w:t>
            </w:r>
          </w:p>
          <w:p w14:paraId="3A4E4532" w14:textId="7BE76E52" w:rsidR="00830C5B" w:rsidRPr="00431C7D" w:rsidRDefault="007A1200" w:rsidP="0020384A">
            <w:pPr>
              <w:jc w:val="both"/>
              <w:rPr>
                <w:rFonts w:ascii="Book Antiqua" w:hAnsi="Book Antiqua" w:cs="Arial"/>
                <w:b/>
                <w:color w:val="000000"/>
              </w:rPr>
            </w:pPr>
            <w:r>
              <w:rPr>
                <w:rFonts w:ascii="Book Antiqua" w:hAnsi="Book Antiqua" w:cs="Arial"/>
                <w:b/>
              </w:rPr>
              <w:t>On 25 November 2020</w:t>
            </w:r>
          </w:p>
        </w:tc>
      </w:tr>
      <w:tr w:rsidR="0020384A" w:rsidRPr="00431C7D" w14:paraId="1541A589" w14:textId="77777777" w:rsidTr="007A1200">
        <w:trPr>
          <w:trHeight w:val="336"/>
        </w:trPr>
        <w:tc>
          <w:tcPr>
            <w:tcW w:w="5245" w:type="dxa"/>
          </w:tcPr>
          <w:p w14:paraId="03305629" w14:textId="7F0D1D6C" w:rsidR="00830C5B" w:rsidRPr="00431C7D" w:rsidRDefault="008F45C5" w:rsidP="0020384A">
            <w:pPr>
              <w:jc w:val="both"/>
              <w:rPr>
                <w:rFonts w:ascii="Book Antiqua" w:hAnsi="Book Antiqua" w:cs="Arial"/>
                <w:b/>
              </w:rPr>
            </w:pPr>
            <w:r>
              <w:rPr>
                <w:rFonts w:ascii="Book Antiqua" w:hAnsi="Book Antiqua" w:cs="Arial"/>
                <w:b/>
              </w:rPr>
              <w:t>At a remote hearing via Skype</w:t>
            </w:r>
          </w:p>
        </w:tc>
        <w:tc>
          <w:tcPr>
            <w:tcW w:w="5015" w:type="dxa"/>
          </w:tcPr>
          <w:p w14:paraId="706607AF" w14:textId="7C3E44EF" w:rsidR="0020384A" w:rsidRPr="00431C7D" w:rsidRDefault="0020384A" w:rsidP="0020384A">
            <w:pPr>
              <w:jc w:val="both"/>
              <w:rPr>
                <w:rFonts w:ascii="Book Antiqua" w:hAnsi="Book Antiqua" w:cs="Arial"/>
                <w:b/>
              </w:rPr>
            </w:pPr>
          </w:p>
        </w:tc>
      </w:tr>
    </w:tbl>
    <w:p w14:paraId="127844FA" w14:textId="77777777" w:rsidR="0020384A" w:rsidRPr="00B67284" w:rsidRDefault="0020384A" w:rsidP="0020384A">
      <w:pPr>
        <w:jc w:val="center"/>
        <w:rPr>
          <w:rFonts w:ascii="Book Antiqua" w:hAnsi="Book Antiqua" w:cs="Arial"/>
        </w:rPr>
      </w:pPr>
    </w:p>
    <w:p w14:paraId="7C227C01" w14:textId="77777777" w:rsidR="007A1200" w:rsidRDefault="007A1200" w:rsidP="0020384A">
      <w:pPr>
        <w:jc w:val="center"/>
        <w:outlineLvl w:val="0"/>
        <w:rPr>
          <w:rFonts w:ascii="Book Antiqua" w:hAnsi="Book Antiqua" w:cs="Arial"/>
          <w:b/>
        </w:rPr>
      </w:pPr>
    </w:p>
    <w:p w14:paraId="2AFAD3E2" w14:textId="1D98708C" w:rsidR="0020384A" w:rsidRPr="00B67284" w:rsidRDefault="0020384A" w:rsidP="0020384A">
      <w:pPr>
        <w:jc w:val="center"/>
        <w:outlineLvl w:val="0"/>
        <w:rPr>
          <w:rFonts w:ascii="Book Antiqua" w:hAnsi="Book Antiqua" w:cs="Arial"/>
          <w:b/>
        </w:rPr>
      </w:pPr>
      <w:r w:rsidRPr="00B67284">
        <w:rPr>
          <w:rFonts w:ascii="Book Antiqua" w:hAnsi="Book Antiqua" w:cs="Arial"/>
          <w:b/>
        </w:rPr>
        <w:t>Before</w:t>
      </w:r>
    </w:p>
    <w:p w14:paraId="739F4D41" w14:textId="77777777" w:rsidR="0020384A" w:rsidRPr="00B67284" w:rsidRDefault="0020384A" w:rsidP="0020384A">
      <w:pPr>
        <w:jc w:val="center"/>
        <w:rPr>
          <w:rFonts w:ascii="Book Antiqua" w:hAnsi="Book Antiqua" w:cs="Arial"/>
          <w:b/>
        </w:rPr>
      </w:pPr>
    </w:p>
    <w:p w14:paraId="4163B3BE" w14:textId="77777777" w:rsidR="0020384A" w:rsidRPr="00B67284" w:rsidRDefault="0020384A" w:rsidP="0020384A">
      <w:pPr>
        <w:jc w:val="center"/>
        <w:outlineLvl w:val="0"/>
        <w:rPr>
          <w:rFonts w:ascii="Book Antiqua" w:hAnsi="Book Antiqua" w:cs="Arial"/>
          <w:b/>
          <w:color w:val="000000"/>
        </w:rPr>
      </w:pPr>
      <w:r w:rsidRPr="00B67284">
        <w:rPr>
          <w:rFonts w:ascii="Book Antiqua" w:hAnsi="Book Antiqua" w:cs="Arial"/>
          <w:b/>
          <w:color w:val="000000"/>
        </w:rPr>
        <w:t xml:space="preserve"> </w:t>
      </w:r>
      <w:r>
        <w:rPr>
          <w:rFonts w:ascii="Book Antiqua" w:hAnsi="Book Antiqua" w:cs="Arial"/>
          <w:b/>
          <w:color w:val="000000"/>
        </w:rPr>
        <w:t xml:space="preserve">UPPER TRIBUNAL </w:t>
      </w:r>
      <w:r w:rsidRPr="00B67284">
        <w:rPr>
          <w:rFonts w:ascii="Book Antiqua" w:hAnsi="Book Antiqua" w:cs="Arial"/>
          <w:b/>
          <w:color w:val="000000"/>
        </w:rPr>
        <w:t xml:space="preserve">JUDGE </w:t>
      </w:r>
      <w:r>
        <w:rPr>
          <w:rFonts w:ascii="Book Antiqua" w:hAnsi="Book Antiqua" w:cs="Arial"/>
          <w:b/>
          <w:color w:val="000000"/>
        </w:rPr>
        <w:t>PLIMMER</w:t>
      </w:r>
    </w:p>
    <w:p w14:paraId="28F3670D" w14:textId="77777777" w:rsidR="0020384A" w:rsidRPr="00B67284" w:rsidRDefault="0020384A" w:rsidP="0020384A">
      <w:pPr>
        <w:jc w:val="center"/>
        <w:rPr>
          <w:rFonts w:ascii="Book Antiqua" w:hAnsi="Book Antiqua" w:cs="Arial"/>
          <w:b/>
        </w:rPr>
      </w:pPr>
    </w:p>
    <w:p w14:paraId="1CC52E33" w14:textId="77777777" w:rsidR="0020384A" w:rsidRDefault="0020384A" w:rsidP="0020384A">
      <w:pPr>
        <w:jc w:val="center"/>
        <w:outlineLvl w:val="0"/>
        <w:rPr>
          <w:rFonts w:ascii="Book Antiqua" w:hAnsi="Book Antiqua" w:cs="Arial"/>
          <w:b/>
        </w:rPr>
      </w:pPr>
      <w:r w:rsidRPr="00B67284">
        <w:rPr>
          <w:rFonts w:ascii="Book Antiqua" w:hAnsi="Book Antiqua" w:cs="Arial"/>
          <w:b/>
        </w:rPr>
        <w:t>Between</w:t>
      </w:r>
    </w:p>
    <w:p w14:paraId="538A1126" w14:textId="77777777" w:rsidR="0020384A" w:rsidRPr="00B67284" w:rsidRDefault="0020384A" w:rsidP="0020384A">
      <w:pPr>
        <w:jc w:val="center"/>
        <w:outlineLvl w:val="0"/>
        <w:rPr>
          <w:rFonts w:ascii="Book Antiqua" w:hAnsi="Book Antiqua" w:cs="Arial"/>
          <w:b/>
        </w:rPr>
      </w:pPr>
    </w:p>
    <w:p w14:paraId="01432663" w14:textId="5FA6D18B" w:rsidR="005042B3" w:rsidRPr="005042B3" w:rsidRDefault="00CF5289" w:rsidP="00CF5289">
      <w:pPr>
        <w:jc w:val="center"/>
        <w:rPr>
          <w:rFonts w:ascii="Book Antiqua" w:hAnsi="Book Antiqua" w:cs="Arial"/>
          <w:b/>
          <w:u w:val="single"/>
        </w:rPr>
      </w:pPr>
      <w:r>
        <w:rPr>
          <w:rFonts w:ascii="Book Antiqua" w:hAnsi="Book Antiqua" w:cs="Arial"/>
          <w:b/>
        </w:rPr>
        <w:t>MEHRUL ALAM</w:t>
      </w:r>
    </w:p>
    <w:p w14:paraId="68DCA811" w14:textId="47C779D9" w:rsidR="0020384A" w:rsidRPr="00B67284" w:rsidRDefault="0020384A" w:rsidP="0020384A">
      <w:pPr>
        <w:jc w:val="right"/>
        <w:outlineLvl w:val="0"/>
        <w:rPr>
          <w:rFonts w:ascii="Book Antiqua" w:hAnsi="Book Antiqua" w:cs="Arial"/>
          <w:u w:val="single"/>
        </w:rPr>
      </w:pPr>
      <w:r w:rsidRPr="00B67284">
        <w:rPr>
          <w:rFonts w:ascii="Book Antiqua" w:hAnsi="Book Antiqua" w:cs="Arial"/>
          <w:u w:val="single"/>
        </w:rPr>
        <w:t>Appellant</w:t>
      </w:r>
    </w:p>
    <w:p w14:paraId="74287235" w14:textId="77777777" w:rsidR="0020384A" w:rsidRDefault="00EE30D7" w:rsidP="0020384A">
      <w:pPr>
        <w:jc w:val="center"/>
        <w:rPr>
          <w:rFonts w:ascii="Book Antiqua" w:hAnsi="Book Antiqua" w:cs="Arial"/>
          <w:b/>
        </w:rPr>
      </w:pPr>
      <w:r>
        <w:rPr>
          <w:rFonts w:ascii="Book Antiqua" w:hAnsi="Book Antiqua" w:cs="Arial"/>
          <w:b/>
        </w:rPr>
        <w:t>a</w:t>
      </w:r>
      <w:r w:rsidR="0020384A" w:rsidRPr="00B67284">
        <w:rPr>
          <w:rFonts w:ascii="Book Antiqua" w:hAnsi="Book Antiqua" w:cs="Arial"/>
          <w:b/>
        </w:rPr>
        <w:t>nd</w:t>
      </w:r>
    </w:p>
    <w:p w14:paraId="4EB259E2" w14:textId="77777777" w:rsidR="00EE30D7" w:rsidRDefault="00EE30D7" w:rsidP="0020384A">
      <w:pPr>
        <w:jc w:val="center"/>
        <w:rPr>
          <w:rFonts w:ascii="Book Antiqua" w:hAnsi="Book Antiqua" w:cs="Arial"/>
          <w:b/>
        </w:rPr>
      </w:pPr>
    </w:p>
    <w:p w14:paraId="2B2F0C0B" w14:textId="77777777" w:rsidR="00CD6FD3" w:rsidRPr="00CD6FD3" w:rsidRDefault="00CD6FD3" w:rsidP="00CD6FD3">
      <w:pPr>
        <w:jc w:val="center"/>
        <w:rPr>
          <w:rFonts w:ascii="Book Antiqua" w:hAnsi="Book Antiqua" w:cs="Arial"/>
          <w:b/>
        </w:rPr>
      </w:pPr>
      <w:r>
        <w:rPr>
          <w:rFonts w:ascii="Book Antiqua" w:hAnsi="Book Antiqua" w:cs="Arial"/>
          <w:b/>
        </w:rPr>
        <w:t>SECRETARY OF STATE FOR THE HOME DEPARTMENT</w:t>
      </w:r>
    </w:p>
    <w:p w14:paraId="46EDCCC6" w14:textId="77777777" w:rsidR="0020384A" w:rsidRPr="0090684D" w:rsidRDefault="0020384A" w:rsidP="0020384A">
      <w:pPr>
        <w:jc w:val="right"/>
        <w:outlineLvl w:val="0"/>
        <w:rPr>
          <w:rFonts w:ascii="Book Antiqua" w:hAnsi="Book Antiqua" w:cs="Arial"/>
          <w:u w:val="single"/>
        </w:rPr>
      </w:pPr>
      <w:r w:rsidRPr="0090684D">
        <w:rPr>
          <w:rFonts w:ascii="Book Antiqua" w:hAnsi="Book Antiqua" w:cs="Arial"/>
          <w:u w:val="single"/>
        </w:rPr>
        <w:t>Respondent</w:t>
      </w:r>
    </w:p>
    <w:p w14:paraId="2BD5AC69" w14:textId="77777777" w:rsidR="0020384A" w:rsidRPr="0090684D" w:rsidRDefault="0020384A" w:rsidP="0020384A">
      <w:pPr>
        <w:rPr>
          <w:rFonts w:ascii="Book Antiqua" w:hAnsi="Book Antiqua" w:cs="Arial"/>
          <w:u w:val="single"/>
        </w:rPr>
      </w:pPr>
    </w:p>
    <w:p w14:paraId="3F4401E0" w14:textId="51FC27B3" w:rsidR="0020384A" w:rsidRDefault="0020384A" w:rsidP="0020384A">
      <w:pPr>
        <w:outlineLvl w:val="0"/>
        <w:rPr>
          <w:rFonts w:ascii="Book Antiqua" w:hAnsi="Book Antiqua" w:cs="Arial"/>
          <w:b/>
        </w:rPr>
      </w:pPr>
      <w:r w:rsidRPr="0090684D">
        <w:rPr>
          <w:rFonts w:ascii="Book Antiqua" w:hAnsi="Book Antiqua" w:cs="Arial"/>
          <w:b/>
          <w:u w:val="single"/>
        </w:rPr>
        <w:t>Representation</w:t>
      </w:r>
      <w:r w:rsidRPr="0090684D">
        <w:rPr>
          <w:rFonts w:ascii="Book Antiqua" w:hAnsi="Book Antiqua" w:cs="Arial"/>
          <w:b/>
        </w:rPr>
        <w:t>:</w:t>
      </w:r>
    </w:p>
    <w:p w14:paraId="518BE940" w14:textId="77777777" w:rsidR="007A1200" w:rsidRPr="0090684D" w:rsidRDefault="007A1200" w:rsidP="0020384A">
      <w:pPr>
        <w:outlineLvl w:val="0"/>
        <w:rPr>
          <w:rFonts w:ascii="Book Antiqua" w:hAnsi="Book Antiqua" w:cs="Arial"/>
        </w:rPr>
      </w:pPr>
    </w:p>
    <w:p w14:paraId="2F08BE06" w14:textId="5A5BC346" w:rsidR="00CD6FD3" w:rsidRPr="0090684D" w:rsidRDefault="007D3E08" w:rsidP="0020384A">
      <w:pPr>
        <w:tabs>
          <w:tab w:val="left" w:pos="2520"/>
        </w:tabs>
        <w:outlineLvl w:val="0"/>
        <w:rPr>
          <w:rFonts w:ascii="Book Antiqua" w:hAnsi="Book Antiqua" w:cs="Arial"/>
        </w:rPr>
      </w:pPr>
      <w:r w:rsidRPr="0090684D">
        <w:rPr>
          <w:rFonts w:ascii="Book Antiqua" w:hAnsi="Book Antiqua" w:cs="Arial"/>
        </w:rPr>
        <w:t>For the a</w:t>
      </w:r>
      <w:r w:rsidR="0020384A" w:rsidRPr="0090684D">
        <w:rPr>
          <w:rFonts w:ascii="Book Antiqua" w:hAnsi="Book Antiqua" w:cs="Arial"/>
        </w:rPr>
        <w:t>ppellant:</w:t>
      </w:r>
      <w:r w:rsidR="0020384A" w:rsidRPr="0090684D">
        <w:rPr>
          <w:rFonts w:ascii="Book Antiqua" w:hAnsi="Book Antiqua" w:cs="Arial"/>
        </w:rPr>
        <w:tab/>
      </w:r>
      <w:r w:rsidR="0033168C" w:rsidRPr="0090684D">
        <w:rPr>
          <w:rFonts w:ascii="Book Antiqua" w:hAnsi="Book Antiqua" w:cs="Arial"/>
        </w:rPr>
        <w:t>M</w:t>
      </w:r>
      <w:r w:rsidR="00B544AC">
        <w:rPr>
          <w:rFonts w:ascii="Book Antiqua" w:hAnsi="Book Antiqua" w:cs="Arial"/>
        </w:rPr>
        <w:t>r Youssefian</w:t>
      </w:r>
      <w:r w:rsidR="00ED20F8" w:rsidRPr="0090684D">
        <w:rPr>
          <w:rFonts w:ascii="Book Antiqua" w:hAnsi="Book Antiqua" w:cs="Arial"/>
        </w:rPr>
        <w:t>, Counsel</w:t>
      </w:r>
    </w:p>
    <w:p w14:paraId="7D6EC93D" w14:textId="5CBFE5E2" w:rsidR="0020384A" w:rsidRPr="0090684D" w:rsidRDefault="007D3E08" w:rsidP="00322FFB">
      <w:pPr>
        <w:tabs>
          <w:tab w:val="left" w:pos="2520"/>
        </w:tabs>
        <w:ind w:left="2520" w:hanging="2520"/>
        <w:rPr>
          <w:rFonts w:ascii="Book Antiqua" w:hAnsi="Book Antiqua" w:cs="Arial"/>
        </w:rPr>
      </w:pPr>
      <w:r w:rsidRPr="0090684D">
        <w:rPr>
          <w:rFonts w:ascii="Book Antiqua" w:hAnsi="Book Antiqua" w:cs="Arial"/>
        </w:rPr>
        <w:t>For the r</w:t>
      </w:r>
      <w:r w:rsidR="0020384A" w:rsidRPr="0090684D">
        <w:rPr>
          <w:rFonts w:ascii="Book Antiqua" w:hAnsi="Book Antiqua" w:cs="Arial"/>
        </w:rPr>
        <w:t>espondent:</w:t>
      </w:r>
      <w:r w:rsidR="0020384A" w:rsidRPr="0090684D">
        <w:rPr>
          <w:rFonts w:ascii="Book Antiqua" w:hAnsi="Book Antiqua" w:cs="Arial"/>
        </w:rPr>
        <w:tab/>
      </w:r>
      <w:r w:rsidR="0033168C" w:rsidRPr="0090684D">
        <w:rPr>
          <w:rFonts w:ascii="Book Antiqua" w:hAnsi="Book Antiqua" w:cs="Arial"/>
        </w:rPr>
        <w:t>M</w:t>
      </w:r>
      <w:r w:rsidR="008F45C5" w:rsidRPr="0090684D">
        <w:rPr>
          <w:rFonts w:ascii="Book Antiqua" w:hAnsi="Book Antiqua" w:cs="Arial"/>
        </w:rPr>
        <w:t>r</w:t>
      </w:r>
      <w:r w:rsidR="009D7044" w:rsidRPr="0090684D">
        <w:rPr>
          <w:rFonts w:ascii="Book Antiqua" w:hAnsi="Book Antiqua" w:cs="Arial"/>
        </w:rPr>
        <w:t xml:space="preserve">s </w:t>
      </w:r>
      <w:r w:rsidR="00C726DB">
        <w:rPr>
          <w:rFonts w:ascii="Book Antiqua" w:hAnsi="Book Antiqua" w:cs="Arial"/>
        </w:rPr>
        <w:t>Aboni</w:t>
      </w:r>
      <w:r w:rsidR="00ED20F8" w:rsidRPr="0090684D">
        <w:rPr>
          <w:rFonts w:ascii="Book Antiqua" w:hAnsi="Book Antiqua" w:cs="Arial"/>
        </w:rPr>
        <w:t xml:space="preserve">, </w:t>
      </w:r>
      <w:r w:rsidR="006627A5" w:rsidRPr="0090684D">
        <w:rPr>
          <w:rFonts w:ascii="Book Antiqua" w:hAnsi="Book Antiqua" w:cs="Arial"/>
        </w:rPr>
        <w:t xml:space="preserve">Senior </w:t>
      </w:r>
      <w:r w:rsidR="00CD6FD3" w:rsidRPr="0090684D">
        <w:rPr>
          <w:rFonts w:ascii="Book Antiqua" w:hAnsi="Book Antiqua" w:cs="Arial"/>
        </w:rPr>
        <w:t>Home Office Presenting Officer</w:t>
      </w:r>
    </w:p>
    <w:p w14:paraId="768E812C" w14:textId="77777777" w:rsidR="0020384A" w:rsidRPr="0090684D" w:rsidRDefault="0020384A" w:rsidP="007D3E08">
      <w:pPr>
        <w:tabs>
          <w:tab w:val="left" w:pos="2520"/>
        </w:tabs>
        <w:rPr>
          <w:rFonts w:ascii="Book Antiqua" w:hAnsi="Book Antiqua" w:cs="Arial"/>
        </w:rPr>
      </w:pPr>
    </w:p>
    <w:p w14:paraId="53FE5A49" w14:textId="4EEE463B" w:rsidR="0020384A" w:rsidRPr="0090684D" w:rsidRDefault="0020384A" w:rsidP="0020384A">
      <w:pPr>
        <w:tabs>
          <w:tab w:val="left" w:pos="2520"/>
        </w:tabs>
        <w:jc w:val="center"/>
        <w:outlineLvl w:val="0"/>
        <w:rPr>
          <w:rFonts w:ascii="Book Antiqua" w:hAnsi="Book Antiqua" w:cs="Arial"/>
        </w:rPr>
      </w:pPr>
      <w:r w:rsidRPr="0090684D">
        <w:rPr>
          <w:rFonts w:ascii="Book Antiqua" w:hAnsi="Book Antiqua" w:cs="Arial"/>
          <w:b/>
          <w:u w:val="single"/>
        </w:rPr>
        <w:t>DE</w:t>
      </w:r>
      <w:r w:rsidR="00B120DE" w:rsidRPr="0090684D">
        <w:rPr>
          <w:rFonts w:ascii="Book Antiqua" w:hAnsi="Book Antiqua" w:cs="Arial"/>
          <w:b/>
          <w:u w:val="single"/>
        </w:rPr>
        <w:t>CISION</w:t>
      </w:r>
      <w:r w:rsidRPr="0090684D">
        <w:rPr>
          <w:rFonts w:ascii="Book Antiqua" w:hAnsi="Book Antiqua" w:cs="Arial"/>
          <w:b/>
          <w:u w:val="single"/>
        </w:rPr>
        <w:t xml:space="preserve"> AND </w:t>
      </w:r>
      <w:r w:rsidR="00B544AC">
        <w:rPr>
          <w:rFonts w:ascii="Book Antiqua" w:hAnsi="Book Antiqua" w:cs="Arial"/>
          <w:b/>
          <w:u w:val="single"/>
        </w:rPr>
        <w:t>REAS</w:t>
      </w:r>
      <w:r w:rsidR="00E62C66" w:rsidRPr="0090684D">
        <w:rPr>
          <w:rFonts w:ascii="Book Antiqua" w:hAnsi="Book Antiqua" w:cs="Arial"/>
          <w:b/>
          <w:u w:val="single"/>
        </w:rPr>
        <w:t>ONS</w:t>
      </w:r>
      <w:r w:rsidR="001A0250" w:rsidRPr="0090684D">
        <w:rPr>
          <w:rFonts w:ascii="Book Antiqua" w:hAnsi="Book Antiqua" w:cs="Arial"/>
          <w:b/>
          <w:u w:val="single"/>
        </w:rPr>
        <w:t xml:space="preserve"> (V)</w:t>
      </w:r>
    </w:p>
    <w:p w14:paraId="79433B14" w14:textId="01D8141B" w:rsidR="000E78FD" w:rsidRDefault="000E78FD" w:rsidP="00A401A8">
      <w:pPr>
        <w:tabs>
          <w:tab w:val="left" w:pos="2520"/>
        </w:tabs>
        <w:jc w:val="both"/>
        <w:rPr>
          <w:rFonts w:ascii="Book Antiqua" w:hAnsi="Book Antiqua" w:cs="Arial"/>
          <w:b/>
        </w:rPr>
      </w:pPr>
    </w:p>
    <w:p w14:paraId="5988127E" w14:textId="42931529" w:rsidR="00385D28" w:rsidRDefault="00385D28" w:rsidP="00A401A8">
      <w:pPr>
        <w:tabs>
          <w:tab w:val="left" w:pos="2520"/>
        </w:tabs>
        <w:jc w:val="both"/>
        <w:rPr>
          <w:rFonts w:ascii="Book Antiqua" w:hAnsi="Book Antiqua" w:cs="Arial"/>
          <w:b/>
        </w:rPr>
      </w:pPr>
      <w:r>
        <w:rPr>
          <w:rFonts w:ascii="Book Antiqua" w:hAnsi="Book Antiqua" w:cs="Arial"/>
          <w:b/>
        </w:rPr>
        <w:t>Introduction</w:t>
      </w:r>
    </w:p>
    <w:p w14:paraId="1ACB3C61" w14:textId="77777777" w:rsidR="00385D28" w:rsidRPr="00835444" w:rsidRDefault="00385D28" w:rsidP="00835444">
      <w:pPr>
        <w:jc w:val="both"/>
        <w:rPr>
          <w:rFonts w:ascii="Book Antiqua" w:hAnsi="Book Antiqua" w:cs="Arial"/>
        </w:rPr>
      </w:pPr>
    </w:p>
    <w:p w14:paraId="3187C641" w14:textId="0ABA2DA9" w:rsidR="00B544AC" w:rsidRDefault="00207D8D" w:rsidP="002C2605">
      <w:pPr>
        <w:pStyle w:val="ListParagraph"/>
        <w:numPr>
          <w:ilvl w:val="0"/>
          <w:numId w:val="1"/>
        </w:numPr>
        <w:jc w:val="both"/>
        <w:rPr>
          <w:rFonts w:ascii="Book Antiqua" w:hAnsi="Book Antiqua" w:cs="Arial"/>
        </w:rPr>
      </w:pPr>
      <w:r>
        <w:rPr>
          <w:rFonts w:ascii="Book Antiqua" w:hAnsi="Book Antiqua" w:cs="Arial"/>
        </w:rPr>
        <w:t xml:space="preserve">The appellant </w:t>
      </w:r>
      <w:r w:rsidR="00B544AC">
        <w:rPr>
          <w:rFonts w:ascii="Book Antiqua" w:hAnsi="Book Antiqua" w:cs="Arial"/>
        </w:rPr>
        <w:t xml:space="preserve">contends </w:t>
      </w:r>
      <w:r>
        <w:rPr>
          <w:rFonts w:ascii="Book Antiqua" w:hAnsi="Book Antiqua" w:cs="Arial"/>
        </w:rPr>
        <w:t xml:space="preserve">that </w:t>
      </w:r>
      <w:r w:rsidR="005E2BB8">
        <w:rPr>
          <w:rFonts w:ascii="Book Antiqua" w:hAnsi="Book Antiqua" w:cs="Arial"/>
        </w:rPr>
        <w:t xml:space="preserve">the particular circumstances of his private life </w:t>
      </w:r>
      <w:r>
        <w:rPr>
          <w:rFonts w:ascii="Book Antiqua" w:hAnsi="Book Antiqua" w:cs="Arial"/>
        </w:rPr>
        <w:t xml:space="preserve">together with his assertion </w:t>
      </w:r>
      <w:r w:rsidRPr="00207D8D">
        <w:rPr>
          <w:rFonts w:ascii="Book Antiqua" w:hAnsi="Book Antiqua" w:cs="Arial"/>
        </w:rPr>
        <w:t xml:space="preserve">that </w:t>
      </w:r>
      <w:r>
        <w:rPr>
          <w:rFonts w:ascii="Book Antiqua" w:hAnsi="Book Antiqua" w:cs="Arial"/>
        </w:rPr>
        <w:t xml:space="preserve">but for a brief period of overstaying </w:t>
      </w:r>
      <w:r w:rsidRPr="00207D8D">
        <w:rPr>
          <w:rFonts w:ascii="Book Antiqua" w:hAnsi="Book Antiqua" w:cs="Arial"/>
        </w:rPr>
        <w:t xml:space="preserve">he was continuously lawfully resident in the United Kingdom (‘UK’) for the requisite 10 years in order to </w:t>
      </w:r>
      <w:r>
        <w:rPr>
          <w:rFonts w:ascii="Book Antiqua" w:hAnsi="Book Antiqua" w:cs="Arial"/>
        </w:rPr>
        <w:t xml:space="preserve">(nearly) </w:t>
      </w:r>
      <w:r w:rsidRPr="00207D8D">
        <w:rPr>
          <w:rFonts w:ascii="Book Antiqua" w:hAnsi="Book Antiqua" w:cs="Arial"/>
        </w:rPr>
        <w:t>meet the requirements of paragraph 276B of the Immigration Rules (‘the Rules’)</w:t>
      </w:r>
      <w:r>
        <w:rPr>
          <w:rFonts w:ascii="Book Antiqua" w:hAnsi="Book Antiqua" w:cs="Arial"/>
        </w:rPr>
        <w:t>, are</w:t>
      </w:r>
      <w:r w:rsidRPr="00207D8D">
        <w:rPr>
          <w:rFonts w:ascii="Book Antiqua" w:hAnsi="Book Antiqua" w:cs="Arial"/>
        </w:rPr>
        <w:t xml:space="preserve"> such that his appeal should be allowed on Article 8, ECHR grounds.  </w:t>
      </w:r>
    </w:p>
    <w:p w14:paraId="626D978D" w14:textId="77777777" w:rsidR="00B544AC" w:rsidRDefault="00B544AC" w:rsidP="00B544AC">
      <w:pPr>
        <w:pStyle w:val="ListParagraph"/>
        <w:ind w:left="1280"/>
        <w:jc w:val="both"/>
        <w:rPr>
          <w:rFonts w:ascii="Book Antiqua" w:hAnsi="Book Antiqua" w:cs="Arial"/>
        </w:rPr>
      </w:pPr>
    </w:p>
    <w:p w14:paraId="65BDE636" w14:textId="5D080798" w:rsidR="007D3E08" w:rsidRDefault="00B544AC" w:rsidP="002C2605">
      <w:pPr>
        <w:pStyle w:val="ListParagraph"/>
        <w:numPr>
          <w:ilvl w:val="0"/>
          <w:numId w:val="1"/>
        </w:numPr>
        <w:jc w:val="both"/>
        <w:rPr>
          <w:rFonts w:ascii="Book Antiqua" w:hAnsi="Book Antiqua" w:cs="Arial"/>
        </w:rPr>
      </w:pPr>
      <w:r>
        <w:rPr>
          <w:rFonts w:ascii="Book Antiqua" w:hAnsi="Book Antiqua" w:cs="Arial"/>
        </w:rPr>
        <w:t xml:space="preserve">This decision should be read alongside my </w:t>
      </w:r>
      <w:r w:rsidR="005E2BB8">
        <w:rPr>
          <w:rFonts w:ascii="Book Antiqua" w:hAnsi="Book Antiqua" w:cs="Arial"/>
        </w:rPr>
        <w:t xml:space="preserve">‘error of law’ </w:t>
      </w:r>
      <w:r>
        <w:rPr>
          <w:rFonts w:ascii="Book Antiqua" w:hAnsi="Book Antiqua" w:cs="Arial"/>
        </w:rPr>
        <w:t>decision sent on 2 October 2020</w:t>
      </w:r>
      <w:r w:rsidR="005E2BB8">
        <w:rPr>
          <w:rFonts w:ascii="Book Antiqua" w:hAnsi="Book Antiqua" w:cs="Arial"/>
        </w:rPr>
        <w:t>,</w:t>
      </w:r>
      <w:r>
        <w:rPr>
          <w:rFonts w:ascii="Book Antiqua" w:hAnsi="Book Antiqua" w:cs="Arial"/>
        </w:rPr>
        <w:t xml:space="preserve"> in which I found that the decision of the </w:t>
      </w:r>
      <w:r w:rsidR="00A77AFB" w:rsidRPr="0090684D">
        <w:rPr>
          <w:rFonts w:ascii="Book Antiqua" w:hAnsi="Book Antiqua" w:cs="Arial"/>
        </w:rPr>
        <w:t xml:space="preserve">First-tier Tribunal (‘FTT’) </w:t>
      </w:r>
      <w:r w:rsidR="00207D8D">
        <w:rPr>
          <w:rFonts w:ascii="Book Antiqua" w:hAnsi="Book Antiqua" w:cs="Arial"/>
        </w:rPr>
        <w:lastRenderedPageBreak/>
        <w:t>sent on 11 February 2020</w:t>
      </w:r>
      <w:r w:rsidR="00675750">
        <w:rPr>
          <w:rFonts w:ascii="Book Antiqua" w:hAnsi="Book Antiqua" w:cs="Arial"/>
        </w:rPr>
        <w:t xml:space="preserve"> (‘the 2020 FTT’)</w:t>
      </w:r>
      <w:r w:rsidR="00207D8D">
        <w:rPr>
          <w:rFonts w:ascii="Book Antiqua" w:hAnsi="Book Antiqua" w:cs="Arial"/>
        </w:rPr>
        <w:t xml:space="preserve">, </w:t>
      </w:r>
      <w:r>
        <w:rPr>
          <w:rFonts w:ascii="Book Antiqua" w:hAnsi="Book Antiqua" w:cs="Arial"/>
        </w:rPr>
        <w:t>contained errors of law such that it was set aside</w:t>
      </w:r>
      <w:r w:rsidR="00A73C32">
        <w:rPr>
          <w:rFonts w:ascii="Book Antiqua" w:hAnsi="Book Antiqua" w:cs="Arial"/>
        </w:rPr>
        <w:t>,</w:t>
      </w:r>
      <w:r w:rsidR="00C726DB">
        <w:rPr>
          <w:rFonts w:ascii="Book Antiqua" w:hAnsi="Book Antiqua" w:cs="Arial"/>
        </w:rPr>
        <w:t xml:space="preserve"> </w:t>
      </w:r>
      <w:r w:rsidR="00165F7B">
        <w:rPr>
          <w:rFonts w:ascii="Book Antiqua" w:hAnsi="Book Antiqua" w:cs="Arial"/>
        </w:rPr>
        <w:t xml:space="preserve">to </w:t>
      </w:r>
      <w:r w:rsidR="00C726DB">
        <w:rPr>
          <w:rFonts w:ascii="Book Antiqua" w:hAnsi="Book Antiqua" w:cs="Arial"/>
        </w:rPr>
        <w:t>be remade in the Upper Tribunal (‘UT’)</w:t>
      </w:r>
      <w:r>
        <w:rPr>
          <w:rFonts w:ascii="Book Antiqua" w:hAnsi="Book Antiqua" w:cs="Arial"/>
        </w:rPr>
        <w:t>.</w:t>
      </w:r>
      <w:r w:rsidR="00276C2E" w:rsidRPr="0090684D">
        <w:rPr>
          <w:rFonts w:ascii="Book Antiqua" w:hAnsi="Book Antiqua" w:cs="Arial"/>
        </w:rPr>
        <w:t xml:space="preserve">  </w:t>
      </w:r>
      <w:r w:rsidR="00ED20F8" w:rsidRPr="0090684D">
        <w:rPr>
          <w:rFonts w:ascii="Book Antiqua" w:hAnsi="Book Antiqua" w:cs="Arial"/>
        </w:rPr>
        <w:t xml:space="preserve"> </w:t>
      </w:r>
    </w:p>
    <w:p w14:paraId="59B0CDB6" w14:textId="77777777" w:rsidR="00835444" w:rsidRPr="00835444" w:rsidRDefault="00835444" w:rsidP="00835444">
      <w:pPr>
        <w:pStyle w:val="ListParagraph"/>
        <w:rPr>
          <w:rFonts w:ascii="Book Antiqua" w:hAnsi="Book Antiqua" w:cs="Arial"/>
        </w:rPr>
      </w:pPr>
    </w:p>
    <w:p w14:paraId="5CB9A9B8" w14:textId="6FC265C8" w:rsidR="00835444" w:rsidRPr="00835444" w:rsidRDefault="00835444" w:rsidP="00835444">
      <w:pPr>
        <w:pStyle w:val="ListParagraph"/>
        <w:numPr>
          <w:ilvl w:val="0"/>
          <w:numId w:val="1"/>
        </w:numPr>
        <w:jc w:val="both"/>
        <w:rPr>
          <w:rFonts w:ascii="Book Antiqua" w:hAnsi="Book Antiqua" w:cs="Arial"/>
        </w:rPr>
      </w:pPr>
      <w:r>
        <w:rPr>
          <w:rFonts w:ascii="Book Antiqua" w:hAnsi="Book Antiqua" w:cs="Arial"/>
        </w:rPr>
        <w:t xml:space="preserve">I now remake the decision </w:t>
      </w:r>
      <w:r w:rsidR="008832AA">
        <w:rPr>
          <w:rFonts w:ascii="Book Antiqua" w:hAnsi="Book Antiqua" w:cs="Arial"/>
        </w:rPr>
        <w:t>arising from</w:t>
      </w:r>
      <w:r>
        <w:rPr>
          <w:rFonts w:ascii="Book Antiqua" w:hAnsi="Book Antiqua" w:cs="Arial"/>
        </w:rPr>
        <w:t xml:space="preserve"> the appellant’s appeal against</w:t>
      </w:r>
      <w:r w:rsidRPr="00B544AC">
        <w:rPr>
          <w:rFonts w:ascii="Book Antiqua" w:hAnsi="Book Antiqua" w:cs="Arial"/>
        </w:rPr>
        <w:t xml:space="preserve"> the respondent’s decision dated 24 October 2019 to refuse his human rights claim.</w:t>
      </w:r>
      <w:r>
        <w:rPr>
          <w:rFonts w:ascii="Book Antiqua" w:hAnsi="Book Antiqua" w:cs="Arial"/>
        </w:rPr>
        <w:t xml:space="preserve">  </w:t>
      </w:r>
    </w:p>
    <w:p w14:paraId="79F26DEC" w14:textId="77777777" w:rsidR="00207D8D" w:rsidRPr="00207D8D" w:rsidRDefault="00207D8D" w:rsidP="00207D8D">
      <w:pPr>
        <w:pStyle w:val="ListParagraph"/>
        <w:rPr>
          <w:rFonts w:ascii="Book Antiqua" w:hAnsi="Book Antiqua" w:cs="Arial"/>
        </w:rPr>
      </w:pPr>
    </w:p>
    <w:p w14:paraId="55A6C578" w14:textId="1C8CA8D5" w:rsidR="00207D8D" w:rsidRPr="00207D8D" w:rsidRDefault="00207D8D" w:rsidP="00207D8D">
      <w:pPr>
        <w:jc w:val="both"/>
        <w:rPr>
          <w:rFonts w:ascii="Book Antiqua" w:hAnsi="Book Antiqua" w:cs="Arial"/>
          <w:b/>
          <w:bCs/>
        </w:rPr>
      </w:pPr>
      <w:r w:rsidRPr="00207D8D">
        <w:rPr>
          <w:rFonts w:ascii="Book Antiqua" w:hAnsi="Book Antiqua" w:cs="Arial"/>
          <w:b/>
          <w:bCs/>
        </w:rPr>
        <w:t>Background</w:t>
      </w:r>
    </w:p>
    <w:p w14:paraId="0F6CBF8E" w14:textId="77777777" w:rsidR="00207D8D" w:rsidRPr="00207D8D" w:rsidRDefault="00207D8D" w:rsidP="00207D8D">
      <w:pPr>
        <w:pStyle w:val="ListParagraph"/>
        <w:rPr>
          <w:rFonts w:ascii="Book Antiqua" w:hAnsi="Book Antiqua" w:cs="Arial"/>
        </w:rPr>
      </w:pPr>
    </w:p>
    <w:p w14:paraId="256BAB7D" w14:textId="0021791C" w:rsidR="00B8371F" w:rsidRDefault="00207D8D" w:rsidP="002C2605">
      <w:pPr>
        <w:pStyle w:val="ListParagraph"/>
        <w:numPr>
          <w:ilvl w:val="0"/>
          <w:numId w:val="1"/>
        </w:numPr>
        <w:jc w:val="both"/>
        <w:rPr>
          <w:rFonts w:ascii="Book Antiqua" w:hAnsi="Book Antiqua" w:cs="Arial"/>
        </w:rPr>
      </w:pPr>
      <w:r>
        <w:rPr>
          <w:rFonts w:ascii="Book Antiqua" w:hAnsi="Book Antiqua" w:cs="Arial"/>
        </w:rPr>
        <w:t xml:space="preserve">The appellant is a citizen of Bangladesh, where he was born in 1982.  On 12 October 2009, when he was 27, </w:t>
      </w:r>
      <w:r w:rsidR="008832AA">
        <w:rPr>
          <w:rFonts w:ascii="Book Antiqua" w:hAnsi="Book Antiqua" w:cs="Arial"/>
        </w:rPr>
        <w:t>he</w:t>
      </w:r>
      <w:r>
        <w:rPr>
          <w:rFonts w:ascii="Book Antiqua" w:hAnsi="Book Antiqua" w:cs="Arial"/>
        </w:rPr>
        <w:t xml:space="preserve"> entered the UK as a student, with leave expiring on 30 January 2013.  The appellant has not left the UK since that date.  His immigration history is </w:t>
      </w:r>
      <w:r w:rsidR="00D3254E">
        <w:rPr>
          <w:rFonts w:ascii="Book Antiqua" w:hAnsi="Book Antiqua" w:cs="Arial"/>
        </w:rPr>
        <w:t xml:space="preserve">lengthy and </w:t>
      </w:r>
      <w:r>
        <w:rPr>
          <w:rFonts w:ascii="Book Antiqua" w:hAnsi="Book Antiqua" w:cs="Arial"/>
        </w:rPr>
        <w:t>complex</w:t>
      </w:r>
      <w:r w:rsidR="00D3254E">
        <w:rPr>
          <w:rFonts w:ascii="Book Antiqua" w:hAnsi="Book Antiqua" w:cs="Arial"/>
        </w:rPr>
        <w:t>,</w:t>
      </w:r>
      <w:r>
        <w:rPr>
          <w:rFonts w:ascii="Book Antiqua" w:hAnsi="Book Antiqua" w:cs="Arial"/>
        </w:rPr>
        <w:t xml:space="preserve"> but it is only necessary to summarise </w:t>
      </w:r>
      <w:r w:rsidR="00D3254E">
        <w:rPr>
          <w:rFonts w:ascii="Book Antiqua" w:hAnsi="Book Antiqua" w:cs="Arial"/>
        </w:rPr>
        <w:t>it by reference to</w:t>
      </w:r>
      <w:r>
        <w:rPr>
          <w:rFonts w:ascii="Book Antiqua" w:hAnsi="Book Antiqua" w:cs="Arial"/>
        </w:rPr>
        <w:t xml:space="preserve"> three stages.  </w:t>
      </w:r>
    </w:p>
    <w:p w14:paraId="13EF8C8E" w14:textId="77777777" w:rsidR="00B8371F" w:rsidRDefault="00B8371F" w:rsidP="00B8371F">
      <w:pPr>
        <w:pStyle w:val="ListParagraph"/>
        <w:ind w:left="1280"/>
        <w:jc w:val="both"/>
        <w:rPr>
          <w:rFonts w:ascii="Book Antiqua" w:hAnsi="Book Antiqua" w:cs="Arial"/>
        </w:rPr>
      </w:pPr>
    </w:p>
    <w:p w14:paraId="47E74C73" w14:textId="7D49A107" w:rsidR="00207D8D" w:rsidRDefault="00B8371F" w:rsidP="002C2605">
      <w:pPr>
        <w:pStyle w:val="ListParagraph"/>
        <w:numPr>
          <w:ilvl w:val="0"/>
          <w:numId w:val="1"/>
        </w:numPr>
        <w:jc w:val="both"/>
        <w:rPr>
          <w:rFonts w:ascii="Book Antiqua" w:hAnsi="Book Antiqua" w:cs="Arial"/>
        </w:rPr>
      </w:pPr>
      <w:r>
        <w:rPr>
          <w:rFonts w:ascii="Book Antiqua" w:hAnsi="Book Antiqua" w:cs="Arial"/>
        </w:rPr>
        <w:t xml:space="preserve">The first stage relates to the appellant’s time in the UK as a student.  </w:t>
      </w:r>
      <w:r w:rsidR="00207D8D">
        <w:rPr>
          <w:rFonts w:ascii="Book Antiqua" w:hAnsi="Book Antiqua" w:cs="Arial"/>
        </w:rPr>
        <w:t>Whilst on his student visa</w:t>
      </w:r>
      <w:r w:rsidR="00B518B4">
        <w:rPr>
          <w:rFonts w:ascii="Book Antiqua" w:hAnsi="Book Antiqua" w:cs="Arial"/>
        </w:rPr>
        <w:t>,</w:t>
      </w:r>
      <w:r w:rsidR="00207D8D">
        <w:rPr>
          <w:rFonts w:ascii="Book Antiqua" w:hAnsi="Book Antiqua" w:cs="Arial"/>
        </w:rPr>
        <w:t xml:space="preserve"> </w:t>
      </w:r>
      <w:r w:rsidR="00B518B4">
        <w:rPr>
          <w:rFonts w:ascii="Book Antiqua" w:hAnsi="Book Antiqua" w:cs="Arial"/>
        </w:rPr>
        <w:t xml:space="preserve">he </w:t>
      </w:r>
      <w:r w:rsidR="00207D8D">
        <w:rPr>
          <w:rFonts w:ascii="Book Antiqua" w:hAnsi="Book Antiqua" w:cs="Arial"/>
        </w:rPr>
        <w:t xml:space="preserve">completed a </w:t>
      </w:r>
      <w:r w:rsidR="005E137D" w:rsidRPr="00207D8D">
        <w:rPr>
          <w:rFonts w:ascii="Book Antiqua" w:hAnsi="Book Antiqua" w:cs="Arial"/>
        </w:rPr>
        <w:t>Master’s</w:t>
      </w:r>
      <w:r w:rsidR="00207D8D" w:rsidRPr="00207D8D">
        <w:rPr>
          <w:rFonts w:ascii="Book Antiqua" w:hAnsi="Book Antiqua" w:cs="Arial"/>
        </w:rPr>
        <w:t xml:space="preserve"> Degree in Business Admini</w:t>
      </w:r>
      <w:r w:rsidR="00207D8D">
        <w:rPr>
          <w:rFonts w:ascii="Book Antiqua" w:hAnsi="Book Antiqua" w:cs="Arial"/>
        </w:rPr>
        <w:t>s</w:t>
      </w:r>
      <w:r w:rsidR="00207D8D" w:rsidRPr="00207D8D">
        <w:rPr>
          <w:rFonts w:ascii="Book Antiqua" w:hAnsi="Book Antiqua" w:cs="Arial"/>
        </w:rPr>
        <w:t>tration from the University of Wales on 22 August 2012.</w:t>
      </w:r>
      <w:r w:rsidR="00207D8D">
        <w:rPr>
          <w:rFonts w:ascii="Book Antiqua" w:hAnsi="Book Antiqua" w:cs="Arial"/>
        </w:rPr>
        <w:t xml:space="preserve">  An in-time application to remain in the UK </w:t>
      </w:r>
      <w:r w:rsidR="00BA59AC">
        <w:rPr>
          <w:rFonts w:ascii="Book Antiqua" w:hAnsi="Book Antiqua" w:cs="Arial"/>
        </w:rPr>
        <w:t>on a</w:t>
      </w:r>
      <w:r w:rsidR="00207D8D">
        <w:rPr>
          <w:rFonts w:ascii="Book Antiqua" w:hAnsi="Book Antiqua" w:cs="Arial"/>
        </w:rPr>
        <w:t xml:space="preserve"> ‘</w:t>
      </w:r>
      <w:r w:rsidR="00BA59AC">
        <w:rPr>
          <w:rFonts w:ascii="Book Antiqua" w:hAnsi="Book Antiqua" w:cs="Arial"/>
        </w:rPr>
        <w:t xml:space="preserve">Tier 1 </w:t>
      </w:r>
      <w:r w:rsidR="00207D8D">
        <w:rPr>
          <w:rFonts w:ascii="Book Antiqua" w:hAnsi="Book Antiqua" w:cs="Arial"/>
        </w:rPr>
        <w:t>post-study’</w:t>
      </w:r>
      <w:r w:rsidR="00BA59AC">
        <w:rPr>
          <w:rFonts w:ascii="Book Antiqua" w:hAnsi="Book Antiqua" w:cs="Arial"/>
        </w:rPr>
        <w:t xml:space="preserve"> basis</w:t>
      </w:r>
      <w:r w:rsidR="00207D8D">
        <w:rPr>
          <w:rFonts w:ascii="Book Antiqua" w:hAnsi="Book Antiqua" w:cs="Arial"/>
        </w:rPr>
        <w:t xml:space="preserve"> was unsuccessful and the appellant </w:t>
      </w:r>
      <w:r w:rsidR="00675750">
        <w:rPr>
          <w:rFonts w:ascii="Book Antiqua" w:hAnsi="Book Antiqua" w:cs="Arial"/>
        </w:rPr>
        <w:t xml:space="preserve">then </w:t>
      </w:r>
      <w:r w:rsidR="00207D8D">
        <w:rPr>
          <w:rFonts w:ascii="Book Antiqua" w:hAnsi="Book Antiqua" w:cs="Arial"/>
        </w:rPr>
        <w:t>made an in-time application to remain</w:t>
      </w:r>
      <w:r>
        <w:rPr>
          <w:rFonts w:ascii="Book Antiqua" w:hAnsi="Book Antiqua" w:cs="Arial"/>
        </w:rPr>
        <w:t xml:space="preserve"> on human rights grounds.</w:t>
      </w:r>
      <w:r w:rsidR="00207D8D">
        <w:rPr>
          <w:rFonts w:ascii="Book Antiqua" w:hAnsi="Book Antiqua" w:cs="Arial"/>
        </w:rPr>
        <w:t xml:space="preserve"> </w:t>
      </w:r>
    </w:p>
    <w:p w14:paraId="312D34D9" w14:textId="77777777" w:rsidR="00B8371F" w:rsidRPr="00B8371F" w:rsidRDefault="00B8371F" w:rsidP="00B8371F">
      <w:pPr>
        <w:pStyle w:val="ListParagraph"/>
        <w:rPr>
          <w:rFonts w:ascii="Book Antiqua" w:hAnsi="Book Antiqua" w:cs="Arial"/>
        </w:rPr>
      </w:pPr>
    </w:p>
    <w:p w14:paraId="143BA7A5" w14:textId="35E66B9A" w:rsidR="00675750" w:rsidRDefault="00B8371F" w:rsidP="00675750">
      <w:pPr>
        <w:pStyle w:val="ListParagraph"/>
        <w:numPr>
          <w:ilvl w:val="0"/>
          <w:numId w:val="1"/>
        </w:numPr>
        <w:jc w:val="both"/>
        <w:rPr>
          <w:rFonts w:ascii="Book Antiqua" w:hAnsi="Book Antiqua" w:cs="Arial"/>
        </w:rPr>
      </w:pPr>
      <w:r>
        <w:rPr>
          <w:rFonts w:ascii="Book Antiqua" w:hAnsi="Book Antiqua" w:cs="Arial"/>
        </w:rPr>
        <w:t>The second stage relates to the appellant’s time in the UK when his leave to remain was lawfully extended by statute pursuant to s. 3C of the Immigration Act</w:t>
      </w:r>
      <w:r w:rsidR="00675750">
        <w:rPr>
          <w:rFonts w:ascii="Book Antiqua" w:hAnsi="Book Antiqua" w:cs="Arial"/>
        </w:rPr>
        <w:t xml:space="preserve"> from </w:t>
      </w:r>
      <w:r w:rsidR="006A777C">
        <w:rPr>
          <w:rFonts w:ascii="Book Antiqua" w:hAnsi="Book Antiqua" w:cs="Arial"/>
        </w:rPr>
        <w:t xml:space="preserve">30 January </w:t>
      </w:r>
      <w:r w:rsidR="00675750">
        <w:rPr>
          <w:rFonts w:ascii="Book Antiqua" w:hAnsi="Book Antiqua" w:cs="Arial"/>
        </w:rPr>
        <w:t>2013 to 10 November 2016</w:t>
      </w:r>
      <w:r w:rsidR="006A777C">
        <w:rPr>
          <w:rFonts w:ascii="Book Antiqua" w:hAnsi="Book Antiqua" w:cs="Arial"/>
        </w:rPr>
        <w:t>,</w:t>
      </w:r>
      <w:r w:rsidR="00675750">
        <w:rPr>
          <w:rFonts w:ascii="Book Antiqua" w:hAnsi="Book Antiqua" w:cs="Arial"/>
        </w:rPr>
        <w:t xml:space="preserve"> when he became appeals-rights exhausted (‘ARE’)</w:t>
      </w:r>
      <w:r>
        <w:rPr>
          <w:rFonts w:ascii="Book Antiqua" w:hAnsi="Book Antiqua" w:cs="Arial"/>
        </w:rPr>
        <w:t>.  During this period the appellant submitted</w:t>
      </w:r>
      <w:r w:rsidR="00033538">
        <w:rPr>
          <w:rFonts w:ascii="Book Antiqua" w:hAnsi="Book Antiqua" w:cs="Arial"/>
        </w:rPr>
        <w:t xml:space="preserve"> a number of</w:t>
      </w:r>
      <w:r>
        <w:rPr>
          <w:rFonts w:ascii="Book Antiqua" w:hAnsi="Book Antiqua" w:cs="Arial"/>
        </w:rPr>
        <w:t xml:space="preserve"> in-time variation applications.  He was also ultimately successful in judicial review proceedings challenging the failure to grant him an appeal before the FTT.  </w:t>
      </w:r>
      <w:r w:rsidR="00675750">
        <w:rPr>
          <w:rFonts w:ascii="Book Antiqua" w:hAnsi="Book Antiqua" w:cs="Arial"/>
        </w:rPr>
        <w:t xml:space="preserve">In a decision promulgated on 24 March 2016 (‘the 2016 FTT’), FTT Judge Meah dismissed the appellant’s appeal on Article 8 grounds, finding inter alia that his private life was unremarkable and limited to links with friends in the UK and a wish to continue with studies and employment here, whereas he came from an affluent family in Bangladesh and could reasonably re-settle there.  His appeal to the UT against that decision was unsuccessful.  </w:t>
      </w:r>
      <w:r>
        <w:rPr>
          <w:rFonts w:ascii="Book Antiqua" w:hAnsi="Book Antiqua" w:cs="Arial"/>
        </w:rPr>
        <w:t xml:space="preserve">It is unnecessary to delve into this </w:t>
      </w:r>
      <w:r w:rsidR="009C7EC0">
        <w:rPr>
          <w:rFonts w:ascii="Book Antiqua" w:hAnsi="Book Antiqua" w:cs="Arial"/>
        </w:rPr>
        <w:t>second stage</w:t>
      </w:r>
      <w:r>
        <w:rPr>
          <w:rFonts w:ascii="Book Antiqua" w:hAnsi="Book Antiqua" w:cs="Arial"/>
        </w:rPr>
        <w:t xml:space="preserve"> of the appellant’s immigration history in any </w:t>
      </w:r>
      <w:r w:rsidR="00675750">
        <w:rPr>
          <w:rFonts w:ascii="Book Antiqua" w:hAnsi="Book Antiqua" w:cs="Arial"/>
        </w:rPr>
        <w:t xml:space="preserve">further </w:t>
      </w:r>
      <w:r>
        <w:rPr>
          <w:rFonts w:ascii="Book Antiqua" w:hAnsi="Book Antiqua" w:cs="Arial"/>
        </w:rPr>
        <w:t>detail because it is no</w:t>
      </w:r>
      <w:r w:rsidR="00675750">
        <w:rPr>
          <w:rFonts w:ascii="Book Antiqua" w:hAnsi="Book Antiqua" w:cs="Arial"/>
        </w:rPr>
        <w:t xml:space="preserve"> longer</w:t>
      </w:r>
      <w:r>
        <w:rPr>
          <w:rFonts w:ascii="Book Antiqua" w:hAnsi="Book Antiqua" w:cs="Arial"/>
        </w:rPr>
        <w:t xml:space="preserve"> disputed that the appellant</w:t>
      </w:r>
      <w:r w:rsidR="00675750">
        <w:rPr>
          <w:rFonts w:ascii="Book Antiqua" w:hAnsi="Book Antiqua" w:cs="Arial"/>
        </w:rPr>
        <w:t xml:space="preserve"> was lawfully in the UK during the entirety of this period</w:t>
      </w:r>
      <w:r w:rsidR="00CA0B19">
        <w:rPr>
          <w:rFonts w:ascii="Book Antiqua" w:hAnsi="Book Antiqua" w:cs="Arial"/>
        </w:rPr>
        <w:t xml:space="preserve"> – see the 2020 FTT’s un</w:t>
      </w:r>
      <w:r w:rsidR="0029537A">
        <w:rPr>
          <w:rFonts w:ascii="Book Antiqua" w:hAnsi="Book Antiqua" w:cs="Arial"/>
        </w:rPr>
        <w:t>-</w:t>
      </w:r>
      <w:r w:rsidR="00CA0B19">
        <w:rPr>
          <w:rFonts w:ascii="Book Antiqua" w:hAnsi="Book Antiqua" w:cs="Arial"/>
        </w:rPr>
        <w:t>appealed findings at [44] to [54]</w:t>
      </w:r>
      <w:r w:rsidR="00675750">
        <w:rPr>
          <w:rFonts w:ascii="Book Antiqua" w:hAnsi="Book Antiqua" w:cs="Arial"/>
        </w:rPr>
        <w:t>.</w:t>
      </w:r>
    </w:p>
    <w:p w14:paraId="778A169E" w14:textId="77777777" w:rsidR="00675750" w:rsidRPr="00675750" w:rsidRDefault="00675750" w:rsidP="00675750">
      <w:pPr>
        <w:pStyle w:val="ListParagraph"/>
        <w:rPr>
          <w:rFonts w:ascii="Book Antiqua" w:hAnsi="Book Antiqua" w:cs="Arial"/>
        </w:rPr>
      </w:pPr>
    </w:p>
    <w:p w14:paraId="31391FEA" w14:textId="63BABF25" w:rsidR="00675750" w:rsidRDefault="00675750" w:rsidP="00675750">
      <w:pPr>
        <w:pStyle w:val="ListParagraph"/>
        <w:numPr>
          <w:ilvl w:val="0"/>
          <w:numId w:val="1"/>
        </w:numPr>
        <w:jc w:val="both"/>
        <w:rPr>
          <w:rFonts w:ascii="Book Antiqua" w:hAnsi="Book Antiqua" w:cs="Arial"/>
        </w:rPr>
      </w:pPr>
      <w:r>
        <w:rPr>
          <w:rFonts w:ascii="Book Antiqua" w:hAnsi="Book Antiqua" w:cs="Arial"/>
        </w:rPr>
        <w:t>The third stage relates to the period after the appellant became ARE in November 2016.  I turn to this stage in more detail during the course of this decision.</w:t>
      </w:r>
    </w:p>
    <w:p w14:paraId="0FE88745" w14:textId="1677FD43" w:rsidR="00147148" w:rsidRPr="00675750" w:rsidRDefault="00675750" w:rsidP="00675750">
      <w:pPr>
        <w:jc w:val="both"/>
        <w:rPr>
          <w:rFonts w:ascii="Book Antiqua" w:hAnsi="Book Antiqua" w:cs="Arial"/>
        </w:rPr>
      </w:pPr>
      <w:r w:rsidRPr="00675750">
        <w:rPr>
          <w:rFonts w:ascii="Book Antiqua" w:hAnsi="Book Antiqua" w:cs="Arial"/>
        </w:rPr>
        <w:t xml:space="preserve"> </w:t>
      </w:r>
    </w:p>
    <w:p w14:paraId="2CEE98ED" w14:textId="3672441D" w:rsidR="00B544AC" w:rsidRPr="00B544AC" w:rsidRDefault="00B544AC" w:rsidP="00147148">
      <w:pPr>
        <w:jc w:val="both"/>
        <w:rPr>
          <w:rFonts w:ascii="Book Antiqua" w:hAnsi="Book Antiqua" w:cs="Arial"/>
          <w:b/>
          <w:bCs/>
        </w:rPr>
      </w:pPr>
      <w:r w:rsidRPr="00B544AC">
        <w:rPr>
          <w:rFonts w:ascii="Book Antiqua" w:hAnsi="Book Antiqua" w:cs="Arial"/>
          <w:b/>
          <w:bCs/>
        </w:rPr>
        <w:t>Issues in dispute</w:t>
      </w:r>
    </w:p>
    <w:p w14:paraId="3649360F" w14:textId="77777777" w:rsidR="00F77CF1" w:rsidRPr="00B544AC" w:rsidRDefault="00F77CF1" w:rsidP="00B544AC">
      <w:pPr>
        <w:rPr>
          <w:rFonts w:ascii="Book Antiqua" w:hAnsi="Book Antiqua"/>
          <w:lang w:val="en-US"/>
        </w:rPr>
      </w:pPr>
    </w:p>
    <w:p w14:paraId="28642662" w14:textId="36FAB56C" w:rsidR="00CA0B19" w:rsidRDefault="00B544AC" w:rsidP="005E2BB8">
      <w:pPr>
        <w:pStyle w:val="ListParagraph"/>
        <w:numPr>
          <w:ilvl w:val="0"/>
          <w:numId w:val="1"/>
        </w:numPr>
        <w:jc w:val="both"/>
        <w:rPr>
          <w:rFonts w:ascii="Book Antiqua" w:hAnsi="Book Antiqua"/>
          <w:lang w:val="en-US"/>
        </w:rPr>
      </w:pPr>
      <w:r>
        <w:rPr>
          <w:rFonts w:ascii="Book Antiqua" w:hAnsi="Book Antiqua"/>
          <w:lang w:val="en-US"/>
        </w:rPr>
        <w:t xml:space="preserve">The parameters of this appeal were agreed by the parties at the </w:t>
      </w:r>
      <w:r w:rsidR="003434CF">
        <w:rPr>
          <w:rFonts w:ascii="Book Antiqua" w:hAnsi="Book Antiqua"/>
          <w:lang w:val="en-US"/>
        </w:rPr>
        <w:t>‘</w:t>
      </w:r>
      <w:r>
        <w:rPr>
          <w:rFonts w:ascii="Book Antiqua" w:hAnsi="Book Antiqua"/>
          <w:lang w:val="en-US"/>
        </w:rPr>
        <w:t>error of law</w:t>
      </w:r>
      <w:r w:rsidR="003434CF">
        <w:rPr>
          <w:rFonts w:ascii="Book Antiqua" w:hAnsi="Book Antiqua"/>
          <w:lang w:val="en-US"/>
        </w:rPr>
        <w:t>’</w:t>
      </w:r>
      <w:r>
        <w:rPr>
          <w:rFonts w:ascii="Book Antiqua" w:hAnsi="Book Antiqua"/>
          <w:lang w:val="en-US"/>
        </w:rPr>
        <w:t xml:space="preserve"> hearing.  It </w:t>
      </w:r>
      <w:r w:rsidR="003434CF">
        <w:rPr>
          <w:rFonts w:ascii="Book Antiqua" w:hAnsi="Book Antiqua"/>
          <w:lang w:val="en-US"/>
        </w:rPr>
        <w:t xml:space="preserve">was </w:t>
      </w:r>
      <w:r>
        <w:rPr>
          <w:rFonts w:ascii="Book Antiqua" w:hAnsi="Book Antiqua"/>
          <w:lang w:val="en-US"/>
        </w:rPr>
        <w:t>accepted that t</w:t>
      </w:r>
      <w:r w:rsidRPr="00B544AC">
        <w:rPr>
          <w:rFonts w:ascii="Book Antiqua" w:hAnsi="Book Antiqua"/>
          <w:lang w:val="en-US"/>
        </w:rPr>
        <w:t xml:space="preserve">he </w:t>
      </w:r>
      <w:r w:rsidR="00CA0B19">
        <w:rPr>
          <w:rFonts w:ascii="Book Antiqua" w:hAnsi="Book Antiqua"/>
          <w:lang w:val="en-US"/>
        </w:rPr>
        <w:t xml:space="preserve">2020 </w:t>
      </w:r>
      <w:r w:rsidRPr="00B544AC">
        <w:rPr>
          <w:rFonts w:ascii="Book Antiqua" w:hAnsi="Book Antiqua"/>
          <w:lang w:val="en-US"/>
        </w:rPr>
        <w:t xml:space="preserve">FTT’s </w:t>
      </w:r>
      <w:r w:rsidR="00C54267" w:rsidRPr="00B544AC">
        <w:rPr>
          <w:rFonts w:ascii="Book Antiqua" w:hAnsi="Book Antiqua"/>
          <w:lang w:val="en-US"/>
        </w:rPr>
        <w:t xml:space="preserve">factual findings up </w:t>
      </w:r>
      <w:r w:rsidR="00103708" w:rsidRPr="00B544AC">
        <w:rPr>
          <w:rFonts w:ascii="Book Antiqua" w:hAnsi="Book Antiqua"/>
          <w:lang w:val="en-US"/>
        </w:rPr>
        <w:t>to</w:t>
      </w:r>
      <w:r w:rsidR="00CA0B19">
        <w:rPr>
          <w:rFonts w:ascii="Book Antiqua" w:hAnsi="Book Antiqua"/>
          <w:lang w:val="en-US"/>
        </w:rPr>
        <w:t xml:space="preserve"> and including</w:t>
      </w:r>
      <w:r w:rsidR="00103708" w:rsidRPr="00B544AC">
        <w:rPr>
          <w:rFonts w:ascii="Book Antiqua" w:hAnsi="Book Antiqua"/>
          <w:lang w:val="en-US"/>
        </w:rPr>
        <w:t xml:space="preserve"> </w:t>
      </w:r>
      <w:r w:rsidRPr="00B544AC">
        <w:rPr>
          <w:rFonts w:ascii="Book Antiqua" w:hAnsi="Book Antiqua"/>
          <w:lang w:val="en-US"/>
        </w:rPr>
        <w:t>[</w:t>
      </w:r>
      <w:r w:rsidR="00CA0B19">
        <w:rPr>
          <w:rFonts w:ascii="Book Antiqua" w:hAnsi="Book Antiqua"/>
          <w:lang w:val="en-US"/>
        </w:rPr>
        <w:t>59</w:t>
      </w:r>
      <w:r w:rsidRPr="00B544AC">
        <w:rPr>
          <w:rFonts w:ascii="Book Antiqua" w:hAnsi="Book Antiqua"/>
          <w:lang w:val="en-US"/>
        </w:rPr>
        <w:t>]</w:t>
      </w:r>
      <w:r w:rsidR="00103708" w:rsidRPr="00B544AC">
        <w:rPr>
          <w:rFonts w:ascii="Book Antiqua" w:hAnsi="Book Antiqua"/>
          <w:lang w:val="en-US"/>
        </w:rPr>
        <w:t xml:space="preserve"> were open to </w:t>
      </w:r>
      <w:r>
        <w:rPr>
          <w:rFonts w:ascii="Book Antiqua" w:hAnsi="Book Antiqua"/>
          <w:lang w:val="en-US"/>
        </w:rPr>
        <w:t xml:space="preserve">it </w:t>
      </w:r>
      <w:r w:rsidRPr="00B544AC">
        <w:rPr>
          <w:rFonts w:ascii="Book Antiqua" w:hAnsi="Book Antiqua"/>
          <w:lang w:val="en-US"/>
        </w:rPr>
        <w:t xml:space="preserve">and preserved, in particular </w:t>
      </w:r>
      <w:r w:rsidR="00103708" w:rsidRPr="00B544AC">
        <w:rPr>
          <w:rFonts w:ascii="Book Antiqua" w:hAnsi="Book Antiqua"/>
          <w:lang w:val="en-US"/>
        </w:rPr>
        <w:t xml:space="preserve">the appellant was </w:t>
      </w:r>
      <w:r w:rsidR="00103708" w:rsidRPr="00B544AC">
        <w:rPr>
          <w:rFonts w:ascii="Book Antiqua" w:hAnsi="Book Antiqua"/>
          <w:lang w:val="en-US"/>
        </w:rPr>
        <w:lastRenderedPageBreak/>
        <w:t>continuously lawfully resident in the UK</w:t>
      </w:r>
      <w:r w:rsidR="00501309" w:rsidRPr="00B544AC">
        <w:rPr>
          <w:rFonts w:ascii="Book Antiqua" w:hAnsi="Book Antiqua"/>
          <w:lang w:val="en-US"/>
        </w:rPr>
        <w:t xml:space="preserve"> from the date of his arrival on 12 October 2009</w:t>
      </w:r>
      <w:r w:rsidR="005E2BB8" w:rsidRPr="005E2BB8">
        <w:rPr>
          <w:rFonts w:ascii="Book Antiqua" w:hAnsi="Book Antiqua"/>
          <w:lang w:val="en-US"/>
        </w:rPr>
        <w:t xml:space="preserve"> to 10 November 2016</w:t>
      </w:r>
      <w:r w:rsidR="003B6A3F">
        <w:rPr>
          <w:rFonts w:ascii="Book Antiqua" w:hAnsi="Book Antiqua"/>
          <w:lang w:val="en-US"/>
        </w:rPr>
        <w:t>,</w:t>
      </w:r>
      <w:r w:rsidR="005E2BB8" w:rsidRPr="005E2BB8">
        <w:rPr>
          <w:rFonts w:ascii="Book Antiqua" w:hAnsi="Book Antiqua"/>
          <w:lang w:val="en-US"/>
        </w:rPr>
        <w:t xml:space="preserve"> when he became </w:t>
      </w:r>
      <w:r w:rsidR="005E2BB8">
        <w:rPr>
          <w:rFonts w:ascii="Book Antiqua" w:hAnsi="Book Antiqua"/>
          <w:lang w:val="en-US"/>
        </w:rPr>
        <w:t>ARE</w:t>
      </w:r>
      <w:r w:rsidR="005E2BB8" w:rsidRPr="005E2BB8">
        <w:rPr>
          <w:rFonts w:ascii="Book Antiqua" w:hAnsi="Book Antiqua"/>
          <w:lang w:val="en-US"/>
        </w:rPr>
        <w:t xml:space="preserve">.  </w:t>
      </w:r>
    </w:p>
    <w:p w14:paraId="08C01746" w14:textId="77777777" w:rsidR="00CA0B19" w:rsidRDefault="00CA0B19" w:rsidP="00CA0B19">
      <w:pPr>
        <w:pStyle w:val="ListParagraph"/>
        <w:ind w:left="1280"/>
        <w:jc w:val="both"/>
        <w:rPr>
          <w:rFonts w:ascii="Book Antiqua" w:hAnsi="Book Antiqua"/>
          <w:lang w:val="en-US"/>
        </w:rPr>
      </w:pPr>
    </w:p>
    <w:p w14:paraId="2AB13064" w14:textId="3D952A3B" w:rsidR="005E2BB8" w:rsidRPr="00CA0B19" w:rsidRDefault="00CA0B19" w:rsidP="00CA0B19">
      <w:pPr>
        <w:pStyle w:val="ListParagraph"/>
        <w:numPr>
          <w:ilvl w:val="0"/>
          <w:numId w:val="1"/>
        </w:numPr>
        <w:jc w:val="both"/>
        <w:rPr>
          <w:rFonts w:ascii="Book Antiqua" w:hAnsi="Book Antiqua"/>
          <w:lang w:val="en-US"/>
        </w:rPr>
      </w:pPr>
      <w:r>
        <w:rPr>
          <w:rFonts w:ascii="Book Antiqua" w:hAnsi="Book Antiqua"/>
          <w:lang w:val="en-US"/>
        </w:rPr>
        <w:t xml:space="preserve">Although at the ‘error of law’ </w:t>
      </w:r>
      <w:r w:rsidR="00857A5B">
        <w:rPr>
          <w:rFonts w:ascii="Book Antiqua" w:hAnsi="Book Antiqua"/>
          <w:lang w:val="en-US"/>
        </w:rPr>
        <w:t>hearing</w:t>
      </w:r>
      <w:r>
        <w:rPr>
          <w:rFonts w:ascii="Book Antiqua" w:hAnsi="Book Antiqua"/>
          <w:lang w:val="en-US"/>
        </w:rPr>
        <w:t xml:space="preserve"> the appellant</w:t>
      </w:r>
      <w:r w:rsidR="00EC4299">
        <w:rPr>
          <w:rFonts w:ascii="Book Antiqua" w:hAnsi="Book Antiqua"/>
          <w:lang w:val="en-US"/>
        </w:rPr>
        <w:t>’s case was</w:t>
      </w:r>
      <w:r>
        <w:rPr>
          <w:rFonts w:ascii="Book Antiqua" w:hAnsi="Book Antiqua"/>
          <w:lang w:val="en-US"/>
        </w:rPr>
        <w:t xml:space="preserve"> that he m</w:t>
      </w:r>
      <w:r w:rsidR="005E2BB8" w:rsidRPr="005E2BB8">
        <w:rPr>
          <w:rFonts w:ascii="Book Antiqua" w:hAnsi="Book Antiqua"/>
          <w:lang w:val="en-US"/>
        </w:rPr>
        <w:t>et the 10-year requirement in 276</w:t>
      </w:r>
      <w:r w:rsidR="009C590F">
        <w:rPr>
          <w:rFonts w:ascii="Book Antiqua" w:hAnsi="Book Antiqua"/>
          <w:lang w:val="en-US"/>
        </w:rPr>
        <w:t>B</w:t>
      </w:r>
      <w:r w:rsidR="005E2BB8" w:rsidRPr="005E2BB8">
        <w:rPr>
          <w:rFonts w:ascii="Book Antiqua" w:hAnsi="Book Antiqua"/>
          <w:lang w:val="en-US"/>
        </w:rPr>
        <w:t xml:space="preserve"> of the Rules</w:t>
      </w:r>
      <w:r>
        <w:rPr>
          <w:rFonts w:ascii="Book Antiqua" w:hAnsi="Book Antiqua"/>
          <w:lang w:val="en-US"/>
        </w:rPr>
        <w:t xml:space="preserve"> and could demonstrate</w:t>
      </w:r>
      <w:r w:rsidR="005E2BB8">
        <w:rPr>
          <w:rFonts w:ascii="Book Antiqua" w:hAnsi="Book Antiqua"/>
          <w:lang w:val="en-US"/>
        </w:rPr>
        <w:t xml:space="preserve"> </w:t>
      </w:r>
      <w:r w:rsidR="005E2BB8" w:rsidRPr="005E2BB8">
        <w:rPr>
          <w:rFonts w:ascii="Book Antiqua" w:hAnsi="Book Antiqua"/>
          <w:lang w:val="en-US"/>
        </w:rPr>
        <w:t>continu</w:t>
      </w:r>
      <w:r w:rsidR="005E2BB8">
        <w:rPr>
          <w:rFonts w:ascii="Book Antiqua" w:hAnsi="Book Antiqua"/>
          <w:lang w:val="en-US"/>
        </w:rPr>
        <w:t>ous</w:t>
      </w:r>
      <w:r w:rsidR="005E2BB8" w:rsidRPr="005E2BB8">
        <w:rPr>
          <w:rFonts w:ascii="Book Antiqua" w:hAnsi="Book Antiqua"/>
          <w:lang w:val="en-US"/>
        </w:rPr>
        <w:t xml:space="preserve"> lawful residen</w:t>
      </w:r>
      <w:r>
        <w:rPr>
          <w:rFonts w:ascii="Book Antiqua" w:hAnsi="Book Antiqua"/>
          <w:lang w:val="en-US"/>
        </w:rPr>
        <w:t>ce</w:t>
      </w:r>
      <w:r w:rsidR="005E2BB8" w:rsidRPr="005E2BB8">
        <w:rPr>
          <w:rFonts w:ascii="Book Antiqua" w:hAnsi="Book Antiqua"/>
          <w:lang w:val="en-US"/>
        </w:rPr>
        <w:t xml:space="preserve"> beyond </w:t>
      </w:r>
      <w:r>
        <w:rPr>
          <w:rFonts w:ascii="Book Antiqua" w:hAnsi="Book Antiqua"/>
          <w:lang w:val="en-US"/>
        </w:rPr>
        <w:t xml:space="preserve">the ARE </w:t>
      </w:r>
      <w:r w:rsidR="005E2BB8" w:rsidRPr="005E2BB8">
        <w:rPr>
          <w:rFonts w:ascii="Book Antiqua" w:hAnsi="Book Antiqua"/>
          <w:lang w:val="en-US"/>
        </w:rPr>
        <w:t>date to October 2019</w:t>
      </w:r>
      <w:r>
        <w:rPr>
          <w:rFonts w:ascii="Book Antiqua" w:hAnsi="Book Antiqua"/>
          <w:lang w:val="en-US"/>
        </w:rPr>
        <w:t>, his position has now been further clarified by Mr Youssefian both in writing (in his skeleton argument) and before me in oral submissions</w:t>
      </w:r>
      <w:r w:rsidR="005E2BB8" w:rsidRPr="005E2BB8">
        <w:rPr>
          <w:rFonts w:ascii="Book Antiqua" w:hAnsi="Book Antiqua"/>
          <w:lang w:val="en-US"/>
        </w:rPr>
        <w:t>.</w:t>
      </w:r>
      <w:r>
        <w:rPr>
          <w:rFonts w:ascii="Book Antiqua" w:hAnsi="Book Antiqua"/>
          <w:lang w:val="en-US"/>
        </w:rPr>
        <w:t xml:space="preserve">  The appellant now accepts that as a matter of law he must be treated as an </w:t>
      </w:r>
      <w:r w:rsidR="005E2BB8" w:rsidRPr="00CA0B19">
        <w:rPr>
          <w:rFonts w:ascii="Book Antiqua" w:hAnsi="Book Antiqua"/>
          <w:lang w:val="en-US"/>
        </w:rPr>
        <w:t>overstaye</w:t>
      </w:r>
      <w:r>
        <w:rPr>
          <w:rFonts w:ascii="Book Antiqua" w:hAnsi="Book Antiqua"/>
          <w:lang w:val="en-US"/>
        </w:rPr>
        <w:t>r</w:t>
      </w:r>
      <w:r w:rsidR="005E2BB8" w:rsidRPr="00CA0B19">
        <w:rPr>
          <w:rFonts w:ascii="Book Antiqua" w:hAnsi="Book Antiqua"/>
          <w:lang w:val="en-US"/>
        </w:rPr>
        <w:t xml:space="preserve"> after he became ARE</w:t>
      </w:r>
      <w:r>
        <w:rPr>
          <w:rFonts w:ascii="Book Antiqua" w:hAnsi="Book Antiqua"/>
          <w:lang w:val="en-US"/>
        </w:rPr>
        <w:t xml:space="preserve">, because his further application for leave was made outside the </w:t>
      </w:r>
      <w:r w:rsidR="00C545A4">
        <w:rPr>
          <w:rFonts w:ascii="Book Antiqua" w:hAnsi="Book Antiqua"/>
          <w:lang w:val="en-US"/>
        </w:rPr>
        <w:t xml:space="preserve">applicable </w:t>
      </w:r>
      <w:r>
        <w:rPr>
          <w:rFonts w:ascii="Book Antiqua" w:hAnsi="Book Antiqua"/>
          <w:lang w:val="en-US"/>
        </w:rPr>
        <w:t>14-day period</w:t>
      </w:r>
      <w:r w:rsidR="008C6A7B">
        <w:rPr>
          <w:rFonts w:ascii="Book Antiqua" w:hAnsi="Book Antiqua"/>
          <w:lang w:val="en-US"/>
        </w:rPr>
        <w:t xml:space="preserve"> (in order for this period of overstaying to be disregarded)</w:t>
      </w:r>
      <w:r w:rsidR="003F1E9F">
        <w:rPr>
          <w:rFonts w:ascii="Book Antiqua" w:hAnsi="Book Antiqua"/>
          <w:lang w:val="en-US"/>
        </w:rPr>
        <w:t xml:space="preserve"> on</w:t>
      </w:r>
      <w:r w:rsidR="005E2BB8" w:rsidRPr="00CA0B19">
        <w:rPr>
          <w:rFonts w:ascii="Book Antiqua" w:hAnsi="Book Antiqua"/>
          <w:lang w:val="en-US"/>
        </w:rPr>
        <w:t xml:space="preserve"> 6 December 2016.  </w:t>
      </w:r>
      <w:r w:rsidR="003F1E9F">
        <w:rPr>
          <w:rFonts w:ascii="Book Antiqua" w:hAnsi="Book Antiqua"/>
          <w:lang w:val="en-US"/>
        </w:rPr>
        <w:t xml:space="preserve">Mr Youssefian conceded that </w:t>
      </w:r>
      <w:r w:rsidR="005E2BB8" w:rsidRPr="00CA0B19">
        <w:rPr>
          <w:rFonts w:ascii="Book Antiqua" w:hAnsi="Book Antiqua"/>
          <w:lang w:val="en-US"/>
        </w:rPr>
        <w:t>th</w:t>
      </w:r>
      <w:r w:rsidR="003F1E9F">
        <w:rPr>
          <w:rFonts w:ascii="Book Antiqua" w:hAnsi="Book Antiqua"/>
          <w:lang w:val="en-US"/>
        </w:rPr>
        <w:t>is</w:t>
      </w:r>
      <w:r w:rsidR="00C726DB" w:rsidRPr="00CA0B19">
        <w:rPr>
          <w:rFonts w:ascii="Book Antiqua" w:hAnsi="Book Antiqua"/>
          <w:lang w:val="en-US"/>
        </w:rPr>
        <w:t xml:space="preserve"> intervening </w:t>
      </w:r>
      <w:r w:rsidR="005E2BB8" w:rsidRPr="00CA0B19">
        <w:rPr>
          <w:rFonts w:ascii="Book Antiqua" w:hAnsi="Book Antiqua"/>
          <w:lang w:val="en-US"/>
        </w:rPr>
        <w:t xml:space="preserve">period </w:t>
      </w:r>
      <w:r w:rsidR="00C726DB" w:rsidRPr="00CA0B19">
        <w:rPr>
          <w:rFonts w:ascii="Book Antiqua" w:hAnsi="Book Antiqua"/>
          <w:lang w:val="en-US"/>
        </w:rPr>
        <w:t xml:space="preserve">of overstaying </w:t>
      </w:r>
      <w:r w:rsidR="003F1E9F">
        <w:rPr>
          <w:rFonts w:ascii="Book Antiqua" w:hAnsi="Book Antiqua"/>
          <w:lang w:val="en-US"/>
        </w:rPr>
        <w:t xml:space="preserve">could not </w:t>
      </w:r>
      <w:r w:rsidR="00C726DB" w:rsidRPr="00CA0B19">
        <w:rPr>
          <w:rFonts w:ascii="Book Antiqua" w:hAnsi="Book Antiqua"/>
          <w:lang w:val="en-US"/>
        </w:rPr>
        <w:t>be disregarded</w:t>
      </w:r>
      <w:r w:rsidR="003F1E9F">
        <w:rPr>
          <w:rFonts w:ascii="Book Antiqua" w:hAnsi="Book Antiqua"/>
          <w:lang w:val="en-US"/>
        </w:rPr>
        <w:t xml:space="preserve"> when </w:t>
      </w:r>
      <w:r w:rsidR="005E2BB8" w:rsidRPr="00CA0B19">
        <w:rPr>
          <w:rFonts w:ascii="Book Antiqua" w:hAnsi="Book Antiqua"/>
          <w:lang w:val="en-US"/>
        </w:rPr>
        <w:t>276</w:t>
      </w:r>
      <w:r w:rsidR="009C590F" w:rsidRPr="00CA0B19">
        <w:rPr>
          <w:rFonts w:ascii="Book Antiqua" w:hAnsi="Book Antiqua"/>
          <w:lang w:val="en-US"/>
        </w:rPr>
        <w:t>B</w:t>
      </w:r>
      <w:r w:rsidR="003F1E9F">
        <w:rPr>
          <w:rFonts w:ascii="Book Antiqua" w:hAnsi="Book Antiqua"/>
          <w:lang w:val="en-US"/>
        </w:rPr>
        <w:t xml:space="preserve"> and 34E of the Rules are properly </w:t>
      </w:r>
      <w:r w:rsidR="008C6A7B">
        <w:rPr>
          <w:rFonts w:ascii="Book Antiqua" w:hAnsi="Book Antiqua"/>
          <w:lang w:val="en-US"/>
        </w:rPr>
        <w:t>applied</w:t>
      </w:r>
      <w:r w:rsidR="005E2BB8" w:rsidRPr="00CA0B19">
        <w:rPr>
          <w:rFonts w:ascii="Book Antiqua" w:hAnsi="Book Antiqua"/>
          <w:lang w:val="en-US"/>
        </w:rPr>
        <w:t>.</w:t>
      </w:r>
      <w:r w:rsidR="003F1E9F">
        <w:rPr>
          <w:rFonts w:ascii="Book Antiqua" w:hAnsi="Book Antiqua"/>
          <w:lang w:val="en-US"/>
        </w:rPr>
        <w:t xml:space="preserve">  For reasons I set out below this concession was properly made.</w:t>
      </w:r>
    </w:p>
    <w:p w14:paraId="6A9A444B" w14:textId="77777777" w:rsidR="005E2BB8" w:rsidRPr="005E2BB8" w:rsidRDefault="005E2BB8" w:rsidP="005E2BB8">
      <w:pPr>
        <w:pStyle w:val="ListParagraph"/>
        <w:rPr>
          <w:rFonts w:ascii="Book Antiqua" w:hAnsi="Book Antiqua"/>
          <w:lang w:val="en-US"/>
        </w:rPr>
      </w:pPr>
    </w:p>
    <w:p w14:paraId="5151A5B6" w14:textId="2A0F1582" w:rsidR="003F1E9F" w:rsidRDefault="003F1E9F" w:rsidP="008B28EA">
      <w:pPr>
        <w:pStyle w:val="ListParagraph"/>
        <w:numPr>
          <w:ilvl w:val="0"/>
          <w:numId w:val="1"/>
        </w:numPr>
        <w:jc w:val="both"/>
        <w:rPr>
          <w:rFonts w:ascii="Book Antiqua" w:hAnsi="Book Antiqua"/>
          <w:lang w:val="en-US"/>
        </w:rPr>
      </w:pPr>
      <w:r>
        <w:rPr>
          <w:rFonts w:ascii="Book Antiqua" w:hAnsi="Book Antiqua"/>
          <w:lang w:val="en-US"/>
        </w:rPr>
        <w:t xml:space="preserve">Mr Youssefian nevertheless submitted that the compelling circumstances relevant to that November-December 2016 period are relevant because the appellant </w:t>
      </w:r>
      <w:r w:rsidR="00143EE8">
        <w:rPr>
          <w:rFonts w:ascii="Book Antiqua" w:hAnsi="Book Antiqua"/>
          <w:lang w:val="en-US"/>
        </w:rPr>
        <w:t xml:space="preserve">acted </w:t>
      </w:r>
      <w:r>
        <w:rPr>
          <w:rFonts w:ascii="Book Antiqua" w:hAnsi="Book Antiqua"/>
          <w:lang w:val="en-US"/>
        </w:rPr>
        <w:t>in good faith and inadvertently fell through the cracks of a complex change in the applicable legal framework.  Mr Youssefian also submitted that</w:t>
      </w:r>
      <w:r w:rsidR="008B28EA">
        <w:rPr>
          <w:rFonts w:ascii="Book Antiqua" w:hAnsi="Book Antiqua"/>
          <w:lang w:val="en-US"/>
        </w:rPr>
        <w:t xml:space="preserve"> the 6 December 20</w:t>
      </w:r>
      <w:r>
        <w:rPr>
          <w:rFonts w:ascii="Book Antiqua" w:hAnsi="Book Antiqua"/>
          <w:lang w:val="en-US"/>
        </w:rPr>
        <w:t>1</w:t>
      </w:r>
      <w:r w:rsidR="008B28EA">
        <w:rPr>
          <w:rFonts w:ascii="Book Antiqua" w:hAnsi="Book Antiqua"/>
          <w:lang w:val="en-US"/>
        </w:rPr>
        <w:t xml:space="preserve">6 application was </w:t>
      </w:r>
      <w:r>
        <w:rPr>
          <w:rFonts w:ascii="Book Antiqua" w:hAnsi="Book Antiqua"/>
          <w:lang w:val="en-US"/>
        </w:rPr>
        <w:t xml:space="preserve">not </w:t>
      </w:r>
      <w:r w:rsidR="008B28EA">
        <w:rPr>
          <w:rFonts w:ascii="Book Antiqua" w:hAnsi="Book Antiqua"/>
          <w:lang w:val="en-US"/>
        </w:rPr>
        <w:t>refused</w:t>
      </w:r>
      <w:r>
        <w:rPr>
          <w:rFonts w:ascii="Book Antiqua" w:hAnsi="Book Antiqua"/>
          <w:lang w:val="en-US"/>
        </w:rPr>
        <w:t xml:space="preserve"> until the October 2019 decision</w:t>
      </w:r>
      <w:r w:rsidR="008B28EA">
        <w:rPr>
          <w:rFonts w:ascii="Book Antiqua" w:hAnsi="Book Antiqua"/>
          <w:lang w:val="en-US"/>
        </w:rPr>
        <w:t>.</w:t>
      </w:r>
      <w:r>
        <w:rPr>
          <w:rFonts w:ascii="Book Antiqua" w:hAnsi="Book Antiqua"/>
          <w:lang w:val="en-US"/>
        </w:rPr>
        <w:t xml:space="preserve">  It was contended on behalf of the appellant that this claimed version of the third stage of his immigration history, taken together with his length of lawful residence in the UK and private life are such that his appeal should be allowed on Article 8 grounds.</w:t>
      </w:r>
    </w:p>
    <w:p w14:paraId="444F2975" w14:textId="77777777" w:rsidR="003F1E9F" w:rsidRPr="003F1E9F" w:rsidRDefault="003F1E9F" w:rsidP="003F1E9F">
      <w:pPr>
        <w:pStyle w:val="ListParagraph"/>
        <w:rPr>
          <w:rFonts w:ascii="Book Antiqua" w:hAnsi="Book Antiqua"/>
          <w:lang w:val="en-US"/>
        </w:rPr>
      </w:pPr>
    </w:p>
    <w:p w14:paraId="58761050" w14:textId="05295B9F" w:rsidR="008B28EA" w:rsidRDefault="003F1E9F" w:rsidP="008B28EA">
      <w:pPr>
        <w:pStyle w:val="ListParagraph"/>
        <w:numPr>
          <w:ilvl w:val="0"/>
          <w:numId w:val="1"/>
        </w:numPr>
        <w:jc w:val="both"/>
        <w:rPr>
          <w:rFonts w:ascii="Book Antiqua" w:hAnsi="Book Antiqua"/>
          <w:lang w:val="en-US"/>
        </w:rPr>
      </w:pPr>
      <w:r>
        <w:rPr>
          <w:rFonts w:ascii="Book Antiqua" w:hAnsi="Book Antiqua"/>
          <w:lang w:val="en-US"/>
        </w:rPr>
        <w:t>Mrs Aboni on behalf of the respondent submitted</w:t>
      </w:r>
      <w:r w:rsidR="008B28EA">
        <w:rPr>
          <w:rFonts w:ascii="Book Antiqua" w:hAnsi="Book Antiqua"/>
          <w:lang w:val="en-US"/>
        </w:rPr>
        <w:t xml:space="preserve"> that </w:t>
      </w:r>
      <w:r>
        <w:rPr>
          <w:rFonts w:ascii="Book Antiqua" w:hAnsi="Book Antiqua"/>
          <w:lang w:val="en-US"/>
        </w:rPr>
        <w:t xml:space="preserve">the 6 December 2016 application </w:t>
      </w:r>
      <w:r w:rsidR="008B28EA">
        <w:rPr>
          <w:rFonts w:ascii="Book Antiqua" w:hAnsi="Book Antiqua"/>
          <w:lang w:val="en-US"/>
        </w:rPr>
        <w:t xml:space="preserve">was refused on 29 June 2017 </w:t>
      </w:r>
      <w:r w:rsidR="00C726DB">
        <w:rPr>
          <w:rFonts w:ascii="Book Antiqua" w:hAnsi="Book Antiqua"/>
          <w:lang w:val="en-US"/>
        </w:rPr>
        <w:t xml:space="preserve">and belatedly </w:t>
      </w:r>
      <w:r>
        <w:rPr>
          <w:rFonts w:ascii="Book Antiqua" w:hAnsi="Book Antiqua"/>
          <w:lang w:val="en-US"/>
        </w:rPr>
        <w:t>lodged</w:t>
      </w:r>
      <w:r w:rsidR="00C726DB">
        <w:rPr>
          <w:rFonts w:ascii="Book Antiqua" w:hAnsi="Book Antiqua"/>
          <w:lang w:val="en-US"/>
        </w:rPr>
        <w:t xml:space="preserve"> a copy of that decision</w:t>
      </w:r>
      <w:r>
        <w:rPr>
          <w:rFonts w:ascii="Book Antiqua" w:hAnsi="Book Antiqua"/>
          <w:lang w:val="en-US"/>
        </w:rPr>
        <w:t xml:space="preserve">, the day before the </w:t>
      </w:r>
      <w:r w:rsidR="00260DB5">
        <w:rPr>
          <w:rFonts w:ascii="Book Antiqua" w:hAnsi="Book Antiqua"/>
          <w:lang w:val="en-US"/>
        </w:rPr>
        <w:t xml:space="preserve">resumed </w:t>
      </w:r>
      <w:r>
        <w:rPr>
          <w:rFonts w:ascii="Book Antiqua" w:hAnsi="Book Antiqua"/>
          <w:lang w:val="en-US"/>
        </w:rPr>
        <w:t>hearing</w:t>
      </w:r>
      <w:r w:rsidR="002A334C">
        <w:rPr>
          <w:rFonts w:ascii="Book Antiqua" w:hAnsi="Book Antiqua"/>
          <w:lang w:val="en-US"/>
        </w:rPr>
        <w:t xml:space="preserve"> before me</w:t>
      </w:r>
      <w:r w:rsidR="00C726DB">
        <w:rPr>
          <w:rFonts w:ascii="Book Antiqua" w:hAnsi="Book Antiqua"/>
          <w:lang w:val="en-US"/>
        </w:rPr>
        <w:t>.  This reject</w:t>
      </w:r>
      <w:r>
        <w:rPr>
          <w:rFonts w:ascii="Book Antiqua" w:hAnsi="Book Antiqua"/>
          <w:lang w:val="en-US"/>
        </w:rPr>
        <w:t>ed</w:t>
      </w:r>
      <w:r w:rsidR="006A4D34">
        <w:rPr>
          <w:rFonts w:ascii="Book Antiqua" w:hAnsi="Book Antiqua"/>
          <w:lang w:val="en-US"/>
        </w:rPr>
        <w:t xml:space="preserve"> the appellant’s outstanding application as invalid and returned the relevant documents.  T</w:t>
      </w:r>
      <w:r w:rsidR="008B28EA">
        <w:rPr>
          <w:rFonts w:ascii="Book Antiqua" w:hAnsi="Book Antiqua"/>
          <w:lang w:val="en-US"/>
        </w:rPr>
        <w:t>he appellant submit</w:t>
      </w:r>
      <w:r>
        <w:rPr>
          <w:rFonts w:ascii="Book Antiqua" w:hAnsi="Book Antiqua"/>
          <w:lang w:val="en-US"/>
        </w:rPr>
        <w:t>ted</w:t>
      </w:r>
      <w:r w:rsidR="008B28EA">
        <w:rPr>
          <w:rFonts w:ascii="Book Antiqua" w:hAnsi="Book Antiqua"/>
          <w:lang w:val="en-US"/>
        </w:rPr>
        <w:t xml:space="preserve"> that this was never served</w:t>
      </w:r>
      <w:r w:rsidR="006A4D34">
        <w:rPr>
          <w:rFonts w:ascii="Book Antiqua" w:hAnsi="Book Antiqua"/>
          <w:lang w:val="en-US"/>
        </w:rPr>
        <w:t xml:space="preserve"> on him or his solicitors and he varied the outstanding application of his own volition on 17 July 2017</w:t>
      </w:r>
      <w:r w:rsidR="008B28EA">
        <w:rPr>
          <w:rFonts w:ascii="Book Antiqua" w:hAnsi="Book Antiqua"/>
          <w:lang w:val="en-US"/>
        </w:rPr>
        <w:t>.</w:t>
      </w:r>
      <w:r w:rsidR="00E928BF">
        <w:rPr>
          <w:rFonts w:ascii="Book Antiqua" w:hAnsi="Book Antiqua"/>
          <w:lang w:val="en-US"/>
        </w:rPr>
        <w:t xml:space="preserve">  The respondent’s position was that the appellant’s private life is weak and there remains a strong public interest in his removal.</w:t>
      </w:r>
    </w:p>
    <w:p w14:paraId="09655E10" w14:textId="77777777" w:rsidR="008B28EA" w:rsidRPr="00E928BF" w:rsidRDefault="008B28EA" w:rsidP="00E928BF">
      <w:pPr>
        <w:rPr>
          <w:rFonts w:ascii="Book Antiqua" w:hAnsi="Book Antiqua"/>
          <w:lang w:val="en-US"/>
        </w:rPr>
      </w:pPr>
    </w:p>
    <w:p w14:paraId="3FC614D7" w14:textId="77777777" w:rsidR="00E928BF" w:rsidRDefault="008B28EA" w:rsidP="008B28EA">
      <w:pPr>
        <w:jc w:val="both"/>
        <w:rPr>
          <w:rFonts w:ascii="Book Antiqua" w:hAnsi="Book Antiqua"/>
          <w:b/>
          <w:bCs/>
          <w:lang w:val="en-US"/>
        </w:rPr>
      </w:pPr>
      <w:r w:rsidRPr="008B28EA">
        <w:rPr>
          <w:rFonts w:ascii="Book Antiqua" w:hAnsi="Book Antiqua"/>
          <w:b/>
          <w:bCs/>
          <w:lang w:val="en-US"/>
        </w:rPr>
        <w:t>Legal framework</w:t>
      </w:r>
      <w:r w:rsidR="007F496D">
        <w:rPr>
          <w:rFonts w:ascii="Book Antiqua" w:hAnsi="Book Antiqua"/>
          <w:b/>
          <w:bCs/>
          <w:lang w:val="en-US"/>
        </w:rPr>
        <w:t xml:space="preserve"> </w:t>
      </w:r>
    </w:p>
    <w:p w14:paraId="6887DDC1" w14:textId="77777777" w:rsidR="00E928BF" w:rsidRDefault="00E928BF" w:rsidP="008B28EA">
      <w:pPr>
        <w:jc w:val="both"/>
        <w:rPr>
          <w:rFonts w:ascii="Book Antiqua" w:hAnsi="Book Antiqua"/>
          <w:b/>
          <w:bCs/>
          <w:lang w:val="en-US"/>
        </w:rPr>
      </w:pPr>
    </w:p>
    <w:p w14:paraId="76F3FE08" w14:textId="27258768" w:rsidR="008B28EA" w:rsidRPr="00E928BF" w:rsidRDefault="00E928BF" w:rsidP="008B28EA">
      <w:pPr>
        <w:jc w:val="both"/>
        <w:rPr>
          <w:rFonts w:ascii="Book Antiqua" w:hAnsi="Book Antiqua"/>
          <w:i/>
          <w:iCs/>
          <w:lang w:val="en-US"/>
        </w:rPr>
      </w:pPr>
      <w:r w:rsidRPr="00E928BF">
        <w:rPr>
          <w:rFonts w:ascii="Book Antiqua" w:hAnsi="Book Antiqua"/>
          <w:i/>
          <w:iCs/>
          <w:lang w:val="en-US"/>
        </w:rPr>
        <w:t xml:space="preserve">Paragraph </w:t>
      </w:r>
      <w:r w:rsidR="007F496D" w:rsidRPr="00E928BF">
        <w:rPr>
          <w:rFonts w:ascii="Book Antiqua" w:hAnsi="Book Antiqua"/>
          <w:i/>
          <w:iCs/>
          <w:lang w:val="en-US"/>
        </w:rPr>
        <w:t>276B</w:t>
      </w:r>
      <w:r w:rsidRPr="00E928BF">
        <w:rPr>
          <w:rFonts w:ascii="Book Antiqua" w:hAnsi="Book Antiqua"/>
          <w:i/>
          <w:iCs/>
          <w:lang w:val="en-US"/>
        </w:rPr>
        <w:t xml:space="preserve"> of the Rules</w:t>
      </w:r>
    </w:p>
    <w:p w14:paraId="3DA70C95" w14:textId="09B70D57" w:rsidR="008B28EA" w:rsidRPr="007F496D" w:rsidRDefault="001C706D" w:rsidP="007F496D">
      <w:pPr>
        <w:jc w:val="both"/>
        <w:rPr>
          <w:rFonts w:ascii="Book Antiqua" w:hAnsi="Book Antiqua"/>
          <w:lang w:val="en-US"/>
        </w:rPr>
      </w:pPr>
      <w:r w:rsidRPr="007F496D">
        <w:rPr>
          <w:rFonts w:ascii="Book Antiqua" w:hAnsi="Book Antiqua"/>
          <w:lang w:val="en-US"/>
        </w:rPr>
        <w:t xml:space="preserve"> </w:t>
      </w:r>
    </w:p>
    <w:p w14:paraId="688847D9" w14:textId="4129E711" w:rsidR="007F496D" w:rsidRPr="007F496D" w:rsidRDefault="006A4D34" w:rsidP="007F496D">
      <w:pPr>
        <w:pStyle w:val="ListParagraph"/>
        <w:numPr>
          <w:ilvl w:val="0"/>
          <w:numId w:val="1"/>
        </w:numPr>
        <w:jc w:val="both"/>
        <w:rPr>
          <w:rFonts w:ascii="Book Antiqua" w:hAnsi="Book Antiqua"/>
        </w:rPr>
      </w:pPr>
      <w:bookmarkStart w:id="0" w:name="para7"/>
      <w:r>
        <w:rPr>
          <w:rFonts w:ascii="Book Antiqua" w:hAnsi="Book Antiqua"/>
        </w:rPr>
        <w:t xml:space="preserve">Before considering the parties respective positions and evidence relied upon in further detail, it is convenient at this stage to summarise the legal framework relevant to 276B.  </w:t>
      </w:r>
      <w:r w:rsidR="007F496D" w:rsidRPr="007F496D">
        <w:rPr>
          <w:rFonts w:ascii="Book Antiqua" w:hAnsi="Book Antiqua"/>
        </w:rPr>
        <w:t xml:space="preserve">Paragraphs 276A-276D of the Rules </w:t>
      </w:r>
      <w:r w:rsidR="007F496D">
        <w:rPr>
          <w:rFonts w:ascii="Book Antiqua" w:hAnsi="Book Antiqua"/>
        </w:rPr>
        <w:t xml:space="preserve">have recently been the subject of detailed analysis by the Court of Appeal in </w:t>
      </w:r>
      <w:r w:rsidR="007F496D" w:rsidRPr="007F496D">
        <w:rPr>
          <w:rFonts w:ascii="Book Antiqua" w:hAnsi="Book Antiqua"/>
          <w:u w:val="single"/>
        </w:rPr>
        <w:t>Hoque v SSHD</w:t>
      </w:r>
      <w:r w:rsidR="007F496D">
        <w:rPr>
          <w:rFonts w:ascii="Book Antiqua" w:hAnsi="Book Antiqua"/>
        </w:rPr>
        <w:t xml:space="preserve"> [2020] EWCA Civ 1357.  Underhill LJ set out the Rules relevant to paragraph 276B in detail at [7] to [15].</w:t>
      </w:r>
      <w:r w:rsidR="007F496D" w:rsidRPr="007F496D">
        <w:rPr>
          <w:rFonts w:ascii="Book Antiqua" w:hAnsi="Book Antiqua"/>
        </w:rPr>
        <w:t xml:space="preserve"> </w:t>
      </w:r>
      <w:bookmarkStart w:id="1" w:name="para8"/>
      <w:bookmarkEnd w:id="0"/>
    </w:p>
    <w:p w14:paraId="6341EC24" w14:textId="77777777" w:rsidR="007F496D" w:rsidRDefault="007F496D" w:rsidP="007F496D">
      <w:pPr>
        <w:pStyle w:val="ListParagraph"/>
        <w:ind w:left="2160"/>
        <w:jc w:val="both"/>
        <w:rPr>
          <w:rFonts w:ascii="Book Antiqua" w:hAnsi="Book Antiqua"/>
        </w:rPr>
      </w:pPr>
    </w:p>
    <w:p w14:paraId="45744FEC" w14:textId="2049493B" w:rsidR="007F496D" w:rsidRPr="007F496D" w:rsidRDefault="007F496D" w:rsidP="007F496D">
      <w:pPr>
        <w:pStyle w:val="ListParagraph"/>
        <w:numPr>
          <w:ilvl w:val="0"/>
          <w:numId w:val="1"/>
        </w:numPr>
        <w:jc w:val="both"/>
        <w:rPr>
          <w:rFonts w:ascii="Book Antiqua" w:hAnsi="Book Antiqua"/>
        </w:rPr>
      </w:pPr>
      <w:r w:rsidRPr="007F496D">
        <w:rPr>
          <w:rFonts w:ascii="Book Antiqua" w:hAnsi="Book Antiqua"/>
        </w:rPr>
        <w:t xml:space="preserve">Paragraph 276B provides (so far as material): </w:t>
      </w:r>
      <w:bookmarkEnd w:id="1"/>
    </w:p>
    <w:p w14:paraId="12BFAEDC" w14:textId="77777777" w:rsidR="007F496D" w:rsidRDefault="007F496D" w:rsidP="007F496D">
      <w:pPr>
        <w:pStyle w:val="ListParagraph"/>
        <w:ind w:left="1280"/>
        <w:jc w:val="both"/>
        <w:rPr>
          <w:rFonts w:ascii="Book Antiqua" w:hAnsi="Book Antiqua"/>
        </w:rPr>
      </w:pPr>
    </w:p>
    <w:p w14:paraId="1A2AEE06" w14:textId="6552CC8C" w:rsidR="007F496D" w:rsidRPr="006A4D34" w:rsidRDefault="006A4D34" w:rsidP="007F496D">
      <w:pPr>
        <w:pStyle w:val="ListParagraph"/>
        <w:ind w:left="2160"/>
        <w:jc w:val="both"/>
        <w:rPr>
          <w:rFonts w:ascii="Book Antiqua" w:hAnsi="Book Antiqua"/>
          <w:sz w:val="22"/>
          <w:szCs w:val="22"/>
        </w:rPr>
      </w:pPr>
      <w:r w:rsidRPr="006A4D34">
        <w:rPr>
          <w:rFonts w:ascii="Book Antiqua" w:hAnsi="Book Antiqua"/>
          <w:sz w:val="22"/>
          <w:szCs w:val="22"/>
        </w:rPr>
        <w:lastRenderedPageBreak/>
        <w:t>“</w:t>
      </w:r>
      <w:r w:rsidR="007F496D" w:rsidRPr="006A4D34">
        <w:rPr>
          <w:rFonts w:ascii="Book Antiqua" w:hAnsi="Book Antiqua"/>
          <w:sz w:val="22"/>
          <w:szCs w:val="22"/>
        </w:rPr>
        <w:t>The requirements to be met by an applicant for indefinite leave to remain on the ground of long residence in the United Kingdom are that:</w:t>
      </w:r>
    </w:p>
    <w:p w14:paraId="7BFA151F" w14:textId="5EA3E25F" w:rsidR="007F496D" w:rsidRPr="006A4D34" w:rsidRDefault="007F496D" w:rsidP="007F496D">
      <w:pPr>
        <w:pStyle w:val="ListParagraph"/>
        <w:ind w:left="2160"/>
        <w:jc w:val="both"/>
        <w:rPr>
          <w:rFonts w:ascii="Book Antiqua" w:hAnsi="Book Antiqua"/>
          <w:sz w:val="22"/>
          <w:szCs w:val="22"/>
        </w:rPr>
      </w:pPr>
      <w:r w:rsidRPr="006A4D34">
        <w:rPr>
          <w:rFonts w:ascii="Book Antiqua" w:hAnsi="Book Antiqua"/>
          <w:sz w:val="22"/>
          <w:szCs w:val="22"/>
        </w:rPr>
        <w:t>(i) (a)</w:t>
      </w:r>
      <w:bookmarkStart w:id="2" w:name="back1"/>
      <w:bookmarkEnd w:id="2"/>
      <w:r w:rsidRPr="006A4D34">
        <w:rPr>
          <w:rFonts w:ascii="Book Antiqua" w:hAnsi="Book Antiqua"/>
          <w:sz w:val="22"/>
          <w:szCs w:val="22"/>
        </w:rPr>
        <w:t xml:space="preserve"> he has had at least 10 years continuous lawful residence in the United Kingdom.</w:t>
      </w:r>
    </w:p>
    <w:p w14:paraId="44094843" w14:textId="77777777" w:rsidR="007F496D" w:rsidRPr="006A4D34" w:rsidRDefault="007F496D" w:rsidP="007F496D">
      <w:pPr>
        <w:pStyle w:val="ListParagraph"/>
        <w:ind w:left="2160"/>
        <w:jc w:val="both"/>
        <w:rPr>
          <w:rFonts w:ascii="Book Antiqua" w:hAnsi="Book Antiqua"/>
          <w:sz w:val="22"/>
          <w:szCs w:val="22"/>
        </w:rPr>
      </w:pPr>
      <w:r w:rsidRPr="006A4D34">
        <w:rPr>
          <w:rFonts w:ascii="Book Antiqua" w:hAnsi="Book Antiqua"/>
          <w:sz w:val="22"/>
          <w:szCs w:val="22"/>
        </w:rPr>
        <w:t>(ii) having regard to the public interest there are no reasons why it would be undesirable for him to be given indefinite leave to remain on the ground of long residence, … and</w:t>
      </w:r>
    </w:p>
    <w:p w14:paraId="2C7740F2" w14:textId="77777777" w:rsidR="007F496D" w:rsidRPr="006A4D34" w:rsidRDefault="007F496D" w:rsidP="007F496D">
      <w:pPr>
        <w:pStyle w:val="ListParagraph"/>
        <w:ind w:left="2160"/>
        <w:jc w:val="both"/>
        <w:rPr>
          <w:rFonts w:ascii="Book Antiqua" w:hAnsi="Book Antiqua"/>
          <w:sz w:val="22"/>
          <w:szCs w:val="22"/>
        </w:rPr>
      </w:pPr>
      <w:r w:rsidRPr="006A4D34">
        <w:rPr>
          <w:rFonts w:ascii="Book Antiqua" w:hAnsi="Book Antiqua"/>
          <w:sz w:val="22"/>
          <w:szCs w:val="22"/>
        </w:rPr>
        <w:t>(iii) the applicant does not fall for refusal under the general grounds for refusal.</w:t>
      </w:r>
    </w:p>
    <w:p w14:paraId="5688888E" w14:textId="0EF28A93" w:rsidR="007F496D" w:rsidRPr="006A4D34" w:rsidRDefault="007F496D" w:rsidP="007F496D">
      <w:pPr>
        <w:pStyle w:val="ListParagraph"/>
        <w:ind w:left="2160"/>
        <w:jc w:val="both"/>
        <w:rPr>
          <w:rFonts w:ascii="Book Antiqua" w:hAnsi="Book Antiqua"/>
          <w:sz w:val="22"/>
          <w:szCs w:val="22"/>
        </w:rPr>
      </w:pPr>
      <w:r w:rsidRPr="006A4D34">
        <w:rPr>
          <w:rFonts w:ascii="Book Antiqua" w:hAnsi="Book Antiqua"/>
          <w:sz w:val="22"/>
          <w:szCs w:val="22"/>
        </w:rPr>
        <w:t>(iv) the applicant has demonstrated sufficient knowledge of the English language and sufficient knowledge about life in the United Kingdom…</w:t>
      </w:r>
    </w:p>
    <w:p w14:paraId="4EEB82AE" w14:textId="77777777" w:rsidR="007F496D" w:rsidRPr="006A4D34" w:rsidRDefault="007F496D" w:rsidP="007F496D">
      <w:pPr>
        <w:pStyle w:val="ListParagraph"/>
        <w:ind w:left="2160"/>
        <w:jc w:val="both"/>
        <w:rPr>
          <w:rFonts w:ascii="Book Antiqua" w:hAnsi="Book Antiqua"/>
          <w:sz w:val="22"/>
          <w:szCs w:val="22"/>
        </w:rPr>
      </w:pPr>
      <w:r w:rsidRPr="006A4D34">
        <w:rPr>
          <w:rFonts w:ascii="Book Antiqua" w:hAnsi="Book Antiqua"/>
          <w:sz w:val="22"/>
          <w:szCs w:val="22"/>
        </w:rPr>
        <w:t>(v) [A] the applicant must not be in the UK in breach of immigration laws, [B] except that, where paragraph 39E of these Rules applies, any current period of overstaying will be disregarded. [C] Any previous period of overstaying between periods of leave will also be disregarded where –</w:t>
      </w:r>
    </w:p>
    <w:p w14:paraId="3C0137E9" w14:textId="77777777" w:rsidR="007F496D" w:rsidRPr="006A4D34" w:rsidRDefault="007F496D" w:rsidP="007F496D">
      <w:pPr>
        <w:pStyle w:val="ListParagraph"/>
        <w:ind w:left="2160"/>
        <w:jc w:val="both"/>
        <w:rPr>
          <w:rFonts w:ascii="Book Antiqua" w:hAnsi="Book Antiqua"/>
          <w:sz w:val="22"/>
          <w:szCs w:val="22"/>
        </w:rPr>
      </w:pPr>
      <w:r w:rsidRPr="006A4D34">
        <w:rPr>
          <w:rFonts w:ascii="Book Antiqua" w:hAnsi="Book Antiqua"/>
          <w:sz w:val="22"/>
          <w:szCs w:val="22"/>
        </w:rPr>
        <w:t>(a) the previous application was made before 24 November 2016 and within 28 days of the expiry of leave; or</w:t>
      </w:r>
    </w:p>
    <w:p w14:paraId="15CAB24D" w14:textId="3BA1BF88" w:rsidR="007F496D" w:rsidRDefault="007F496D" w:rsidP="007F496D">
      <w:pPr>
        <w:pStyle w:val="ListParagraph"/>
        <w:ind w:left="2160"/>
        <w:jc w:val="both"/>
        <w:rPr>
          <w:rFonts w:ascii="Book Antiqua" w:hAnsi="Book Antiqua"/>
        </w:rPr>
      </w:pPr>
      <w:r w:rsidRPr="006A4D34">
        <w:rPr>
          <w:rFonts w:ascii="Book Antiqua" w:hAnsi="Book Antiqua"/>
          <w:sz w:val="22"/>
          <w:szCs w:val="22"/>
        </w:rPr>
        <w:t>(b) the further application was made on or after 24 November 2016 and paragraph 39E of these Rules applied.</w:t>
      </w:r>
      <w:r w:rsidR="006A4D34">
        <w:rPr>
          <w:rFonts w:ascii="Book Antiqua" w:hAnsi="Book Antiqua"/>
          <w:sz w:val="22"/>
          <w:szCs w:val="22"/>
        </w:rPr>
        <w:t>”</w:t>
      </w:r>
    </w:p>
    <w:p w14:paraId="2756E101" w14:textId="77777777" w:rsidR="007F496D" w:rsidRPr="007F496D" w:rsidRDefault="007F496D" w:rsidP="007F496D">
      <w:pPr>
        <w:pStyle w:val="ListParagraph"/>
        <w:ind w:left="2160"/>
        <w:jc w:val="both"/>
        <w:rPr>
          <w:rFonts w:ascii="Book Antiqua" w:hAnsi="Book Antiqua"/>
        </w:rPr>
      </w:pPr>
    </w:p>
    <w:p w14:paraId="1430D8C8" w14:textId="50F668BB" w:rsidR="006C230D" w:rsidRDefault="006B023B" w:rsidP="007F496D">
      <w:pPr>
        <w:pStyle w:val="ListParagraph"/>
        <w:numPr>
          <w:ilvl w:val="0"/>
          <w:numId w:val="1"/>
        </w:numPr>
        <w:jc w:val="both"/>
        <w:rPr>
          <w:rFonts w:ascii="Book Antiqua" w:hAnsi="Book Antiqua"/>
        </w:rPr>
      </w:pPr>
      <w:bookmarkStart w:id="3" w:name="para9"/>
      <w:r>
        <w:rPr>
          <w:rFonts w:ascii="Book Antiqua" w:hAnsi="Book Antiqua"/>
        </w:rPr>
        <w:t>As Underhill LJ noted</w:t>
      </w:r>
      <w:r w:rsidR="00F767A6">
        <w:rPr>
          <w:rFonts w:ascii="Book Antiqua" w:hAnsi="Book Antiqua"/>
        </w:rPr>
        <w:t>,</w:t>
      </w:r>
      <w:r>
        <w:rPr>
          <w:rFonts w:ascii="Book Antiqua" w:hAnsi="Book Antiqua"/>
        </w:rPr>
        <w:t xml:space="preserve"> 276</w:t>
      </w:r>
      <w:r w:rsidR="009F6C74">
        <w:rPr>
          <w:rFonts w:ascii="Book Antiqua" w:hAnsi="Book Antiqua"/>
        </w:rPr>
        <w:t>B</w:t>
      </w:r>
      <w:r>
        <w:rPr>
          <w:rFonts w:ascii="Book Antiqua" w:hAnsi="Book Antiqua"/>
        </w:rPr>
        <w:t xml:space="preserve">(v) </w:t>
      </w:r>
      <w:r w:rsidR="007F496D" w:rsidRPr="007F496D">
        <w:rPr>
          <w:rFonts w:ascii="Book Antiqua" w:hAnsi="Book Antiqua"/>
        </w:rPr>
        <w:t xml:space="preserve">consists of the primary </w:t>
      </w:r>
      <w:r w:rsidR="00EA4EBA">
        <w:rPr>
          <w:rFonts w:ascii="Book Antiqua" w:hAnsi="Book Antiqua"/>
        </w:rPr>
        <w:t>“</w:t>
      </w:r>
      <w:r w:rsidR="007F496D" w:rsidRPr="007F496D">
        <w:rPr>
          <w:rFonts w:ascii="Book Antiqua" w:hAnsi="Book Antiqua"/>
        </w:rPr>
        <w:t>requirement</w:t>
      </w:r>
      <w:r w:rsidR="00EA4EBA">
        <w:rPr>
          <w:rFonts w:ascii="Book Antiqua" w:hAnsi="Book Antiqua"/>
        </w:rPr>
        <w:t>”</w:t>
      </w:r>
      <w:r w:rsidR="007F496D" w:rsidRPr="007F496D">
        <w:rPr>
          <w:rFonts w:ascii="Book Antiqua" w:hAnsi="Book Antiqua"/>
        </w:rPr>
        <w:t xml:space="preserve"> ([A]), followed by provision for two circumstances in which periods of overstaying may be </w:t>
      </w:r>
      <w:r w:rsidR="00EA4EBA">
        <w:rPr>
          <w:rFonts w:ascii="Book Antiqua" w:hAnsi="Book Antiqua"/>
        </w:rPr>
        <w:t>“</w:t>
      </w:r>
      <w:r w:rsidR="007F496D" w:rsidRPr="007F496D">
        <w:rPr>
          <w:rFonts w:ascii="Book Antiqua" w:hAnsi="Book Antiqua"/>
        </w:rPr>
        <w:t>disregarded</w:t>
      </w:r>
      <w:r w:rsidR="00EA4EBA">
        <w:rPr>
          <w:rFonts w:ascii="Book Antiqua" w:hAnsi="Book Antiqua"/>
        </w:rPr>
        <w:t>”</w:t>
      </w:r>
      <w:r w:rsidR="007F496D" w:rsidRPr="007F496D">
        <w:rPr>
          <w:rFonts w:ascii="Book Antiqua" w:hAnsi="Book Antiqua"/>
        </w:rPr>
        <w:t xml:space="preserve"> ([B] and [C]), the first of which relates to </w:t>
      </w:r>
      <w:r w:rsidR="00EA4EBA">
        <w:rPr>
          <w:rFonts w:ascii="Book Antiqua" w:hAnsi="Book Antiqua"/>
        </w:rPr>
        <w:t>“</w:t>
      </w:r>
      <w:r w:rsidR="007F496D" w:rsidRPr="007F496D">
        <w:rPr>
          <w:rFonts w:ascii="Book Antiqua" w:hAnsi="Book Antiqua"/>
          <w:i/>
          <w:iCs/>
        </w:rPr>
        <w:t>current</w:t>
      </w:r>
      <w:r w:rsidR="007F496D" w:rsidRPr="007F496D">
        <w:rPr>
          <w:rFonts w:ascii="Book Antiqua" w:hAnsi="Book Antiqua"/>
        </w:rPr>
        <w:t xml:space="preserve"> … overstaying</w:t>
      </w:r>
      <w:r w:rsidR="00EA4EBA">
        <w:rPr>
          <w:rFonts w:ascii="Book Antiqua" w:hAnsi="Book Antiqua"/>
        </w:rPr>
        <w:t>”</w:t>
      </w:r>
      <w:r w:rsidR="007F496D" w:rsidRPr="007F496D">
        <w:rPr>
          <w:rFonts w:ascii="Book Antiqua" w:hAnsi="Book Antiqua"/>
        </w:rPr>
        <w:t xml:space="preserve"> and the second to </w:t>
      </w:r>
      <w:r w:rsidR="00EA4EBA">
        <w:rPr>
          <w:rFonts w:ascii="Book Antiqua" w:hAnsi="Book Antiqua"/>
        </w:rPr>
        <w:t>“</w:t>
      </w:r>
      <w:r w:rsidR="007F496D" w:rsidRPr="007F496D">
        <w:rPr>
          <w:rFonts w:ascii="Book Antiqua" w:hAnsi="Book Antiqua"/>
          <w:i/>
          <w:iCs/>
        </w:rPr>
        <w:t>previous</w:t>
      </w:r>
      <w:r w:rsidR="007F496D" w:rsidRPr="007F496D">
        <w:rPr>
          <w:rFonts w:ascii="Book Antiqua" w:hAnsi="Book Antiqua"/>
        </w:rPr>
        <w:t xml:space="preserve"> … overstaying </w:t>
      </w:r>
      <w:r w:rsidR="007F496D" w:rsidRPr="007F496D">
        <w:rPr>
          <w:rFonts w:ascii="Book Antiqua" w:hAnsi="Book Antiqua"/>
          <w:i/>
          <w:iCs/>
        </w:rPr>
        <w:t>between periods of leave</w:t>
      </w:r>
      <w:r w:rsidR="00EA4EBA">
        <w:rPr>
          <w:rFonts w:ascii="Book Antiqua" w:hAnsi="Book Antiqua"/>
        </w:rPr>
        <w:t>”</w:t>
      </w:r>
      <w:r w:rsidR="007F496D" w:rsidRPr="007F496D">
        <w:rPr>
          <w:rFonts w:ascii="Book Antiqua" w:hAnsi="Book Antiqua"/>
        </w:rPr>
        <w:t>.</w:t>
      </w:r>
      <w:r w:rsidR="00C549D8">
        <w:rPr>
          <w:rFonts w:ascii="Book Antiqua" w:hAnsi="Book Antiqua"/>
        </w:rPr>
        <w:t xml:space="preserve">  </w:t>
      </w:r>
    </w:p>
    <w:bookmarkEnd w:id="3"/>
    <w:p w14:paraId="55C082DC" w14:textId="4A399DFA" w:rsidR="007F496D" w:rsidRPr="00CC61D5" w:rsidRDefault="007F496D" w:rsidP="00CC61D5">
      <w:pPr>
        <w:jc w:val="both"/>
        <w:rPr>
          <w:rFonts w:ascii="Book Antiqua" w:hAnsi="Book Antiqua"/>
        </w:rPr>
      </w:pPr>
    </w:p>
    <w:p w14:paraId="5569144D" w14:textId="0FB6C47C" w:rsidR="007F496D" w:rsidRPr="007F496D" w:rsidRDefault="007F496D" w:rsidP="007F496D">
      <w:pPr>
        <w:pStyle w:val="ListParagraph"/>
        <w:numPr>
          <w:ilvl w:val="0"/>
          <w:numId w:val="1"/>
        </w:numPr>
        <w:jc w:val="both"/>
        <w:rPr>
          <w:rFonts w:ascii="Book Antiqua" w:hAnsi="Book Antiqua"/>
        </w:rPr>
      </w:pPr>
      <w:bookmarkStart w:id="4" w:name="para14"/>
      <w:r w:rsidRPr="007F496D">
        <w:rPr>
          <w:rFonts w:ascii="Book Antiqua" w:hAnsi="Book Antiqua"/>
        </w:rPr>
        <w:t xml:space="preserve">Paragraph 39E </w:t>
      </w:r>
      <w:bookmarkEnd w:id="4"/>
      <w:r w:rsidRPr="007F496D">
        <w:rPr>
          <w:rFonts w:ascii="Book Antiqua" w:hAnsi="Book Antiqua"/>
        </w:rPr>
        <w:t xml:space="preserve">reads: </w:t>
      </w:r>
    </w:p>
    <w:p w14:paraId="1D253E0D" w14:textId="77777777" w:rsidR="006E5470" w:rsidRDefault="006E5470" w:rsidP="006E5470">
      <w:pPr>
        <w:pStyle w:val="ListParagraph"/>
        <w:ind w:left="1280"/>
        <w:jc w:val="both"/>
        <w:rPr>
          <w:rFonts w:ascii="Book Antiqua" w:hAnsi="Book Antiqua"/>
        </w:rPr>
      </w:pPr>
    </w:p>
    <w:p w14:paraId="3B3CBAC5" w14:textId="2A4501E4" w:rsidR="007F496D" w:rsidRPr="006A4D34" w:rsidRDefault="006A4D34" w:rsidP="006E5470">
      <w:pPr>
        <w:pStyle w:val="ListParagraph"/>
        <w:ind w:left="2000" w:firstLine="160"/>
        <w:jc w:val="both"/>
        <w:rPr>
          <w:rFonts w:ascii="Book Antiqua" w:hAnsi="Book Antiqua"/>
          <w:sz w:val="22"/>
          <w:szCs w:val="22"/>
        </w:rPr>
      </w:pPr>
      <w:r w:rsidRPr="006A4D34">
        <w:rPr>
          <w:rFonts w:ascii="Book Antiqua" w:hAnsi="Book Antiqua"/>
          <w:sz w:val="22"/>
          <w:szCs w:val="22"/>
        </w:rPr>
        <w:t>“</w:t>
      </w:r>
      <w:r w:rsidR="007F496D" w:rsidRPr="006A4D34">
        <w:rPr>
          <w:rFonts w:ascii="Book Antiqua" w:hAnsi="Book Antiqua"/>
          <w:sz w:val="22"/>
          <w:szCs w:val="22"/>
        </w:rPr>
        <w:t>This paragraph applies where:</w:t>
      </w:r>
    </w:p>
    <w:p w14:paraId="23D5E784" w14:textId="77777777" w:rsidR="007F496D" w:rsidRPr="006A4D34" w:rsidRDefault="007F496D" w:rsidP="006E5470">
      <w:pPr>
        <w:pStyle w:val="ListParagraph"/>
        <w:ind w:left="2160"/>
        <w:jc w:val="both"/>
        <w:rPr>
          <w:rFonts w:ascii="Book Antiqua" w:hAnsi="Book Antiqua"/>
          <w:sz w:val="22"/>
          <w:szCs w:val="22"/>
        </w:rPr>
      </w:pPr>
      <w:r w:rsidRPr="006A4D34">
        <w:rPr>
          <w:rFonts w:ascii="Book Antiqua" w:hAnsi="Book Antiqua"/>
          <w:sz w:val="22"/>
          <w:szCs w:val="22"/>
        </w:rPr>
        <w:t>(1) the application was made within 14 days of the applicant's leave expiring and the Secretary of State considers that there was a good reason beyond the control of the applicant or their representative, provided in or with the application, why the application could not be made in-time; or</w:t>
      </w:r>
    </w:p>
    <w:p w14:paraId="601F8586" w14:textId="77777777" w:rsidR="007F496D" w:rsidRPr="006A4D34" w:rsidRDefault="007F496D" w:rsidP="006E5470">
      <w:pPr>
        <w:pStyle w:val="ListParagraph"/>
        <w:ind w:left="2000" w:firstLine="160"/>
        <w:jc w:val="both"/>
        <w:rPr>
          <w:rFonts w:ascii="Book Antiqua" w:hAnsi="Book Antiqua"/>
          <w:sz w:val="22"/>
          <w:szCs w:val="22"/>
        </w:rPr>
      </w:pPr>
      <w:r w:rsidRPr="006A4D34">
        <w:rPr>
          <w:rFonts w:ascii="Book Antiqua" w:hAnsi="Book Antiqua"/>
          <w:sz w:val="22"/>
          <w:szCs w:val="22"/>
        </w:rPr>
        <w:t>(2) the application was made:</w:t>
      </w:r>
    </w:p>
    <w:p w14:paraId="345245F7" w14:textId="77777777" w:rsidR="007F496D" w:rsidRPr="006A4D34" w:rsidRDefault="007F496D" w:rsidP="006E5470">
      <w:pPr>
        <w:pStyle w:val="ListParagraph"/>
        <w:ind w:left="2160"/>
        <w:jc w:val="both"/>
        <w:rPr>
          <w:rFonts w:ascii="Book Antiqua" w:hAnsi="Book Antiqua"/>
          <w:sz w:val="22"/>
          <w:szCs w:val="22"/>
        </w:rPr>
      </w:pPr>
      <w:r w:rsidRPr="006A4D34">
        <w:rPr>
          <w:rFonts w:ascii="Book Antiqua" w:hAnsi="Book Antiqua"/>
          <w:sz w:val="22"/>
          <w:szCs w:val="22"/>
        </w:rPr>
        <w:t>(a) following the refusal of a previous application for leave which was made in-time; and</w:t>
      </w:r>
    </w:p>
    <w:p w14:paraId="5352D7DE" w14:textId="7E37B299" w:rsidR="00A70B6D" w:rsidRPr="007F496D" w:rsidRDefault="007F496D" w:rsidP="00A70B6D">
      <w:pPr>
        <w:pStyle w:val="ListParagraph"/>
        <w:ind w:left="2160"/>
        <w:jc w:val="both"/>
        <w:rPr>
          <w:rFonts w:ascii="Book Antiqua" w:hAnsi="Book Antiqua"/>
        </w:rPr>
      </w:pPr>
      <w:r w:rsidRPr="006A4D34">
        <w:rPr>
          <w:rFonts w:ascii="Book Antiqua" w:hAnsi="Book Antiqua"/>
          <w:sz w:val="22"/>
          <w:szCs w:val="22"/>
        </w:rPr>
        <w:t>(b) within 14 days of</w:t>
      </w:r>
      <w:r w:rsidR="00DB6615" w:rsidRPr="006A4D34">
        <w:rPr>
          <w:rFonts w:ascii="Book Antiqua" w:hAnsi="Book Antiqua"/>
          <w:sz w:val="22"/>
          <w:szCs w:val="22"/>
        </w:rPr>
        <w:t>…</w:t>
      </w:r>
      <w:r w:rsidR="00A70B6D" w:rsidRPr="006A4D34">
        <w:rPr>
          <w:rFonts w:ascii="Book Antiqua" w:hAnsi="Book Antiqua"/>
          <w:sz w:val="22"/>
          <w:szCs w:val="22"/>
        </w:rPr>
        <w:t>”</w:t>
      </w:r>
    </w:p>
    <w:p w14:paraId="77E6E916" w14:textId="0EB25EC0" w:rsidR="007F496D" w:rsidRPr="007F496D" w:rsidRDefault="007F496D" w:rsidP="00A70B6D">
      <w:pPr>
        <w:pStyle w:val="ListParagraph"/>
        <w:ind w:left="1280"/>
        <w:jc w:val="both"/>
        <w:rPr>
          <w:rFonts w:ascii="Book Antiqua" w:hAnsi="Book Antiqua"/>
        </w:rPr>
      </w:pPr>
    </w:p>
    <w:p w14:paraId="53FA7117" w14:textId="7AB091BA" w:rsidR="008B28EA" w:rsidRDefault="00A70B6D" w:rsidP="00B1510A">
      <w:pPr>
        <w:pStyle w:val="ListParagraph"/>
        <w:numPr>
          <w:ilvl w:val="0"/>
          <w:numId w:val="1"/>
        </w:numPr>
        <w:jc w:val="both"/>
        <w:rPr>
          <w:rFonts w:ascii="Book Antiqua" w:hAnsi="Book Antiqua"/>
        </w:rPr>
      </w:pPr>
      <w:bookmarkStart w:id="5" w:name="para15"/>
      <w:r>
        <w:rPr>
          <w:rFonts w:ascii="Book Antiqua" w:hAnsi="Book Antiqua"/>
        </w:rPr>
        <w:t>P</w:t>
      </w:r>
      <w:r w:rsidR="007F496D" w:rsidRPr="007F496D">
        <w:rPr>
          <w:rFonts w:ascii="Book Antiqua" w:hAnsi="Book Antiqua"/>
        </w:rPr>
        <w:t>aragraph 39E therefore define</w:t>
      </w:r>
      <w:r>
        <w:rPr>
          <w:rFonts w:ascii="Book Antiqua" w:hAnsi="Book Antiqua"/>
        </w:rPr>
        <w:t>s the</w:t>
      </w:r>
      <w:r w:rsidR="007F496D" w:rsidRPr="007F496D">
        <w:rPr>
          <w:rFonts w:ascii="Book Antiqua" w:hAnsi="Book Antiqua"/>
        </w:rPr>
        <w:t xml:space="preserve"> circumstances in which the fact that an applicant for further leave to remain is an overstayer</w:t>
      </w:r>
      <w:r w:rsidR="006378E5">
        <w:rPr>
          <w:rFonts w:ascii="Book Antiqua" w:hAnsi="Book Antiqua"/>
        </w:rPr>
        <w:t>,</w:t>
      </w:r>
      <w:r w:rsidR="007F496D" w:rsidRPr="007F496D">
        <w:rPr>
          <w:rFonts w:ascii="Book Antiqua" w:hAnsi="Book Antiqua"/>
        </w:rPr>
        <w:t xml:space="preserve"> may be disregarded. </w:t>
      </w:r>
      <w:bookmarkEnd w:id="5"/>
    </w:p>
    <w:p w14:paraId="4AEF9B68" w14:textId="77777777" w:rsidR="00E928BF" w:rsidRDefault="00E928BF" w:rsidP="00E928BF">
      <w:pPr>
        <w:ind w:left="720"/>
        <w:jc w:val="both"/>
        <w:rPr>
          <w:rFonts w:ascii="Book Antiqua" w:hAnsi="Book Antiqua"/>
          <w:i/>
          <w:iCs/>
          <w:lang w:val="en-US"/>
        </w:rPr>
      </w:pPr>
    </w:p>
    <w:p w14:paraId="52332E12" w14:textId="2BFE0416" w:rsidR="00E928BF" w:rsidRPr="00E928BF" w:rsidRDefault="00E928BF" w:rsidP="00E928BF">
      <w:pPr>
        <w:ind w:left="360"/>
        <w:jc w:val="both"/>
        <w:rPr>
          <w:rFonts w:ascii="Book Antiqua" w:hAnsi="Book Antiqua"/>
          <w:i/>
          <w:iCs/>
          <w:lang w:val="en-US"/>
        </w:rPr>
      </w:pPr>
      <w:r w:rsidRPr="00E928BF">
        <w:rPr>
          <w:rFonts w:ascii="Book Antiqua" w:hAnsi="Book Antiqua"/>
          <w:i/>
          <w:iCs/>
          <w:lang w:val="en-US"/>
        </w:rPr>
        <w:t>Article 8</w:t>
      </w:r>
    </w:p>
    <w:p w14:paraId="107B3F16" w14:textId="77777777" w:rsidR="00E928BF" w:rsidRPr="00E928BF" w:rsidRDefault="00E928BF" w:rsidP="00E928BF">
      <w:pPr>
        <w:ind w:left="720"/>
        <w:jc w:val="both"/>
        <w:rPr>
          <w:rFonts w:ascii="Book Antiqua" w:hAnsi="Book Antiqua"/>
          <w:i/>
          <w:iCs/>
          <w:lang w:val="en-US"/>
        </w:rPr>
      </w:pPr>
    </w:p>
    <w:p w14:paraId="632FDA99" w14:textId="0D7F8291" w:rsidR="00E928BF" w:rsidRPr="00E928BF" w:rsidRDefault="00E928BF" w:rsidP="00E928BF">
      <w:pPr>
        <w:numPr>
          <w:ilvl w:val="0"/>
          <w:numId w:val="1"/>
        </w:numPr>
        <w:jc w:val="both"/>
        <w:rPr>
          <w:rFonts w:ascii="Book Antiqua" w:hAnsi="Book Antiqua"/>
        </w:rPr>
      </w:pPr>
      <w:bookmarkStart w:id="6" w:name="para113"/>
      <w:r w:rsidRPr="00E928BF">
        <w:rPr>
          <w:rFonts w:ascii="Book Antiqua" w:hAnsi="Book Antiqua"/>
        </w:rPr>
        <w:t>The Nationality Immigration and Asylum Act 2002 (‘the 2002 Act’), as amended, sets out relevant factors to consider when assessing Article 8</w:t>
      </w:r>
      <w:r w:rsidR="00C73929">
        <w:rPr>
          <w:rFonts w:ascii="Book Antiqua" w:hAnsi="Book Antiqua"/>
        </w:rPr>
        <w:t>,</w:t>
      </w:r>
      <w:r w:rsidRPr="00E928BF">
        <w:rPr>
          <w:rFonts w:ascii="Book Antiqua" w:hAnsi="Book Antiqua"/>
        </w:rPr>
        <w:t xml:space="preserve"> ECHR claims. S. 117A(2)(a) requires the judicial decision maker to “have regard to the considerations listed in section 117B ... in considering the public interest question”. The “public interest question” is, in turn, defined in s. 117A(3) as being “the question of whether an interference with a person's right to respect for private and family life is justified under Article 8(2)”.</w:t>
      </w:r>
    </w:p>
    <w:p w14:paraId="3DE214D8" w14:textId="77777777" w:rsidR="00E928BF" w:rsidRPr="00E928BF" w:rsidRDefault="00E928BF" w:rsidP="00E928BF">
      <w:pPr>
        <w:ind w:left="720"/>
        <w:jc w:val="both"/>
        <w:rPr>
          <w:rFonts w:ascii="Book Antiqua" w:hAnsi="Book Antiqua"/>
        </w:rPr>
      </w:pPr>
      <w:r w:rsidRPr="00E928BF">
        <w:rPr>
          <w:rFonts w:ascii="Book Antiqua" w:hAnsi="Book Antiqua"/>
        </w:rPr>
        <w:t xml:space="preserve"> </w:t>
      </w:r>
      <w:bookmarkEnd w:id="6"/>
    </w:p>
    <w:p w14:paraId="25468693" w14:textId="77777777" w:rsidR="00E928BF" w:rsidRPr="00E928BF" w:rsidRDefault="00E928BF" w:rsidP="00E928BF">
      <w:pPr>
        <w:numPr>
          <w:ilvl w:val="0"/>
          <w:numId w:val="1"/>
        </w:numPr>
        <w:jc w:val="both"/>
        <w:rPr>
          <w:rFonts w:ascii="Book Antiqua" w:hAnsi="Book Antiqua"/>
        </w:rPr>
      </w:pPr>
      <w:bookmarkStart w:id="7" w:name="para114"/>
      <w:r w:rsidRPr="00E928BF">
        <w:rPr>
          <w:rFonts w:ascii="Book Antiqua" w:hAnsi="Book Antiqua"/>
        </w:rPr>
        <w:lastRenderedPageBreak/>
        <w:t xml:space="preserve">S. 117B so far as relevant set outs the following “public interest considerations applicable in all cases”: </w:t>
      </w:r>
      <w:bookmarkEnd w:id="7"/>
    </w:p>
    <w:p w14:paraId="1DA582A8" w14:textId="77777777" w:rsidR="00E928BF" w:rsidRPr="00E928BF" w:rsidRDefault="00E928BF" w:rsidP="00E928BF">
      <w:pPr>
        <w:ind w:left="720"/>
        <w:jc w:val="both"/>
        <w:rPr>
          <w:rFonts w:ascii="Book Antiqua" w:hAnsi="Book Antiqua"/>
        </w:rPr>
      </w:pPr>
    </w:p>
    <w:p w14:paraId="719224EB" w14:textId="77777777" w:rsidR="00E928BF" w:rsidRPr="00E928BF" w:rsidRDefault="00E928BF" w:rsidP="00E928BF">
      <w:pPr>
        <w:ind w:left="1984"/>
        <w:jc w:val="both"/>
        <w:rPr>
          <w:rFonts w:ascii="Book Antiqua" w:hAnsi="Book Antiqua"/>
          <w:sz w:val="22"/>
          <w:szCs w:val="22"/>
        </w:rPr>
      </w:pPr>
      <w:r w:rsidRPr="00E928BF">
        <w:rPr>
          <w:rFonts w:ascii="Book Antiqua" w:hAnsi="Book Antiqua"/>
          <w:sz w:val="22"/>
          <w:szCs w:val="22"/>
        </w:rPr>
        <w:t xml:space="preserve">“(1) The maintenance of effective immigration controls is in the public interest. </w:t>
      </w:r>
    </w:p>
    <w:p w14:paraId="0E9F4CED" w14:textId="77777777" w:rsidR="00E928BF" w:rsidRPr="00E928BF" w:rsidRDefault="00E928BF" w:rsidP="00E928BF">
      <w:pPr>
        <w:ind w:left="1984"/>
        <w:jc w:val="both"/>
        <w:rPr>
          <w:rFonts w:ascii="Book Antiqua" w:hAnsi="Book Antiqua"/>
          <w:sz w:val="22"/>
          <w:szCs w:val="22"/>
        </w:rPr>
      </w:pPr>
      <w:r w:rsidRPr="00E928BF">
        <w:rPr>
          <w:rFonts w:ascii="Book Antiqua" w:hAnsi="Book Antiqua"/>
          <w:sz w:val="22"/>
          <w:szCs w:val="22"/>
        </w:rPr>
        <w:t xml:space="preserve">(2) It is in the public interest, and in particular in the interests of the economic well-being of the United Kingdom, that persons who seek to enter or remain in the United Kingdom are able to speak English, because persons who can speak English - (a) are less of a burden on taxpayers, and (b) are better able to integrate into society. </w:t>
      </w:r>
    </w:p>
    <w:p w14:paraId="1056D5D3" w14:textId="77777777" w:rsidR="00E928BF" w:rsidRPr="00E928BF" w:rsidRDefault="00E928BF" w:rsidP="00E928BF">
      <w:pPr>
        <w:ind w:left="1984"/>
        <w:jc w:val="both"/>
        <w:rPr>
          <w:rFonts w:ascii="Book Antiqua" w:hAnsi="Book Antiqua"/>
          <w:sz w:val="22"/>
          <w:szCs w:val="22"/>
        </w:rPr>
      </w:pPr>
      <w:r w:rsidRPr="00E928BF">
        <w:rPr>
          <w:rFonts w:ascii="Book Antiqua" w:hAnsi="Book Antiqua"/>
          <w:sz w:val="22"/>
          <w:szCs w:val="22"/>
        </w:rPr>
        <w:t xml:space="preserve">(3) It is in the public interest, and in particular in the interests of the economic well-being of the United Kingdom, that persons who seek to enter or remain in the United Kingdom are financially independent, because such persons - (a) are not a burden on taxpayers, and (b) are better able to integrate into society. </w:t>
      </w:r>
    </w:p>
    <w:p w14:paraId="6E55BC31" w14:textId="77777777" w:rsidR="00E928BF" w:rsidRPr="00E928BF" w:rsidRDefault="00E928BF" w:rsidP="00E928BF">
      <w:pPr>
        <w:ind w:left="1984"/>
        <w:jc w:val="both"/>
        <w:rPr>
          <w:rFonts w:ascii="Book Antiqua" w:hAnsi="Book Antiqua"/>
          <w:sz w:val="22"/>
          <w:szCs w:val="22"/>
        </w:rPr>
      </w:pPr>
      <w:r w:rsidRPr="00E928BF">
        <w:rPr>
          <w:rFonts w:ascii="Book Antiqua" w:hAnsi="Book Antiqua"/>
          <w:sz w:val="22"/>
          <w:szCs w:val="22"/>
        </w:rPr>
        <w:t>(4) Little weight should be given to –</w:t>
      </w:r>
    </w:p>
    <w:p w14:paraId="6A219B02" w14:textId="77777777" w:rsidR="00E928BF" w:rsidRPr="00E928BF" w:rsidRDefault="00E928BF" w:rsidP="00E928BF">
      <w:pPr>
        <w:ind w:left="1984"/>
        <w:jc w:val="both"/>
        <w:rPr>
          <w:rFonts w:ascii="Book Antiqua" w:hAnsi="Book Antiqua"/>
          <w:sz w:val="22"/>
          <w:szCs w:val="22"/>
        </w:rPr>
      </w:pPr>
      <w:r w:rsidRPr="00E928BF">
        <w:rPr>
          <w:rFonts w:ascii="Book Antiqua" w:hAnsi="Book Antiqua"/>
          <w:sz w:val="22"/>
          <w:szCs w:val="22"/>
        </w:rPr>
        <w:t xml:space="preserve">(a) a private life, ... that is established by a person at a time when the person is in the United Kingdom unlawfully. </w:t>
      </w:r>
    </w:p>
    <w:p w14:paraId="26449BA2" w14:textId="77777777" w:rsidR="00E928BF" w:rsidRPr="00E928BF" w:rsidRDefault="00E928BF" w:rsidP="00E928BF">
      <w:pPr>
        <w:ind w:left="1984"/>
        <w:jc w:val="both"/>
        <w:rPr>
          <w:rFonts w:ascii="Book Antiqua" w:hAnsi="Book Antiqua"/>
          <w:sz w:val="22"/>
          <w:szCs w:val="22"/>
        </w:rPr>
      </w:pPr>
      <w:r w:rsidRPr="00E928BF">
        <w:rPr>
          <w:rFonts w:ascii="Book Antiqua" w:hAnsi="Book Antiqua"/>
          <w:sz w:val="22"/>
          <w:szCs w:val="22"/>
        </w:rPr>
        <w:t>(5) Little weight should be given to a private life established by a person at a time when the person's immigration status is precarious…”</w:t>
      </w:r>
    </w:p>
    <w:p w14:paraId="31134BA7" w14:textId="77777777" w:rsidR="00E928BF" w:rsidRPr="00E928BF" w:rsidRDefault="00E928BF" w:rsidP="00E928BF">
      <w:pPr>
        <w:ind w:left="720"/>
        <w:jc w:val="both"/>
        <w:rPr>
          <w:rFonts w:ascii="Book Antiqua" w:hAnsi="Book Antiqua"/>
        </w:rPr>
      </w:pPr>
    </w:p>
    <w:p w14:paraId="62D377B7" w14:textId="6E03DA7F" w:rsidR="00E928BF" w:rsidRPr="00E928BF" w:rsidRDefault="00E928BF" w:rsidP="00E928BF">
      <w:pPr>
        <w:pStyle w:val="ListParagraph"/>
        <w:numPr>
          <w:ilvl w:val="0"/>
          <w:numId w:val="1"/>
        </w:numPr>
        <w:jc w:val="both"/>
        <w:rPr>
          <w:rFonts w:ascii="Book Antiqua" w:hAnsi="Book Antiqua"/>
        </w:rPr>
      </w:pPr>
      <w:bookmarkStart w:id="8" w:name="para115"/>
      <w:r w:rsidRPr="00E928BF">
        <w:rPr>
          <w:rFonts w:ascii="Book Antiqua" w:hAnsi="Book Antiqua"/>
        </w:rPr>
        <w:t xml:space="preserve">Consideration of the effect of a person's immigration status being precarious was given in </w:t>
      </w:r>
      <w:r w:rsidRPr="00E928BF">
        <w:rPr>
          <w:rFonts w:ascii="Book Antiqua" w:hAnsi="Book Antiqua"/>
          <w:u w:val="single"/>
        </w:rPr>
        <w:t>Rhuppiah v SSHD</w:t>
      </w:r>
      <w:r w:rsidRPr="00E928BF">
        <w:rPr>
          <w:rFonts w:ascii="Book Antiqua" w:hAnsi="Book Antiqua"/>
        </w:rPr>
        <w:t xml:space="preserve"> </w:t>
      </w:r>
      <w:bookmarkEnd w:id="8"/>
      <w:r w:rsidRPr="00E928BF">
        <w:rPr>
          <w:rFonts w:ascii="Book Antiqua" w:hAnsi="Book Antiqua"/>
        </w:rPr>
        <w:fldChar w:fldCharType="begin"/>
      </w:r>
      <w:r w:rsidRPr="00E928BF">
        <w:rPr>
          <w:rFonts w:ascii="Book Antiqua" w:hAnsi="Book Antiqua"/>
        </w:rPr>
        <w:instrText xml:space="preserve"> HYPERLINK "https://www.bailii.org/uk/cases/UKSC/2018/58.html" \o "Link to BAILII version" </w:instrText>
      </w:r>
      <w:r w:rsidRPr="00E928BF">
        <w:rPr>
          <w:rFonts w:ascii="Book Antiqua" w:hAnsi="Book Antiqua"/>
        </w:rPr>
        <w:fldChar w:fldCharType="separate"/>
      </w:r>
      <w:r w:rsidRPr="00E928BF">
        <w:rPr>
          <w:rStyle w:val="Hyperlink"/>
          <w:rFonts w:ascii="Book Antiqua" w:hAnsi="Book Antiqua"/>
          <w:color w:val="auto"/>
          <w:u w:val="none"/>
        </w:rPr>
        <w:t>[2018] UKSC 58</w:t>
      </w:r>
      <w:r w:rsidRPr="00E928BF">
        <w:rPr>
          <w:rFonts w:ascii="Book Antiqua" w:hAnsi="Book Antiqua"/>
        </w:rPr>
        <w:fldChar w:fldCharType="end"/>
      </w:r>
      <w:r w:rsidRPr="00E928BF">
        <w:rPr>
          <w:rFonts w:ascii="Book Antiqua" w:hAnsi="Book Antiqua"/>
        </w:rPr>
        <w:t xml:space="preserve">; </w:t>
      </w:r>
      <w:hyperlink r:id="rId8" w:tooltip="Link to BAILII version" w:history="1">
        <w:r w:rsidRPr="00E928BF">
          <w:rPr>
            <w:rStyle w:val="Hyperlink"/>
            <w:rFonts w:ascii="Book Antiqua" w:hAnsi="Book Antiqua"/>
            <w:color w:val="auto"/>
            <w:u w:val="none"/>
          </w:rPr>
          <w:t>[2018] 1 WLR 5536</w:t>
        </w:r>
      </w:hyperlink>
      <w:r w:rsidRPr="00E928BF">
        <w:rPr>
          <w:rFonts w:ascii="Book Antiqua" w:hAnsi="Book Antiqua"/>
        </w:rPr>
        <w:t xml:space="preserve"> and in </w:t>
      </w:r>
      <w:r w:rsidRPr="00E928BF">
        <w:rPr>
          <w:rFonts w:ascii="Book Antiqua" w:hAnsi="Book Antiqua"/>
          <w:u w:val="single"/>
        </w:rPr>
        <w:t>CL v SSHD</w:t>
      </w:r>
      <w:r w:rsidRPr="00E928BF">
        <w:rPr>
          <w:rFonts w:ascii="Book Antiqua" w:hAnsi="Book Antiqua"/>
        </w:rPr>
        <w:t xml:space="preserve"> </w:t>
      </w:r>
      <w:hyperlink r:id="rId9" w:tooltip="Link to BAILII version" w:history="1">
        <w:r w:rsidRPr="00E928BF">
          <w:rPr>
            <w:rStyle w:val="Hyperlink"/>
            <w:rFonts w:ascii="Book Antiqua" w:hAnsi="Book Antiqua"/>
            <w:color w:val="auto"/>
            <w:u w:val="none"/>
          </w:rPr>
          <w:t>[2019] EWCA Civ 1925</w:t>
        </w:r>
      </w:hyperlink>
      <w:r w:rsidRPr="00E928BF">
        <w:rPr>
          <w:rFonts w:ascii="Book Antiqua" w:hAnsi="Book Antiqua"/>
        </w:rPr>
        <w:t xml:space="preserve">; </w:t>
      </w:r>
      <w:hyperlink r:id="rId10" w:tooltip="Link to BAILII version" w:history="1">
        <w:r w:rsidRPr="00E928BF">
          <w:rPr>
            <w:rStyle w:val="Hyperlink"/>
            <w:rFonts w:ascii="Book Antiqua" w:hAnsi="Book Antiqua"/>
            <w:color w:val="auto"/>
            <w:u w:val="none"/>
          </w:rPr>
          <w:t>[2020] 1 WLR 858</w:t>
        </w:r>
      </w:hyperlink>
      <w:r w:rsidRPr="00E928BF">
        <w:rPr>
          <w:rFonts w:ascii="Book Antiqua" w:hAnsi="Book Antiqua"/>
        </w:rPr>
        <w:t xml:space="preserve"> at [58 to 65].</w:t>
      </w:r>
    </w:p>
    <w:p w14:paraId="4620DBE3" w14:textId="33C2A98D" w:rsidR="006A4D34" w:rsidRDefault="006A4D34" w:rsidP="006A4D34">
      <w:pPr>
        <w:jc w:val="both"/>
        <w:rPr>
          <w:rFonts w:ascii="Book Antiqua" w:hAnsi="Book Antiqua"/>
        </w:rPr>
      </w:pPr>
    </w:p>
    <w:p w14:paraId="4DEF49BC" w14:textId="0D7925A8" w:rsidR="006A4D34" w:rsidRPr="006A4D34" w:rsidRDefault="006A4D34" w:rsidP="006A4D34">
      <w:pPr>
        <w:jc w:val="both"/>
        <w:rPr>
          <w:rFonts w:ascii="Book Antiqua" w:hAnsi="Book Antiqua"/>
          <w:b/>
          <w:bCs/>
        </w:rPr>
      </w:pPr>
      <w:r w:rsidRPr="006A4D34">
        <w:rPr>
          <w:rFonts w:ascii="Book Antiqua" w:hAnsi="Book Antiqua"/>
          <w:b/>
          <w:bCs/>
        </w:rPr>
        <w:t>Hearing before the UT</w:t>
      </w:r>
    </w:p>
    <w:p w14:paraId="7BA653C0" w14:textId="414D30B3" w:rsidR="006A4D34" w:rsidRDefault="006A4D34" w:rsidP="006A4D34">
      <w:pPr>
        <w:jc w:val="both"/>
        <w:rPr>
          <w:rFonts w:ascii="Book Antiqua" w:hAnsi="Book Antiqua"/>
        </w:rPr>
      </w:pPr>
    </w:p>
    <w:p w14:paraId="495222DC" w14:textId="294A0476" w:rsidR="00FF1827" w:rsidRPr="00FF1827" w:rsidRDefault="00FF1827" w:rsidP="006A4D34">
      <w:pPr>
        <w:jc w:val="both"/>
        <w:rPr>
          <w:rFonts w:ascii="Book Antiqua" w:hAnsi="Book Antiqua"/>
          <w:i/>
          <w:iCs/>
        </w:rPr>
      </w:pPr>
      <w:r w:rsidRPr="00FF1827">
        <w:rPr>
          <w:rFonts w:ascii="Book Antiqua" w:hAnsi="Book Antiqua"/>
          <w:i/>
          <w:iCs/>
        </w:rPr>
        <w:t>Documentary evidence</w:t>
      </w:r>
    </w:p>
    <w:p w14:paraId="1799DA65" w14:textId="77777777" w:rsidR="00FF1827" w:rsidRPr="006A4D34" w:rsidRDefault="00FF1827" w:rsidP="006A4D34">
      <w:pPr>
        <w:jc w:val="both"/>
        <w:rPr>
          <w:rFonts w:ascii="Book Antiqua" w:hAnsi="Book Antiqua"/>
        </w:rPr>
      </w:pPr>
    </w:p>
    <w:p w14:paraId="603370A8" w14:textId="53D60B01" w:rsidR="00A82B5B" w:rsidRDefault="006A4D34" w:rsidP="00B1510A">
      <w:pPr>
        <w:pStyle w:val="ListParagraph"/>
        <w:numPr>
          <w:ilvl w:val="0"/>
          <w:numId w:val="1"/>
        </w:numPr>
        <w:jc w:val="both"/>
        <w:rPr>
          <w:rFonts w:ascii="Book Antiqua" w:hAnsi="Book Antiqua"/>
        </w:rPr>
      </w:pPr>
      <w:r>
        <w:rPr>
          <w:rFonts w:ascii="Book Antiqua" w:hAnsi="Book Antiqua"/>
        </w:rPr>
        <w:t xml:space="preserve">Mr Youssefian relied upon a helpful skeleton argument together with a chronology of events </w:t>
      </w:r>
      <w:r w:rsidR="00287BFB">
        <w:rPr>
          <w:rFonts w:ascii="Book Antiqua" w:hAnsi="Book Antiqua"/>
        </w:rPr>
        <w:t xml:space="preserve">starting </w:t>
      </w:r>
      <w:r>
        <w:rPr>
          <w:rFonts w:ascii="Book Antiqua" w:hAnsi="Book Antiqua"/>
        </w:rPr>
        <w:t xml:space="preserve">from </w:t>
      </w:r>
      <w:r w:rsidR="00663099">
        <w:rPr>
          <w:rFonts w:ascii="Book Antiqua" w:hAnsi="Book Antiqua"/>
        </w:rPr>
        <w:t>10 Nov</w:t>
      </w:r>
      <w:r>
        <w:rPr>
          <w:rFonts w:ascii="Book Antiqua" w:hAnsi="Book Antiqua"/>
        </w:rPr>
        <w:t>ember 2016.  This was contained in a 90-page bundle of documents relevant to that chronology</w:t>
      </w:r>
      <w:r w:rsidR="00E928BF">
        <w:rPr>
          <w:rFonts w:ascii="Book Antiqua" w:hAnsi="Book Antiqua"/>
        </w:rPr>
        <w:t xml:space="preserve"> (‘the chronology bundle’), not available to the FTT</w:t>
      </w:r>
      <w:r>
        <w:rPr>
          <w:rFonts w:ascii="Book Antiqua" w:hAnsi="Book Antiqua"/>
        </w:rPr>
        <w:t>.</w:t>
      </w:r>
      <w:r w:rsidR="00A82B5B">
        <w:rPr>
          <w:rFonts w:ascii="Book Antiqua" w:hAnsi="Book Antiqua"/>
        </w:rPr>
        <w:t xml:space="preserve">  </w:t>
      </w:r>
      <w:r w:rsidR="00E928BF">
        <w:rPr>
          <w:rFonts w:ascii="Book Antiqua" w:hAnsi="Book Antiqua"/>
        </w:rPr>
        <w:t xml:space="preserve">These materials were served in compliance with my directions, as set out in the ‘error of law’ decision.  </w:t>
      </w:r>
      <w:r w:rsidR="00A82B5B">
        <w:rPr>
          <w:rFonts w:ascii="Book Antiqua" w:hAnsi="Book Antiqua"/>
        </w:rPr>
        <w:t>Reliance was also placed on the 197-page bundle before the FTT containing a witness statement from the appellant dated 30 January 2020.</w:t>
      </w:r>
    </w:p>
    <w:p w14:paraId="3EC34E39" w14:textId="622929BF" w:rsidR="006A4D34" w:rsidRDefault="00A82B5B" w:rsidP="00A82B5B">
      <w:pPr>
        <w:pStyle w:val="ListParagraph"/>
        <w:ind w:left="1280"/>
        <w:jc w:val="both"/>
        <w:rPr>
          <w:rFonts w:ascii="Book Antiqua" w:hAnsi="Book Antiqua"/>
        </w:rPr>
      </w:pPr>
      <w:r>
        <w:rPr>
          <w:rFonts w:ascii="Book Antiqua" w:hAnsi="Book Antiqua"/>
        </w:rPr>
        <w:t xml:space="preserve"> </w:t>
      </w:r>
    </w:p>
    <w:p w14:paraId="336BED5D" w14:textId="61837A6B" w:rsidR="006A4D34" w:rsidRDefault="006A4D34" w:rsidP="00B1510A">
      <w:pPr>
        <w:pStyle w:val="ListParagraph"/>
        <w:numPr>
          <w:ilvl w:val="0"/>
          <w:numId w:val="1"/>
        </w:numPr>
        <w:jc w:val="both"/>
        <w:rPr>
          <w:rFonts w:ascii="Book Antiqua" w:hAnsi="Book Antiqua"/>
        </w:rPr>
      </w:pPr>
      <w:r>
        <w:rPr>
          <w:rFonts w:ascii="Book Antiqua" w:hAnsi="Book Antiqua"/>
        </w:rPr>
        <w:t xml:space="preserve">The respondent regrettably responded to directions late and not until the day before the </w:t>
      </w:r>
      <w:r w:rsidR="00EC2DAE">
        <w:rPr>
          <w:rFonts w:ascii="Book Antiqua" w:hAnsi="Book Antiqua"/>
        </w:rPr>
        <w:t xml:space="preserve">resumed </w:t>
      </w:r>
      <w:r>
        <w:rPr>
          <w:rFonts w:ascii="Book Antiqua" w:hAnsi="Book Antiqua"/>
        </w:rPr>
        <w:t xml:space="preserve">hearing.  Mrs Aboni relied upon a short 2-page ‘response to directions’.  This attached the letter refusing the appellant’s claim as invalid dated 29 June 2017.  This was addressed to the appellant c/o PGA Solicitors, who continue to represent </w:t>
      </w:r>
      <w:r w:rsidR="00742E9F">
        <w:rPr>
          <w:rFonts w:ascii="Book Antiqua" w:hAnsi="Book Antiqua"/>
        </w:rPr>
        <w:t xml:space="preserve">him.  This letter was accompanied by a screenshot from the respondent’s internal computer system.  This records that the application in relation to a case created on </w:t>
      </w:r>
      <w:r w:rsidR="00EC2DAE">
        <w:rPr>
          <w:rFonts w:ascii="Book Antiqua" w:hAnsi="Book Antiqua"/>
        </w:rPr>
        <w:t>6 Dec</w:t>
      </w:r>
      <w:r w:rsidR="00742E9F">
        <w:rPr>
          <w:rFonts w:ascii="Book Antiqua" w:hAnsi="Book Antiqua"/>
        </w:rPr>
        <w:t>ember 2016 fell to be rejected because the request for biometric</w:t>
      </w:r>
      <w:r w:rsidR="00A81DD9">
        <w:rPr>
          <w:rFonts w:ascii="Book Antiqua" w:hAnsi="Book Antiqua"/>
        </w:rPr>
        <w:t xml:space="preserve"> information</w:t>
      </w:r>
      <w:r w:rsidR="00742E9F">
        <w:rPr>
          <w:rFonts w:ascii="Book Antiqua" w:hAnsi="Book Antiqua"/>
        </w:rPr>
        <w:t xml:space="preserve"> was ignored and the relevant documents were returned to PGA Solicitors</w:t>
      </w:r>
      <w:r w:rsidR="002F2C43">
        <w:rPr>
          <w:rFonts w:ascii="Book Antiqua" w:hAnsi="Book Antiqua"/>
        </w:rPr>
        <w:t xml:space="preserve"> by recorded delivery</w:t>
      </w:r>
      <w:r w:rsidR="00742E9F">
        <w:rPr>
          <w:rFonts w:ascii="Book Antiqua" w:hAnsi="Book Antiqua"/>
        </w:rPr>
        <w:t>.</w:t>
      </w:r>
      <w:r>
        <w:rPr>
          <w:rFonts w:ascii="Book Antiqua" w:hAnsi="Book Antiqua"/>
        </w:rPr>
        <w:t xml:space="preserve"> </w:t>
      </w:r>
    </w:p>
    <w:p w14:paraId="310C0075" w14:textId="1C46E860" w:rsidR="00742E9F" w:rsidRDefault="00742E9F" w:rsidP="00FF1827">
      <w:pPr>
        <w:jc w:val="both"/>
        <w:rPr>
          <w:rFonts w:ascii="Book Antiqua" w:hAnsi="Book Antiqua"/>
        </w:rPr>
      </w:pPr>
    </w:p>
    <w:p w14:paraId="674D743A" w14:textId="6A95CB11" w:rsidR="00FF1827" w:rsidRPr="00FF1827" w:rsidRDefault="002F2C43" w:rsidP="00FF1827">
      <w:pPr>
        <w:jc w:val="both"/>
        <w:rPr>
          <w:rFonts w:ascii="Book Antiqua" w:hAnsi="Book Antiqua"/>
          <w:i/>
          <w:iCs/>
        </w:rPr>
      </w:pPr>
      <w:r>
        <w:rPr>
          <w:rFonts w:ascii="Book Antiqua" w:hAnsi="Book Antiqua"/>
          <w:i/>
          <w:iCs/>
        </w:rPr>
        <w:t>Preliminary a</w:t>
      </w:r>
      <w:r w:rsidR="00FF1827" w:rsidRPr="00FF1827">
        <w:rPr>
          <w:rFonts w:ascii="Book Antiqua" w:hAnsi="Book Antiqua"/>
          <w:i/>
          <w:iCs/>
        </w:rPr>
        <w:t xml:space="preserve">pplication </w:t>
      </w:r>
    </w:p>
    <w:p w14:paraId="06487182" w14:textId="77777777" w:rsidR="00FF1827" w:rsidRPr="00FF1827" w:rsidRDefault="00FF1827" w:rsidP="00FF1827">
      <w:pPr>
        <w:jc w:val="both"/>
        <w:rPr>
          <w:rFonts w:ascii="Book Antiqua" w:hAnsi="Book Antiqua"/>
        </w:rPr>
      </w:pPr>
    </w:p>
    <w:p w14:paraId="1D3EFADE" w14:textId="1556AE61" w:rsidR="002F2C43" w:rsidRDefault="00A82B5B" w:rsidP="00B1510A">
      <w:pPr>
        <w:pStyle w:val="ListParagraph"/>
        <w:numPr>
          <w:ilvl w:val="0"/>
          <w:numId w:val="1"/>
        </w:numPr>
        <w:jc w:val="both"/>
        <w:rPr>
          <w:rFonts w:ascii="Book Antiqua" w:hAnsi="Book Antiqua"/>
        </w:rPr>
      </w:pPr>
      <w:r>
        <w:rPr>
          <w:rFonts w:ascii="Book Antiqua" w:hAnsi="Book Antiqua"/>
        </w:rPr>
        <w:t xml:space="preserve">At the beginning of the hearing </w:t>
      </w:r>
      <w:r w:rsidR="00742E9F">
        <w:rPr>
          <w:rFonts w:ascii="Book Antiqua" w:hAnsi="Book Antiqua"/>
        </w:rPr>
        <w:t xml:space="preserve">Mr Youssefian </w:t>
      </w:r>
      <w:r>
        <w:rPr>
          <w:rFonts w:ascii="Book Antiqua" w:hAnsi="Book Antiqua"/>
        </w:rPr>
        <w:t xml:space="preserve">invited me to decline to admit the </w:t>
      </w:r>
      <w:r w:rsidR="00260FCF">
        <w:rPr>
          <w:rFonts w:ascii="Book Antiqua" w:hAnsi="Book Antiqua"/>
        </w:rPr>
        <w:t xml:space="preserve">three documents </w:t>
      </w:r>
      <w:r>
        <w:rPr>
          <w:rFonts w:ascii="Book Antiqua" w:hAnsi="Book Antiqua"/>
        </w:rPr>
        <w:t xml:space="preserve">belatedly relied upon by the respondent.  After hearing </w:t>
      </w:r>
      <w:r>
        <w:rPr>
          <w:rFonts w:ascii="Book Antiqua" w:hAnsi="Book Antiqua"/>
        </w:rPr>
        <w:lastRenderedPageBreak/>
        <w:t>from both parties I ruled that this evidence would be admitted</w:t>
      </w:r>
      <w:r w:rsidR="002F2C43">
        <w:rPr>
          <w:rFonts w:ascii="Book Antiqua" w:hAnsi="Book Antiqua"/>
        </w:rPr>
        <w:t xml:space="preserve"> </w:t>
      </w:r>
      <w:r w:rsidR="00A81DD9">
        <w:rPr>
          <w:rFonts w:ascii="Book Antiqua" w:hAnsi="Book Antiqua"/>
        </w:rPr>
        <w:t>and gave</w:t>
      </w:r>
      <w:r w:rsidR="002F2C43">
        <w:rPr>
          <w:rFonts w:ascii="Book Antiqua" w:hAnsi="Book Antiqua"/>
        </w:rPr>
        <w:t xml:space="preserve"> reasons</w:t>
      </w:r>
      <w:r w:rsidR="00A81DD9">
        <w:rPr>
          <w:rFonts w:ascii="Book Antiqua" w:hAnsi="Book Antiqua"/>
        </w:rPr>
        <w:t xml:space="preserve"> for this</w:t>
      </w:r>
      <w:r w:rsidR="002F2C43">
        <w:rPr>
          <w:rFonts w:ascii="Book Antiqua" w:hAnsi="Book Antiqua"/>
        </w:rPr>
        <w:t>, which I now summarise</w:t>
      </w:r>
      <w:r>
        <w:rPr>
          <w:rFonts w:ascii="Book Antiqua" w:hAnsi="Book Antiqua"/>
        </w:rPr>
        <w:t>.</w:t>
      </w:r>
      <w:r w:rsidR="00260FCF">
        <w:rPr>
          <w:rFonts w:ascii="Book Antiqua" w:hAnsi="Book Antiqua"/>
        </w:rPr>
        <w:t xml:space="preserve">  </w:t>
      </w:r>
    </w:p>
    <w:p w14:paraId="48E69BCE" w14:textId="77777777" w:rsidR="002F2C43" w:rsidRDefault="002F2C43" w:rsidP="002F2C43">
      <w:pPr>
        <w:pStyle w:val="ListParagraph"/>
        <w:ind w:left="1280"/>
        <w:jc w:val="both"/>
        <w:rPr>
          <w:rFonts w:ascii="Book Antiqua" w:hAnsi="Book Antiqua"/>
        </w:rPr>
      </w:pPr>
    </w:p>
    <w:p w14:paraId="5786A62F" w14:textId="51E532C8" w:rsidR="00C160B5" w:rsidRDefault="00260FCF" w:rsidP="00C160B5">
      <w:pPr>
        <w:pStyle w:val="ListParagraph"/>
        <w:numPr>
          <w:ilvl w:val="0"/>
          <w:numId w:val="1"/>
        </w:numPr>
        <w:jc w:val="both"/>
        <w:rPr>
          <w:rFonts w:ascii="Book Antiqua" w:hAnsi="Book Antiqua"/>
        </w:rPr>
      </w:pPr>
      <w:r>
        <w:rPr>
          <w:rFonts w:ascii="Book Antiqua" w:hAnsi="Book Antiqua"/>
        </w:rPr>
        <w:t xml:space="preserve">There has been regrettable delay in serving this evidence.  </w:t>
      </w:r>
      <w:r w:rsidR="002F2C43">
        <w:rPr>
          <w:rFonts w:ascii="Book Antiqua" w:hAnsi="Book Antiqua"/>
        </w:rPr>
        <w:t>All three documents</w:t>
      </w:r>
      <w:r>
        <w:rPr>
          <w:rFonts w:ascii="Book Antiqua" w:hAnsi="Book Antiqua"/>
        </w:rPr>
        <w:t xml:space="preserve"> could and should have been </w:t>
      </w:r>
      <w:r w:rsidR="002F2C43">
        <w:rPr>
          <w:rFonts w:ascii="Book Antiqua" w:hAnsi="Book Antiqua"/>
        </w:rPr>
        <w:t xml:space="preserve">placed </w:t>
      </w:r>
      <w:r>
        <w:rPr>
          <w:rFonts w:ascii="Book Antiqua" w:hAnsi="Book Antiqua"/>
        </w:rPr>
        <w:t xml:space="preserve">before the FTT.  </w:t>
      </w:r>
      <w:r w:rsidR="002F2C43" w:rsidRPr="002F2C43">
        <w:rPr>
          <w:rFonts w:ascii="Book Antiqua" w:hAnsi="Book Antiqua"/>
        </w:rPr>
        <w:t>The respondent’s decision letter ma</w:t>
      </w:r>
      <w:r w:rsidR="002F2C43">
        <w:rPr>
          <w:rFonts w:ascii="Book Antiqua" w:hAnsi="Book Antiqua"/>
        </w:rPr>
        <w:t>de</w:t>
      </w:r>
      <w:r w:rsidR="002F2C43" w:rsidRPr="002F2C43">
        <w:rPr>
          <w:rFonts w:ascii="Book Antiqua" w:hAnsi="Book Antiqua"/>
        </w:rPr>
        <w:t xml:space="preserve"> it clear that she regarded the 6 December 2016 application to have been rejected on 29 June 2017</w:t>
      </w:r>
      <w:r w:rsidR="002F2C43">
        <w:rPr>
          <w:rFonts w:ascii="Book Antiqua" w:hAnsi="Book Antiqua"/>
        </w:rPr>
        <w:t>, yet this letter was not provided to the FTT</w:t>
      </w:r>
      <w:r w:rsidR="002F2C43" w:rsidRPr="002F2C43">
        <w:rPr>
          <w:rFonts w:ascii="Book Antiqua" w:hAnsi="Book Antiqua"/>
        </w:rPr>
        <w:t>.</w:t>
      </w:r>
      <w:r w:rsidR="002F2C43">
        <w:rPr>
          <w:rFonts w:ascii="Book Antiqua" w:hAnsi="Book Antiqua"/>
        </w:rPr>
        <w:t xml:space="preserve"> </w:t>
      </w:r>
      <w:r>
        <w:rPr>
          <w:rFonts w:ascii="Book Antiqua" w:hAnsi="Book Antiqua"/>
        </w:rPr>
        <w:t xml:space="preserve">However, as I noted in my error of law decision the respondent was not represented before the FTT.  </w:t>
      </w:r>
      <w:r w:rsidR="00023F86">
        <w:rPr>
          <w:rFonts w:ascii="Book Antiqua" w:hAnsi="Book Antiqua"/>
        </w:rPr>
        <w:t>A</w:t>
      </w:r>
      <w:r w:rsidR="00023F86" w:rsidRPr="00023F86">
        <w:rPr>
          <w:rFonts w:ascii="Book Antiqua" w:hAnsi="Book Antiqua"/>
        </w:rPr>
        <w:t xml:space="preserve">t the ‘error of law’ hearing </w:t>
      </w:r>
      <w:r w:rsidR="00023F86">
        <w:rPr>
          <w:rFonts w:ascii="Book Antiqua" w:hAnsi="Book Antiqua"/>
        </w:rPr>
        <w:t>t</w:t>
      </w:r>
      <w:r w:rsidR="002F2C43">
        <w:rPr>
          <w:rFonts w:ascii="Book Antiqua" w:hAnsi="Book Antiqua"/>
        </w:rPr>
        <w:t xml:space="preserve">he respondent conceded that the FTT erred in law in accepting that </w:t>
      </w:r>
      <w:r w:rsidR="00C160B5">
        <w:rPr>
          <w:rFonts w:ascii="Book Antiqua" w:hAnsi="Book Antiqua"/>
        </w:rPr>
        <w:t>a 29 June 2017 letter rejected the 6 December 2016 application</w:t>
      </w:r>
      <w:r w:rsidR="00A946BB">
        <w:rPr>
          <w:rFonts w:ascii="Book Antiqua" w:hAnsi="Book Antiqua"/>
        </w:rPr>
        <w:t>, without hearing submissions from the appellant on this issue</w:t>
      </w:r>
      <w:r w:rsidR="00C160B5">
        <w:rPr>
          <w:rFonts w:ascii="Book Antiqua" w:hAnsi="Book Antiqua"/>
        </w:rPr>
        <w:t xml:space="preserve">.  </w:t>
      </w:r>
      <w:r w:rsidRPr="00C160B5">
        <w:rPr>
          <w:rFonts w:ascii="Book Antiqua" w:hAnsi="Book Antiqua"/>
        </w:rPr>
        <w:t>It is with this in mind that I permitted both parties to adduce further evidence</w:t>
      </w:r>
      <w:r w:rsidR="00B06AAB">
        <w:rPr>
          <w:rFonts w:ascii="Book Antiqua" w:hAnsi="Book Antiqua"/>
        </w:rPr>
        <w:t xml:space="preserve"> </w:t>
      </w:r>
      <w:r w:rsidRPr="00C160B5">
        <w:rPr>
          <w:rFonts w:ascii="Book Antiqua" w:hAnsi="Book Antiqua"/>
        </w:rPr>
        <w:t>not before the FTT</w:t>
      </w:r>
      <w:r w:rsidR="00C160B5">
        <w:rPr>
          <w:rFonts w:ascii="Book Antiqua" w:hAnsi="Book Antiqua"/>
        </w:rPr>
        <w:t xml:space="preserve"> </w:t>
      </w:r>
      <w:r w:rsidR="00B06AAB">
        <w:rPr>
          <w:rFonts w:ascii="Book Antiqua" w:hAnsi="Book Antiqua"/>
        </w:rPr>
        <w:t xml:space="preserve">in order for this issue to be fully addressed </w:t>
      </w:r>
      <w:r w:rsidR="00C160B5">
        <w:rPr>
          <w:rFonts w:ascii="Book Antiqua" w:hAnsi="Book Antiqua"/>
        </w:rPr>
        <w:t>and gave directions to this effect</w:t>
      </w:r>
      <w:r w:rsidRPr="00C160B5">
        <w:rPr>
          <w:rFonts w:ascii="Book Antiqua" w:hAnsi="Book Antiqua"/>
        </w:rPr>
        <w:t xml:space="preserve">.  </w:t>
      </w:r>
    </w:p>
    <w:p w14:paraId="63A237A2" w14:textId="77777777" w:rsidR="00C160B5" w:rsidRPr="00C160B5" w:rsidRDefault="00C160B5" w:rsidP="00C160B5">
      <w:pPr>
        <w:pStyle w:val="ListParagraph"/>
        <w:rPr>
          <w:rFonts w:ascii="Book Antiqua" w:hAnsi="Book Antiqua"/>
        </w:rPr>
      </w:pPr>
    </w:p>
    <w:p w14:paraId="2BFDF0B2" w14:textId="066A4BFC" w:rsidR="00C160B5" w:rsidRPr="0024127C" w:rsidRDefault="00260FCF" w:rsidP="0024127C">
      <w:pPr>
        <w:pStyle w:val="ListParagraph"/>
        <w:numPr>
          <w:ilvl w:val="0"/>
          <w:numId w:val="1"/>
        </w:numPr>
        <w:jc w:val="both"/>
        <w:rPr>
          <w:rFonts w:ascii="Book Antiqua" w:hAnsi="Book Antiqua"/>
        </w:rPr>
      </w:pPr>
      <w:r w:rsidRPr="00C160B5">
        <w:rPr>
          <w:rFonts w:ascii="Book Antiqua" w:hAnsi="Book Antiqua"/>
        </w:rPr>
        <w:t xml:space="preserve">The appellant took up this opportunity by providing </w:t>
      </w:r>
      <w:r w:rsidR="005C58EA">
        <w:rPr>
          <w:rFonts w:ascii="Book Antiqua" w:hAnsi="Book Antiqua"/>
        </w:rPr>
        <w:t>the</w:t>
      </w:r>
      <w:r w:rsidRPr="00C160B5">
        <w:rPr>
          <w:rFonts w:ascii="Book Antiqua" w:hAnsi="Book Antiqua"/>
        </w:rPr>
        <w:t xml:space="preserve"> additional </w:t>
      </w:r>
      <w:r w:rsidR="005C58EA">
        <w:rPr>
          <w:rFonts w:ascii="Book Antiqua" w:hAnsi="Book Antiqua"/>
        </w:rPr>
        <w:t>‘chronology bundle’</w:t>
      </w:r>
      <w:r w:rsidRPr="00C160B5">
        <w:rPr>
          <w:rFonts w:ascii="Book Antiqua" w:hAnsi="Book Antiqua"/>
        </w:rPr>
        <w:t>.  H</w:t>
      </w:r>
      <w:r w:rsidR="00C160B5">
        <w:rPr>
          <w:rFonts w:ascii="Book Antiqua" w:hAnsi="Book Antiqua"/>
        </w:rPr>
        <w:t>is representatives</w:t>
      </w:r>
      <w:r w:rsidRPr="00C160B5">
        <w:rPr>
          <w:rFonts w:ascii="Book Antiqua" w:hAnsi="Book Antiqua"/>
        </w:rPr>
        <w:t xml:space="preserve"> did not comply with rule 15(2)(A) </w:t>
      </w:r>
      <w:r w:rsidR="00C160B5">
        <w:rPr>
          <w:rFonts w:ascii="Book Antiqua" w:hAnsi="Book Antiqua"/>
        </w:rPr>
        <w:t xml:space="preserve">of the Tribunal Procedure (Upper Tribunal) Rule 2008 </w:t>
      </w:r>
      <w:r w:rsidRPr="00C160B5">
        <w:rPr>
          <w:rFonts w:ascii="Book Antiqua" w:hAnsi="Book Antiqua"/>
        </w:rPr>
        <w:t xml:space="preserve">and nor did I expect </w:t>
      </w:r>
      <w:r w:rsidR="00C160B5">
        <w:rPr>
          <w:rFonts w:ascii="Book Antiqua" w:hAnsi="Book Antiqua"/>
        </w:rPr>
        <w:t>them</w:t>
      </w:r>
      <w:r w:rsidRPr="00C160B5">
        <w:rPr>
          <w:rFonts w:ascii="Book Antiqua" w:hAnsi="Book Antiqua"/>
        </w:rPr>
        <w:t xml:space="preserve"> to.  </w:t>
      </w:r>
      <w:r w:rsidR="00C160B5">
        <w:rPr>
          <w:rFonts w:ascii="Book Antiqua" w:hAnsi="Book Antiqua"/>
        </w:rPr>
        <w:t xml:space="preserve">This is because: a) it was made clear and </w:t>
      </w:r>
      <w:r w:rsidR="008367AB">
        <w:rPr>
          <w:rFonts w:ascii="Book Antiqua" w:hAnsi="Book Antiqua"/>
        </w:rPr>
        <w:t xml:space="preserve">by </w:t>
      </w:r>
      <w:r w:rsidR="00C160B5">
        <w:rPr>
          <w:rFonts w:ascii="Book Antiqua" w:hAnsi="Book Antiqua"/>
        </w:rPr>
        <w:t xml:space="preserve">both parties </w:t>
      </w:r>
      <w:r w:rsidR="008367AB">
        <w:rPr>
          <w:rFonts w:ascii="Book Antiqua" w:hAnsi="Book Antiqua"/>
        </w:rPr>
        <w:t xml:space="preserve">that they </w:t>
      </w:r>
      <w:r w:rsidR="00C160B5">
        <w:rPr>
          <w:rFonts w:ascii="Book Antiqua" w:hAnsi="Book Antiqua"/>
        </w:rPr>
        <w:t>wished the UT to consider evidence not before the FTT; b) this evidence was relevant to the chronology after the appellant became ARE including in particular the issue of service of the 29 June 2017 letter; c) the respondent had thus far delayed in serving this letter but it remained relevant to the disputed issues</w:t>
      </w:r>
      <w:r w:rsidR="005814D0">
        <w:rPr>
          <w:rFonts w:ascii="Book Antiqua" w:hAnsi="Book Antiqua"/>
        </w:rPr>
        <w:t>; d)</w:t>
      </w:r>
      <w:r w:rsidR="00C160B5">
        <w:rPr>
          <w:rFonts w:ascii="Book Antiqua" w:hAnsi="Book Antiqua"/>
        </w:rPr>
        <w:t xml:space="preserve"> </w:t>
      </w:r>
      <w:r w:rsidR="002F3695" w:rsidRPr="002F3695">
        <w:rPr>
          <w:rFonts w:ascii="Book Antiqua" w:hAnsi="Book Antiqua"/>
        </w:rPr>
        <w:t>I accepted this evidence was relevant and should be adduced</w:t>
      </w:r>
      <w:r w:rsidR="005814D0">
        <w:rPr>
          <w:rFonts w:ascii="Book Antiqua" w:hAnsi="Book Antiqua"/>
        </w:rPr>
        <w:t>, hence the directions to that effect</w:t>
      </w:r>
      <w:r w:rsidR="00C160B5">
        <w:rPr>
          <w:rFonts w:ascii="Book Antiqua" w:hAnsi="Book Antiqua"/>
        </w:rPr>
        <w:t>.</w:t>
      </w:r>
      <w:r w:rsidR="0024127C">
        <w:rPr>
          <w:rFonts w:ascii="Book Antiqua" w:hAnsi="Book Antiqua"/>
        </w:rPr>
        <w:t xml:space="preserve">  </w:t>
      </w:r>
      <w:r w:rsidRPr="0024127C">
        <w:rPr>
          <w:rFonts w:ascii="Book Antiqua" w:hAnsi="Book Antiqua"/>
        </w:rPr>
        <w:t>In these circumstances</w:t>
      </w:r>
      <w:r w:rsidR="00C160B5" w:rsidRPr="0024127C">
        <w:rPr>
          <w:rFonts w:ascii="Book Antiqua" w:hAnsi="Book Antiqua"/>
        </w:rPr>
        <w:t>,</w:t>
      </w:r>
      <w:r w:rsidRPr="0024127C">
        <w:rPr>
          <w:rFonts w:ascii="Book Antiqua" w:hAnsi="Book Antiqua"/>
        </w:rPr>
        <w:t xml:space="preserve"> I </w:t>
      </w:r>
      <w:r w:rsidR="00C160B5" w:rsidRPr="0024127C">
        <w:rPr>
          <w:rFonts w:ascii="Book Antiqua" w:hAnsi="Book Antiqua"/>
        </w:rPr>
        <w:t xml:space="preserve">rejected </w:t>
      </w:r>
      <w:r w:rsidRPr="0024127C">
        <w:rPr>
          <w:rFonts w:ascii="Book Antiqua" w:hAnsi="Book Antiqua"/>
        </w:rPr>
        <w:t>Mr Y</w:t>
      </w:r>
      <w:r w:rsidR="00C160B5" w:rsidRPr="0024127C">
        <w:rPr>
          <w:rFonts w:ascii="Book Antiqua" w:hAnsi="Book Antiqua"/>
        </w:rPr>
        <w:t>oussefian</w:t>
      </w:r>
      <w:r w:rsidRPr="0024127C">
        <w:rPr>
          <w:rFonts w:ascii="Book Antiqua" w:hAnsi="Book Antiqua"/>
        </w:rPr>
        <w:t xml:space="preserve">’s submission that the failure to comply with the requirements </w:t>
      </w:r>
      <w:r w:rsidR="00C160B5" w:rsidRPr="0024127C">
        <w:rPr>
          <w:rFonts w:ascii="Book Antiqua" w:hAnsi="Book Antiqua"/>
        </w:rPr>
        <w:t xml:space="preserve">of rule 15(2)(A) </w:t>
      </w:r>
      <w:r w:rsidRPr="0024127C">
        <w:rPr>
          <w:rFonts w:ascii="Book Antiqua" w:hAnsi="Book Antiqua"/>
        </w:rPr>
        <w:t>on the part of the respondent</w:t>
      </w:r>
      <w:r w:rsidR="00C160B5" w:rsidRPr="0024127C">
        <w:rPr>
          <w:rFonts w:ascii="Book Antiqua" w:hAnsi="Book Antiqua"/>
        </w:rPr>
        <w:t>, prevented her from relying upon the materials served.</w:t>
      </w:r>
      <w:r w:rsidRPr="0024127C">
        <w:rPr>
          <w:rFonts w:ascii="Book Antiqua" w:hAnsi="Book Antiqua"/>
        </w:rPr>
        <w:t xml:space="preserve"> The appellant </w:t>
      </w:r>
      <w:r w:rsidR="00C160B5" w:rsidRPr="0024127C">
        <w:rPr>
          <w:rFonts w:ascii="Book Antiqua" w:hAnsi="Book Antiqua"/>
        </w:rPr>
        <w:t xml:space="preserve">should have fully </w:t>
      </w:r>
      <w:r w:rsidRPr="0024127C">
        <w:rPr>
          <w:rFonts w:ascii="Book Antiqua" w:hAnsi="Book Antiqua"/>
        </w:rPr>
        <w:t xml:space="preserve">expected to receive evidence </w:t>
      </w:r>
      <w:r w:rsidR="00C160B5" w:rsidRPr="0024127C">
        <w:rPr>
          <w:rFonts w:ascii="Book Antiqua" w:hAnsi="Book Antiqua"/>
        </w:rPr>
        <w:t xml:space="preserve">not before the FTT </w:t>
      </w:r>
      <w:r w:rsidRPr="0024127C">
        <w:rPr>
          <w:rFonts w:ascii="Book Antiqua" w:hAnsi="Book Antiqua"/>
        </w:rPr>
        <w:t xml:space="preserve">from the respondent.  </w:t>
      </w:r>
    </w:p>
    <w:p w14:paraId="4807B17C" w14:textId="77777777" w:rsidR="00C160B5" w:rsidRPr="00C160B5" w:rsidRDefault="00C160B5" w:rsidP="00C160B5">
      <w:pPr>
        <w:pStyle w:val="ListParagraph"/>
        <w:rPr>
          <w:rFonts w:ascii="Book Antiqua" w:hAnsi="Book Antiqua"/>
        </w:rPr>
      </w:pPr>
    </w:p>
    <w:p w14:paraId="303442E5" w14:textId="0B39E802" w:rsidR="00A82B5B" w:rsidRPr="00C160B5" w:rsidRDefault="00260FCF" w:rsidP="00C160B5">
      <w:pPr>
        <w:pStyle w:val="ListParagraph"/>
        <w:numPr>
          <w:ilvl w:val="0"/>
          <w:numId w:val="1"/>
        </w:numPr>
        <w:jc w:val="both"/>
        <w:rPr>
          <w:rFonts w:ascii="Book Antiqua" w:hAnsi="Book Antiqua"/>
        </w:rPr>
      </w:pPr>
      <w:r w:rsidRPr="00C160B5">
        <w:rPr>
          <w:rFonts w:ascii="Book Antiqua" w:hAnsi="Book Antiqua"/>
        </w:rPr>
        <w:t xml:space="preserve">The </w:t>
      </w:r>
      <w:r w:rsidR="00C160B5">
        <w:rPr>
          <w:rFonts w:ascii="Book Antiqua" w:hAnsi="Book Antiqua"/>
        </w:rPr>
        <w:t xml:space="preserve">respondent’s failure to comply with directions is </w:t>
      </w:r>
      <w:r w:rsidR="0024127C">
        <w:rPr>
          <w:rFonts w:ascii="Book Antiqua" w:hAnsi="Book Antiqua"/>
        </w:rPr>
        <w:t>unfortunate</w:t>
      </w:r>
      <w:r w:rsidR="00C160B5">
        <w:rPr>
          <w:rFonts w:ascii="Book Antiqua" w:hAnsi="Book Antiqua"/>
        </w:rPr>
        <w:t xml:space="preserve">.  Mrs Aboni explained that there were unavoidable </w:t>
      </w:r>
      <w:r w:rsidR="007862ED">
        <w:rPr>
          <w:rFonts w:ascii="Book Antiqua" w:hAnsi="Book Antiqua"/>
        </w:rPr>
        <w:t xml:space="preserve">IT and sickness absence </w:t>
      </w:r>
      <w:r w:rsidR="00C160B5">
        <w:rPr>
          <w:rFonts w:ascii="Book Antiqua" w:hAnsi="Book Antiqua"/>
        </w:rPr>
        <w:t>issues</w:t>
      </w:r>
      <w:r w:rsidR="005D580D">
        <w:rPr>
          <w:rFonts w:ascii="Book Antiqua" w:hAnsi="Book Antiqua"/>
        </w:rPr>
        <w:t xml:space="preserve">.  She has apologised for the breach of directions and late service of the documents.  In these circumstances I indicated to Mr Youssefian that the </w:t>
      </w:r>
      <w:r w:rsidRPr="00C160B5">
        <w:rPr>
          <w:rFonts w:ascii="Book Antiqua" w:hAnsi="Book Antiqua"/>
        </w:rPr>
        <w:t xml:space="preserve">real question </w:t>
      </w:r>
      <w:r w:rsidR="005D580D">
        <w:rPr>
          <w:rFonts w:ascii="Book Antiqua" w:hAnsi="Book Antiqua"/>
        </w:rPr>
        <w:t>wa</w:t>
      </w:r>
      <w:r w:rsidRPr="00C160B5">
        <w:rPr>
          <w:rFonts w:ascii="Book Antiqua" w:hAnsi="Book Antiqua"/>
        </w:rPr>
        <w:t xml:space="preserve">s whether </w:t>
      </w:r>
      <w:r w:rsidR="005D580D">
        <w:rPr>
          <w:rFonts w:ascii="Book Antiqua" w:hAnsi="Book Antiqua"/>
        </w:rPr>
        <w:t>t</w:t>
      </w:r>
      <w:r w:rsidRPr="00C160B5">
        <w:rPr>
          <w:rFonts w:ascii="Book Antiqua" w:hAnsi="Book Antiqua"/>
        </w:rPr>
        <w:t xml:space="preserve">he </w:t>
      </w:r>
      <w:r w:rsidR="005D580D">
        <w:rPr>
          <w:rFonts w:ascii="Book Antiqua" w:hAnsi="Book Antiqua"/>
        </w:rPr>
        <w:t xml:space="preserve">appellant </w:t>
      </w:r>
      <w:r w:rsidRPr="00C160B5">
        <w:rPr>
          <w:rFonts w:ascii="Book Antiqua" w:hAnsi="Book Antiqua"/>
        </w:rPr>
        <w:t>ha</w:t>
      </w:r>
      <w:r w:rsidR="005D580D">
        <w:rPr>
          <w:rFonts w:ascii="Book Antiqua" w:hAnsi="Book Antiqua"/>
        </w:rPr>
        <w:t>d</w:t>
      </w:r>
      <w:r w:rsidRPr="00C160B5">
        <w:rPr>
          <w:rFonts w:ascii="Book Antiqua" w:hAnsi="Book Antiqua"/>
        </w:rPr>
        <w:t xml:space="preserve"> been prejudiced by </w:t>
      </w:r>
      <w:r w:rsidR="007862ED">
        <w:rPr>
          <w:rFonts w:ascii="Book Antiqua" w:hAnsi="Book Antiqua"/>
        </w:rPr>
        <w:t xml:space="preserve">the </w:t>
      </w:r>
      <w:r w:rsidRPr="00C160B5">
        <w:rPr>
          <w:rFonts w:ascii="Book Antiqua" w:hAnsi="Book Antiqua"/>
        </w:rPr>
        <w:t>late service.</w:t>
      </w:r>
      <w:r w:rsidR="00B76640" w:rsidRPr="00C160B5">
        <w:rPr>
          <w:rFonts w:ascii="Book Antiqua" w:hAnsi="Book Antiqua"/>
        </w:rPr>
        <w:t xml:space="preserve"> I </w:t>
      </w:r>
      <w:r w:rsidR="005D580D">
        <w:rPr>
          <w:rFonts w:ascii="Book Antiqua" w:hAnsi="Book Antiqua"/>
        </w:rPr>
        <w:t xml:space="preserve">specifically </w:t>
      </w:r>
      <w:r w:rsidR="00B76640" w:rsidRPr="00C160B5">
        <w:rPr>
          <w:rFonts w:ascii="Book Antiqua" w:hAnsi="Book Antiqua"/>
        </w:rPr>
        <w:t>offered Mr Y</w:t>
      </w:r>
      <w:r w:rsidR="005D580D">
        <w:rPr>
          <w:rFonts w:ascii="Book Antiqua" w:hAnsi="Book Antiqua"/>
        </w:rPr>
        <w:t>oussefian</w:t>
      </w:r>
      <w:r w:rsidR="00B76640" w:rsidRPr="00C160B5">
        <w:rPr>
          <w:rFonts w:ascii="Book Antiqua" w:hAnsi="Book Antiqua"/>
        </w:rPr>
        <w:t xml:space="preserve"> the opportunity to take further time with his lay and professional client and also indicated that if an adjournment was sought I would be sympathetic</w:t>
      </w:r>
      <w:r w:rsidR="00B36D40">
        <w:rPr>
          <w:rFonts w:ascii="Book Antiqua" w:hAnsi="Book Antiqua"/>
        </w:rPr>
        <w:t xml:space="preserve"> to such an application</w:t>
      </w:r>
      <w:r w:rsidR="00FF1827" w:rsidRPr="00C160B5">
        <w:rPr>
          <w:rFonts w:ascii="Book Antiqua" w:hAnsi="Book Antiqua"/>
        </w:rPr>
        <w:t>.  Mr Y</w:t>
      </w:r>
      <w:r w:rsidR="005D580D">
        <w:rPr>
          <w:rFonts w:ascii="Book Antiqua" w:hAnsi="Book Antiqua"/>
        </w:rPr>
        <w:t>oussefian</w:t>
      </w:r>
      <w:r w:rsidR="00FF1827" w:rsidRPr="00C160B5">
        <w:rPr>
          <w:rFonts w:ascii="Book Antiqua" w:hAnsi="Book Antiqua"/>
        </w:rPr>
        <w:t xml:space="preserve"> made it clear that his instructions were that he was ready to proceed and did not require an adjournment.</w:t>
      </w:r>
      <w:r w:rsidRPr="00C160B5">
        <w:rPr>
          <w:rFonts w:ascii="Book Antiqua" w:hAnsi="Book Antiqua"/>
        </w:rPr>
        <w:t xml:space="preserve"> </w:t>
      </w:r>
    </w:p>
    <w:p w14:paraId="5FF70F73" w14:textId="77777777" w:rsidR="00A82B5B" w:rsidRPr="00A82B5B" w:rsidRDefault="00A82B5B" w:rsidP="00A82B5B">
      <w:pPr>
        <w:pStyle w:val="ListParagraph"/>
        <w:rPr>
          <w:rFonts w:ascii="Book Antiqua" w:hAnsi="Book Antiqua"/>
        </w:rPr>
      </w:pPr>
    </w:p>
    <w:p w14:paraId="05ADFD80" w14:textId="034B638F" w:rsidR="00742E9F" w:rsidRDefault="005D580D" w:rsidP="00B1510A">
      <w:pPr>
        <w:pStyle w:val="ListParagraph"/>
        <w:numPr>
          <w:ilvl w:val="0"/>
          <w:numId w:val="1"/>
        </w:numPr>
        <w:jc w:val="both"/>
        <w:rPr>
          <w:rFonts w:ascii="Book Antiqua" w:hAnsi="Book Antiqua"/>
        </w:rPr>
      </w:pPr>
      <w:r>
        <w:rPr>
          <w:rFonts w:ascii="Book Antiqua" w:hAnsi="Book Antiqua"/>
        </w:rPr>
        <w:t>Although there has been delay in the service of the</w:t>
      </w:r>
      <w:r w:rsidR="00B36D40">
        <w:rPr>
          <w:rFonts w:ascii="Book Antiqua" w:hAnsi="Book Antiqua"/>
        </w:rPr>
        <w:t xml:space="preserve"> respondent’s</w:t>
      </w:r>
      <w:r>
        <w:rPr>
          <w:rFonts w:ascii="Book Antiqua" w:hAnsi="Book Antiqua"/>
        </w:rPr>
        <w:t xml:space="preserve"> documents</w:t>
      </w:r>
      <w:r w:rsidR="00B36D40">
        <w:rPr>
          <w:rFonts w:ascii="Book Antiqua" w:hAnsi="Book Antiqua"/>
        </w:rPr>
        <w:t xml:space="preserve"> in breach of directions</w:t>
      </w:r>
      <w:r>
        <w:rPr>
          <w:rFonts w:ascii="Book Antiqua" w:hAnsi="Book Antiqua"/>
        </w:rPr>
        <w:t xml:space="preserve">, Mr Youssefian confirmed that they were relevant to an issue in dispute in the proceedings and he was not prejudiced in continuing with the hearing.  In these circumstances and having considered rule 15 in the specific context of the procedural history of this case and the overriding </w:t>
      </w:r>
      <w:r>
        <w:rPr>
          <w:rFonts w:ascii="Book Antiqua" w:hAnsi="Book Antiqua"/>
        </w:rPr>
        <w:lastRenderedPageBreak/>
        <w:t>objective at rule 2, I determined that it was in the interest of justice to admit the documents.</w:t>
      </w:r>
      <w:r w:rsidR="00742E9F">
        <w:rPr>
          <w:rFonts w:ascii="Book Antiqua" w:hAnsi="Book Antiqua"/>
        </w:rPr>
        <w:t xml:space="preserve"> </w:t>
      </w:r>
    </w:p>
    <w:p w14:paraId="424F58B3" w14:textId="3A104B82" w:rsidR="00A82B5B" w:rsidRDefault="00A82B5B" w:rsidP="00FF1827">
      <w:pPr>
        <w:rPr>
          <w:rFonts w:ascii="Book Antiqua" w:hAnsi="Book Antiqua"/>
        </w:rPr>
      </w:pPr>
    </w:p>
    <w:p w14:paraId="1E2D9557" w14:textId="0EDCCE45" w:rsidR="00FF1827" w:rsidRPr="00FF1827" w:rsidRDefault="00FF1827" w:rsidP="00FF1827">
      <w:pPr>
        <w:rPr>
          <w:rFonts w:ascii="Book Antiqua" w:hAnsi="Book Antiqua"/>
          <w:i/>
          <w:iCs/>
        </w:rPr>
      </w:pPr>
      <w:r w:rsidRPr="00FF1827">
        <w:rPr>
          <w:rFonts w:ascii="Book Antiqua" w:hAnsi="Book Antiqua"/>
          <w:i/>
          <w:iCs/>
        </w:rPr>
        <w:t>Oral evidence</w:t>
      </w:r>
    </w:p>
    <w:p w14:paraId="47E1ECFB" w14:textId="77777777" w:rsidR="00FF1827" w:rsidRPr="00FF1827" w:rsidRDefault="00FF1827" w:rsidP="00FF1827">
      <w:pPr>
        <w:rPr>
          <w:rFonts w:ascii="Book Antiqua" w:hAnsi="Book Antiqua"/>
        </w:rPr>
      </w:pPr>
    </w:p>
    <w:p w14:paraId="054A839B" w14:textId="19E9CD35" w:rsidR="005D580D" w:rsidRDefault="005D580D" w:rsidP="00B1510A">
      <w:pPr>
        <w:pStyle w:val="ListParagraph"/>
        <w:numPr>
          <w:ilvl w:val="0"/>
          <w:numId w:val="1"/>
        </w:numPr>
        <w:jc w:val="both"/>
        <w:rPr>
          <w:rFonts w:ascii="Book Antiqua" w:hAnsi="Book Antiqua"/>
        </w:rPr>
      </w:pPr>
      <w:r>
        <w:rPr>
          <w:rFonts w:ascii="Book Antiqua" w:hAnsi="Book Antiqua"/>
        </w:rPr>
        <w:t>Ar</w:t>
      </w:r>
      <w:r w:rsidR="00A82B5B">
        <w:rPr>
          <w:rFonts w:ascii="Book Antiqua" w:hAnsi="Book Antiqua"/>
        </w:rPr>
        <w:t xml:space="preserve">rangements were made for the appellant </w:t>
      </w:r>
      <w:r w:rsidR="000003D7">
        <w:rPr>
          <w:rFonts w:ascii="Book Antiqua" w:hAnsi="Book Antiqua"/>
        </w:rPr>
        <w:t xml:space="preserve">to give evidence </w:t>
      </w:r>
      <w:r>
        <w:rPr>
          <w:rFonts w:ascii="Book Antiqua" w:hAnsi="Book Antiqua"/>
        </w:rPr>
        <w:t>by way of telephone</w:t>
      </w:r>
      <w:r w:rsidR="00A82B5B">
        <w:rPr>
          <w:rFonts w:ascii="Book Antiqua" w:hAnsi="Book Antiqua"/>
        </w:rPr>
        <w:t>.</w:t>
      </w:r>
      <w:r w:rsidR="00FF1827">
        <w:rPr>
          <w:rFonts w:ascii="Book Antiqua" w:hAnsi="Book Antiqua"/>
        </w:rPr>
        <w:t xml:space="preserve">  I am </w:t>
      </w:r>
      <w:r>
        <w:rPr>
          <w:rFonts w:ascii="Book Antiqua" w:hAnsi="Book Antiqua"/>
        </w:rPr>
        <w:t xml:space="preserve">grateful to the appellant for </w:t>
      </w:r>
      <w:r w:rsidR="00FF1827">
        <w:rPr>
          <w:rFonts w:ascii="Book Antiqua" w:hAnsi="Book Antiqua"/>
        </w:rPr>
        <w:t xml:space="preserve">making himself available </w:t>
      </w:r>
      <w:r>
        <w:rPr>
          <w:rFonts w:ascii="Book Antiqua" w:hAnsi="Book Antiqua"/>
        </w:rPr>
        <w:t xml:space="preserve">for the hearing at what must have been a difficult time for him.  Mr Youssefian had informed me that the appellant’s </w:t>
      </w:r>
      <w:r w:rsidR="00FF1827">
        <w:rPr>
          <w:rFonts w:ascii="Book Antiqua" w:hAnsi="Book Antiqua"/>
        </w:rPr>
        <w:t xml:space="preserve">mother </w:t>
      </w:r>
      <w:r>
        <w:rPr>
          <w:rFonts w:ascii="Book Antiqua" w:hAnsi="Book Antiqua"/>
        </w:rPr>
        <w:t xml:space="preserve">had </w:t>
      </w:r>
      <w:r w:rsidR="00FF1827">
        <w:rPr>
          <w:rFonts w:ascii="Book Antiqua" w:hAnsi="Book Antiqua"/>
        </w:rPr>
        <w:t>passed away</w:t>
      </w:r>
      <w:r>
        <w:rPr>
          <w:rFonts w:ascii="Book Antiqua" w:hAnsi="Book Antiqua"/>
        </w:rPr>
        <w:t xml:space="preserve"> the night before, but he was nonetheless keen to continue with the hearing</w:t>
      </w:r>
      <w:r w:rsidR="009815FD">
        <w:rPr>
          <w:rFonts w:ascii="Book Antiqua" w:hAnsi="Book Antiqua"/>
        </w:rPr>
        <w:t xml:space="preserve"> and did not want it to be adjourned</w:t>
      </w:r>
      <w:r w:rsidR="00FF1827">
        <w:rPr>
          <w:rFonts w:ascii="Book Antiqua" w:hAnsi="Book Antiqua"/>
        </w:rPr>
        <w:t>.</w:t>
      </w:r>
      <w:r>
        <w:rPr>
          <w:rFonts w:ascii="Book Antiqua" w:hAnsi="Book Antiqua"/>
        </w:rPr>
        <w:t xml:space="preserve">  </w:t>
      </w:r>
    </w:p>
    <w:p w14:paraId="77A966A9" w14:textId="3B31EC7E" w:rsidR="00FF1827" w:rsidRDefault="00FF1827" w:rsidP="005D580D">
      <w:pPr>
        <w:pStyle w:val="ListParagraph"/>
        <w:ind w:left="1280"/>
        <w:jc w:val="both"/>
        <w:rPr>
          <w:rFonts w:ascii="Book Antiqua" w:hAnsi="Book Antiqua"/>
        </w:rPr>
      </w:pPr>
      <w:r>
        <w:rPr>
          <w:rFonts w:ascii="Book Antiqua" w:hAnsi="Book Antiqua"/>
        </w:rPr>
        <w:t xml:space="preserve">  </w:t>
      </w:r>
    </w:p>
    <w:p w14:paraId="46478F40" w14:textId="2CD26F1A" w:rsidR="00A82B5B" w:rsidRDefault="00FF1827" w:rsidP="00B1510A">
      <w:pPr>
        <w:pStyle w:val="ListParagraph"/>
        <w:numPr>
          <w:ilvl w:val="0"/>
          <w:numId w:val="1"/>
        </w:numPr>
        <w:jc w:val="both"/>
        <w:rPr>
          <w:rFonts w:ascii="Book Antiqua" w:hAnsi="Book Antiqua"/>
        </w:rPr>
      </w:pPr>
      <w:r>
        <w:rPr>
          <w:rFonts w:ascii="Book Antiqua" w:hAnsi="Book Antiqua"/>
        </w:rPr>
        <w:t>The appellant confirmed the truth of his witness statement before the FTT and the chronology of events prepared on his behalf</w:t>
      </w:r>
      <w:r w:rsidR="005D580D">
        <w:rPr>
          <w:rFonts w:ascii="Book Antiqua" w:hAnsi="Book Antiqua"/>
        </w:rPr>
        <w:t xml:space="preserve"> for this hearing</w:t>
      </w:r>
      <w:r>
        <w:rPr>
          <w:rFonts w:ascii="Book Antiqua" w:hAnsi="Book Antiqua"/>
        </w:rPr>
        <w:t xml:space="preserve">.  He was </w:t>
      </w:r>
      <w:r w:rsidR="005D580D">
        <w:rPr>
          <w:rFonts w:ascii="Book Antiqua" w:hAnsi="Book Antiqua"/>
        </w:rPr>
        <w:t xml:space="preserve">briefly </w:t>
      </w:r>
      <w:r>
        <w:rPr>
          <w:rFonts w:ascii="Book Antiqua" w:hAnsi="Book Antiqua"/>
        </w:rPr>
        <w:t>cross-examined by Mrs Aboni and I asked a few questions</w:t>
      </w:r>
      <w:r w:rsidR="005D580D">
        <w:rPr>
          <w:rFonts w:ascii="Book Antiqua" w:hAnsi="Book Antiqua"/>
        </w:rPr>
        <w:t xml:space="preserve"> to clarify his evidence</w:t>
      </w:r>
      <w:r>
        <w:rPr>
          <w:rFonts w:ascii="Book Antiqua" w:hAnsi="Book Antiqua"/>
        </w:rPr>
        <w:t xml:space="preserve">.  The appellant </w:t>
      </w:r>
      <w:r w:rsidR="009815FD">
        <w:rPr>
          <w:rFonts w:ascii="Book Antiqua" w:hAnsi="Book Antiqua"/>
        </w:rPr>
        <w:t>said</w:t>
      </w:r>
      <w:r>
        <w:rPr>
          <w:rFonts w:ascii="Book Antiqua" w:hAnsi="Book Antiqua"/>
        </w:rPr>
        <w:t xml:space="preserve"> that he did not receive the 29 June</w:t>
      </w:r>
      <w:r w:rsidR="005D580D">
        <w:rPr>
          <w:rFonts w:ascii="Book Antiqua" w:hAnsi="Book Antiqua"/>
        </w:rPr>
        <w:t xml:space="preserve"> 2017</w:t>
      </w:r>
      <w:r>
        <w:rPr>
          <w:rFonts w:ascii="Book Antiqua" w:hAnsi="Book Antiqua"/>
        </w:rPr>
        <w:t xml:space="preserve"> letter.  He accepted that he had received letters before this</w:t>
      </w:r>
      <w:r w:rsidR="007171BE">
        <w:rPr>
          <w:rFonts w:ascii="Book Antiqua" w:hAnsi="Book Antiqua"/>
        </w:rPr>
        <w:t xml:space="preserve"> requesting biometrics</w:t>
      </w:r>
      <w:r>
        <w:rPr>
          <w:rFonts w:ascii="Book Antiqua" w:hAnsi="Book Antiqua"/>
        </w:rPr>
        <w:t xml:space="preserve">.  I asked the appellant if there was any reason why his solicitors letter of 17 July 2017 did not refer to </w:t>
      </w:r>
      <w:r w:rsidR="00557E35">
        <w:rPr>
          <w:rFonts w:ascii="Book Antiqua" w:hAnsi="Book Antiqua"/>
        </w:rPr>
        <w:t xml:space="preserve">the 6 </w:t>
      </w:r>
      <w:r>
        <w:rPr>
          <w:rFonts w:ascii="Book Antiqua" w:hAnsi="Book Antiqua"/>
        </w:rPr>
        <w:t>Dec</w:t>
      </w:r>
      <w:r w:rsidR="007171BE">
        <w:rPr>
          <w:rFonts w:ascii="Book Antiqua" w:hAnsi="Book Antiqua"/>
        </w:rPr>
        <w:t>ember 2016 application having been</w:t>
      </w:r>
      <w:r>
        <w:rPr>
          <w:rFonts w:ascii="Book Antiqua" w:hAnsi="Book Antiqua"/>
        </w:rPr>
        <w:t xml:space="preserve"> varied</w:t>
      </w:r>
      <w:r w:rsidR="007171BE">
        <w:rPr>
          <w:rFonts w:ascii="Book Antiqua" w:hAnsi="Book Antiqua"/>
        </w:rPr>
        <w:t>, but he was unable to assist</w:t>
      </w:r>
      <w:r>
        <w:rPr>
          <w:rFonts w:ascii="Book Antiqua" w:hAnsi="Book Antiqua"/>
        </w:rPr>
        <w:t>.  I invited Mr Y</w:t>
      </w:r>
      <w:r w:rsidR="007171BE">
        <w:rPr>
          <w:rFonts w:ascii="Book Antiqua" w:hAnsi="Book Antiqua"/>
        </w:rPr>
        <w:t>ou</w:t>
      </w:r>
      <w:r w:rsidR="00557E35">
        <w:rPr>
          <w:rFonts w:ascii="Book Antiqua" w:hAnsi="Book Antiqua"/>
        </w:rPr>
        <w:t>s</w:t>
      </w:r>
      <w:r w:rsidR="007171BE">
        <w:rPr>
          <w:rFonts w:ascii="Book Antiqua" w:hAnsi="Book Antiqua"/>
        </w:rPr>
        <w:t>sefian</w:t>
      </w:r>
      <w:r>
        <w:rPr>
          <w:rFonts w:ascii="Book Antiqua" w:hAnsi="Book Antiqua"/>
        </w:rPr>
        <w:t xml:space="preserve"> to re-examine on this point </w:t>
      </w:r>
      <w:r w:rsidR="007171BE">
        <w:rPr>
          <w:rFonts w:ascii="Book Antiqua" w:hAnsi="Book Antiqua"/>
        </w:rPr>
        <w:t xml:space="preserve">if he considered it appropriate </w:t>
      </w:r>
      <w:r>
        <w:rPr>
          <w:rFonts w:ascii="Book Antiqua" w:hAnsi="Book Antiqua"/>
        </w:rPr>
        <w:t>but he indicated he was content to make submissions on th</w:t>
      </w:r>
      <w:r w:rsidR="007171BE">
        <w:rPr>
          <w:rFonts w:ascii="Book Antiqua" w:hAnsi="Book Antiqua"/>
        </w:rPr>
        <w:t>e</w:t>
      </w:r>
      <w:r>
        <w:rPr>
          <w:rFonts w:ascii="Book Antiqua" w:hAnsi="Book Antiqua"/>
        </w:rPr>
        <w:t xml:space="preserve"> issue.</w:t>
      </w:r>
    </w:p>
    <w:p w14:paraId="6BB9DF0D" w14:textId="6BF361B7" w:rsidR="007171BE" w:rsidRPr="007171BE" w:rsidRDefault="007171BE" w:rsidP="007171BE">
      <w:pPr>
        <w:rPr>
          <w:rFonts w:ascii="Book Antiqua" w:hAnsi="Book Antiqua"/>
          <w:i/>
          <w:iCs/>
        </w:rPr>
      </w:pPr>
    </w:p>
    <w:p w14:paraId="72F8A5EF" w14:textId="63B1770E" w:rsidR="007171BE" w:rsidRPr="007171BE" w:rsidRDefault="007171BE" w:rsidP="007171BE">
      <w:pPr>
        <w:rPr>
          <w:rFonts w:ascii="Book Antiqua" w:hAnsi="Book Antiqua"/>
          <w:i/>
          <w:iCs/>
        </w:rPr>
      </w:pPr>
      <w:r w:rsidRPr="007171BE">
        <w:rPr>
          <w:rFonts w:ascii="Book Antiqua" w:hAnsi="Book Antiqua"/>
          <w:i/>
          <w:iCs/>
        </w:rPr>
        <w:t>Submissions</w:t>
      </w:r>
    </w:p>
    <w:p w14:paraId="2A313A97" w14:textId="77777777" w:rsidR="007171BE" w:rsidRPr="007171BE" w:rsidRDefault="007171BE" w:rsidP="007171BE">
      <w:pPr>
        <w:rPr>
          <w:rFonts w:ascii="Book Antiqua" w:hAnsi="Book Antiqua"/>
        </w:rPr>
      </w:pPr>
    </w:p>
    <w:p w14:paraId="5393E4B5" w14:textId="1D8288B7" w:rsidR="007171BE" w:rsidRDefault="007171BE" w:rsidP="00B1510A">
      <w:pPr>
        <w:pStyle w:val="ListParagraph"/>
        <w:numPr>
          <w:ilvl w:val="0"/>
          <w:numId w:val="1"/>
        </w:numPr>
        <w:jc w:val="both"/>
        <w:rPr>
          <w:rFonts w:ascii="Book Antiqua" w:hAnsi="Book Antiqua"/>
        </w:rPr>
      </w:pPr>
      <w:r>
        <w:rPr>
          <w:rFonts w:ascii="Book Antiqua" w:hAnsi="Book Antiqua"/>
        </w:rPr>
        <w:t>I then heard submissions from both representatives which followed the respective positions I have summarised above.  I refer to those submissions in more detail when making my findings below.</w:t>
      </w:r>
    </w:p>
    <w:p w14:paraId="33C39332" w14:textId="77777777" w:rsidR="007171BE" w:rsidRDefault="007171BE" w:rsidP="007171BE">
      <w:pPr>
        <w:pStyle w:val="ListParagraph"/>
        <w:ind w:left="1280"/>
        <w:jc w:val="both"/>
        <w:rPr>
          <w:rFonts w:ascii="Book Antiqua" w:hAnsi="Book Antiqua"/>
        </w:rPr>
      </w:pPr>
    </w:p>
    <w:p w14:paraId="4BE3B4E0" w14:textId="5E7AF88A" w:rsidR="007171BE" w:rsidRPr="00B1510A" w:rsidRDefault="007171BE" w:rsidP="00B1510A">
      <w:pPr>
        <w:pStyle w:val="ListParagraph"/>
        <w:numPr>
          <w:ilvl w:val="0"/>
          <w:numId w:val="1"/>
        </w:numPr>
        <w:jc w:val="both"/>
        <w:rPr>
          <w:rFonts w:ascii="Book Antiqua" w:hAnsi="Book Antiqua"/>
        </w:rPr>
      </w:pPr>
      <w:r>
        <w:rPr>
          <w:rFonts w:ascii="Book Antiqua" w:hAnsi="Book Antiqua"/>
        </w:rPr>
        <w:t xml:space="preserve">At the end of the hearing both representatives confirmed that they were content that the hearing, which took place </w:t>
      </w:r>
      <w:r w:rsidR="004C6BC5">
        <w:rPr>
          <w:rFonts w:ascii="Book Antiqua" w:hAnsi="Book Antiqua"/>
        </w:rPr>
        <w:t xml:space="preserve">over the course of the morning </w:t>
      </w:r>
      <w:r>
        <w:rPr>
          <w:rFonts w:ascii="Book Antiqua" w:hAnsi="Book Antiqua"/>
        </w:rPr>
        <w:t>via Skype for Business, was conducted fully and fairly and they had no concerns whatsoever.</w:t>
      </w:r>
      <w:r w:rsidR="004C6BC5">
        <w:rPr>
          <w:rFonts w:ascii="Book Antiqua" w:hAnsi="Book Antiqua"/>
        </w:rPr>
        <w:t xml:space="preserve">  </w:t>
      </w:r>
      <w:bookmarkStart w:id="9" w:name="para1_1"/>
      <w:r w:rsidR="004C6BC5" w:rsidRPr="004C6BC5">
        <w:rPr>
          <w:rFonts w:ascii="Book Antiqua" w:hAnsi="Book Antiqua"/>
        </w:rPr>
        <w:t xml:space="preserve">They were satisfied, as was I, that this mode of hearing involved no prejudice to their interests. This was a public hearing </w:t>
      </w:r>
      <w:r w:rsidR="004C6BC5">
        <w:rPr>
          <w:rFonts w:ascii="Book Antiqua" w:hAnsi="Book Antiqua"/>
        </w:rPr>
        <w:t>as I sat in court at Manchester CJC</w:t>
      </w:r>
      <w:r w:rsidR="004C6BC5" w:rsidRPr="004C6BC5">
        <w:rPr>
          <w:rFonts w:ascii="Book Antiqua" w:hAnsi="Book Antiqua"/>
        </w:rPr>
        <w:t xml:space="preserve">. </w:t>
      </w:r>
      <w:r w:rsidR="004C6BC5">
        <w:rPr>
          <w:rFonts w:ascii="Book Antiqua" w:hAnsi="Book Antiqua"/>
        </w:rPr>
        <w:t xml:space="preserve"> </w:t>
      </w:r>
      <w:r w:rsidR="004C6BC5" w:rsidRPr="004C6BC5">
        <w:rPr>
          <w:rFonts w:ascii="Book Antiqua" w:hAnsi="Book Antiqua"/>
        </w:rPr>
        <w:t>I am satisfied that the mode of hearing was necessary, appropriate and proportionate.</w:t>
      </w:r>
      <w:bookmarkEnd w:id="9"/>
    </w:p>
    <w:p w14:paraId="5DEE34CF" w14:textId="53D5A8AD" w:rsidR="008B28EA" w:rsidRDefault="008B28EA" w:rsidP="008B28EA">
      <w:pPr>
        <w:jc w:val="both"/>
        <w:rPr>
          <w:rFonts w:ascii="Book Antiqua" w:hAnsi="Book Antiqua"/>
          <w:lang w:val="en-US"/>
        </w:rPr>
      </w:pPr>
    </w:p>
    <w:p w14:paraId="46B4EA2F" w14:textId="77777777" w:rsidR="0050463F" w:rsidRDefault="0050463F" w:rsidP="008B28EA">
      <w:pPr>
        <w:jc w:val="both"/>
        <w:rPr>
          <w:rFonts w:ascii="Book Antiqua" w:hAnsi="Book Antiqua"/>
          <w:lang w:val="en-US"/>
        </w:rPr>
      </w:pPr>
    </w:p>
    <w:p w14:paraId="3E9DA6CE" w14:textId="01F9B5E5" w:rsidR="008B28EA" w:rsidRPr="008B28EA" w:rsidRDefault="007171BE" w:rsidP="008B28EA">
      <w:pPr>
        <w:jc w:val="both"/>
        <w:rPr>
          <w:rFonts w:ascii="Book Antiqua" w:hAnsi="Book Antiqua"/>
          <w:b/>
          <w:bCs/>
          <w:lang w:val="en-US"/>
        </w:rPr>
      </w:pPr>
      <w:r>
        <w:rPr>
          <w:rFonts w:ascii="Book Antiqua" w:hAnsi="Book Antiqua"/>
          <w:b/>
          <w:bCs/>
          <w:lang w:val="en-US"/>
        </w:rPr>
        <w:t>Findings</w:t>
      </w:r>
    </w:p>
    <w:p w14:paraId="60FAC30E" w14:textId="0F19E4AD" w:rsidR="008B28EA" w:rsidRPr="008B28EA" w:rsidRDefault="008B28EA" w:rsidP="008B28EA">
      <w:pPr>
        <w:jc w:val="both"/>
        <w:rPr>
          <w:rFonts w:ascii="Book Antiqua" w:hAnsi="Book Antiqua"/>
          <w:i/>
          <w:iCs/>
          <w:lang w:val="en-US"/>
        </w:rPr>
      </w:pPr>
    </w:p>
    <w:p w14:paraId="6F668C99" w14:textId="1CB20291" w:rsidR="008B28EA" w:rsidRPr="007171BE" w:rsidRDefault="008B28EA" w:rsidP="007171BE">
      <w:pPr>
        <w:jc w:val="both"/>
        <w:rPr>
          <w:rFonts w:ascii="Book Antiqua" w:hAnsi="Book Antiqua"/>
          <w:i/>
          <w:iCs/>
          <w:lang w:val="en-US"/>
        </w:rPr>
      </w:pPr>
      <w:r w:rsidRPr="007171BE">
        <w:rPr>
          <w:rFonts w:ascii="Book Antiqua" w:hAnsi="Book Antiqua"/>
          <w:i/>
          <w:iCs/>
          <w:lang w:val="en-US"/>
        </w:rPr>
        <w:t>Period of overstaying between 10 November 2016 and 6 December 2016</w:t>
      </w:r>
    </w:p>
    <w:p w14:paraId="135D17BC" w14:textId="77777777" w:rsidR="008B28EA" w:rsidRPr="008B28EA" w:rsidRDefault="008B28EA" w:rsidP="008B28EA">
      <w:pPr>
        <w:pStyle w:val="ListParagraph"/>
        <w:jc w:val="both"/>
        <w:rPr>
          <w:rFonts w:ascii="Book Antiqua" w:hAnsi="Book Antiqua"/>
          <w:lang w:val="en-US"/>
        </w:rPr>
      </w:pPr>
    </w:p>
    <w:p w14:paraId="15D52757" w14:textId="3A88AB54" w:rsidR="00302D70" w:rsidRPr="007171BE" w:rsidRDefault="00F76DEA" w:rsidP="007171BE">
      <w:pPr>
        <w:pStyle w:val="ListParagraph"/>
        <w:numPr>
          <w:ilvl w:val="0"/>
          <w:numId w:val="1"/>
        </w:numPr>
        <w:jc w:val="both"/>
        <w:rPr>
          <w:rFonts w:ascii="Book Antiqua" w:hAnsi="Book Antiqua"/>
          <w:lang w:val="en-US"/>
        </w:rPr>
      </w:pPr>
      <w:r>
        <w:rPr>
          <w:rFonts w:ascii="Book Antiqua" w:hAnsi="Book Antiqua"/>
          <w:lang w:val="en-US"/>
        </w:rPr>
        <w:t xml:space="preserve">As </w:t>
      </w:r>
      <w:r w:rsidR="003C37F7">
        <w:rPr>
          <w:rFonts w:ascii="Book Antiqua" w:hAnsi="Book Antiqua"/>
          <w:lang w:val="en-US"/>
        </w:rPr>
        <w:t xml:space="preserve">Underhill LJ </w:t>
      </w:r>
      <w:r>
        <w:rPr>
          <w:rFonts w:ascii="Book Antiqua" w:hAnsi="Book Antiqua"/>
          <w:lang w:val="en-US"/>
        </w:rPr>
        <w:t xml:space="preserve">noted </w:t>
      </w:r>
      <w:r w:rsidR="003C37F7">
        <w:rPr>
          <w:rFonts w:ascii="Book Antiqua" w:hAnsi="Book Antiqua"/>
          <w:lang w:val="en-US"/>
        </w:rPr>
        <w:t xml:space="preserve">when setting out </w:t>
      </w:r>
      <w:r w:rsidR="001F448D">
        <w:rPr>
          <w:rFonts w:ascii="Book Antiqua" w:hAnsi="Book Antiqua"/>
          <w:lang w:val="en-US"/>
        </w:rPr>
        <w:t xml:space="preserve">the drafting history of 276B </w:t>
      </w:r>
      <w:r>
        <w:rPr>
          <w:rFonts w:ascii="Book Antiqua" w:hAnsi="Book Antiqua"/>
          <w:lang w:val="en-US"/>
        </w:rPr>
        <w:t xml:space="preserve">in </w:t>
      </w:r>
      <w:r w:rsidRPr="006308E3">
        <w:rPr>
          <w:rFonts w:ascii="Book Antiqua" w:hAnsi="Book Antiqua"/>
          <w:u w:val="single"/>
          <w:lang w:val="en-US"/>
        </w:rPr>
        <w:t>Hoque</w:t>
      </w:r>
      <w:r w:rsidR="002A2838" w:rsidRPr="002A2838">
        <w:rPr>
          <w:rFonts w:ascii="Book Antiqua" w:hAnsi="Book Antiqua"/>
          <w:lang w:val="en-US"/>
        </w:rPr>
        <w:t xml:space="preserve"> </w:t>
      </w:r>
      <w:r w:rsidR="002A2838">
        <w:rPr>
          <w:rFonts w:ascii="Book Antiqua" w:hAnsi="Book Antiqua"/>
          <w:lang w:val="en-US"/>
        </w:rPr>
        <w:t>(</w:t>
      </w:r>
      <w:r w:rsidR="002A2838" w:rsidRPr="002A2838">
        <w:rPr>
          <w:rFonts w:ascii="Book Antiqua" w:hAnsi="Book Antiqua"/>
          <w:lang w:val="en-US"/>
        </w:rPr>
        <w:t>supra)</w:t>
      </w:r>
      <w:r w:rsidR="001F448D">
        <w:rPr>
          <w:rFonts w:ascii="Book Antiqua" w:hAnsi="Book Antiqua"/>
          <w:lang w:val="en-US"/>
        </w:rPr>
        <w:t xml:space="preserve"> at [36]</w:t>
      </w:r>
      <w:r>
        <w:rPr>
          <w:rFonts w:ascii="Book Antiqua" w:hAnsi="Book Antiqua"/>
          <w:lang w:val="en-US"/>
        </w:rPr>
        <w:t xml:space="preserve">, </w:t>
      </w:r>
      <w:r w:rsidR="00A4354F">
        <w:rPr>
          <w:rFonts w:ascii="Book Antiqua" w:hAnsi="Book Antiqua"/>
          <w:lang w:val="en-US"/>
        </w:rPr>
        <w:t>with effect from 24 Novem</w:t>
      </w:r>
      <w:r w:rsidR="00777663">
        <w:rPr>
          <w:rFonts w:ascii="Book Antiqua" w:hAnsi="Book Antiqua"/>
          <w:lang w:val="en-US"/>
        </w:rPr>
        <w:t xml:space="preserve">ber 2016, </w:t>
      </w:r>
      <w:r>
        <w:rPr>
          <w:rFonts w:ascii="Book Antiqua" w:hAnsi="Book Antiqua"/>
          <w:lang w:val="en-US"/>
        </w:rPr>
        <w:t>paragraph 34E</w:t>
      </w:r>
      <w:r w:rsidRPr="007F496D">
        <w:rPr>
          <w:rFonts w:ascii="Book Antiqua" w:hAnsi="Book Antiqua"/>
        </w:rPr>
        <w:t xml:space="preserve"> replaced an earlier regime under which (broadly) any period of overstaying of up to 28 days was overlooked</w:t>
      </w:r>
      <w:r>
        <w:rPr>
          <w:rFonts w:ascii="Book Antiqua" w:hAnsi="Book Antiqua"/>
        </w:rPr>
        <w:t>.</w:t>
      </w:r>
      <w:r w:rsidRPr="00F76DEA">
        <w:rPr>
          <w:rFonts w:ascii="Book Antiqua" w:hAnsi="Book Antiqua"/>
          <w:lang w:val="en-US"/>
        </w:rPr>
        <w:t xml:space="preserve"> </w:t>
      </w:r>
      <w:r>
        <w:rPr>
          <w:rFonts w:ascii="Book Antiqua" w:hAnsi="Book Antiqua"/>
          <w:lang w:val="en-US"/>
        </w:rPr>
        <w:t>M</w:t>
      </w:r>
      <w:r w:rsidR="002A2838">
        <w:rPr>
          <w:rFonts w:ascii="Book Antiqua" w:hAnsi="Book Antiqua"/>
          <w:lang w:val="en-US"/>
        </w:rPr>
        <w:t>r Youssefian</w:t>
      </w:r>
      <w:r>
        <w:rPr>
          <w:rFonts w:ascii="Book Antiqua" w:hAnsi="Book Antiqua"/>
          <w:lang w:val="en-US"/>
        </w:rPr>
        <w:t xml:space="preserve"> conceded that 34E </w:t>
      </w:r>
      <w:r w:rsidR="00DD6470">
        <w:rPr>
          <w:rFonts w:ascii="Book Antiqua" w:hAnsi="Book Antiqua"/>
          <w:lang w:val="en-US"/>
        </w:rPr>
        <w:t xml:space="preserve">and not the previous </w:t>
      </w:r>
      <w:r w:rsidR="00D0787B">
        <w:rPr>
          <w:rFonts w:ascii="Book Antiqua" w:hAnsi="Book Antiqua"/>
          <w:lang w:val="en-US"/>
        </w:rPr>
        <w:t xml:space="preserve">28-day </w:t>
      </w:r>
      <w:r w:rsidR="00DD6470">
        <w:rPr>
          <w:rFonts w:ascii="Book Antiqua" w:hAnsi="Book Antiqua"/>
          <w:lang w:val="en-US"/>
        </w:rPr>
        <w:t xml:space="preserve">regime </w:t>
      </w:r>
      <w:r>
        <w:rPr>
          <w:rFonts w:ascii="Book Antiqua" w:hAnsi="Book Antiqua"/>
          <w:lang w:val="en-US"/>
        </w:rPr>
        <w:t xml:space="preserve">applied to this appellant’s period of overstaying in November / December 2016.  </w:t>
      </w:r>
      <w:r w:rsidR="007171BE">
        <w:rPr>
          <w:rFonts w:ascii="Book Antiqua" w:hAnsi="Book Antiqua"/>
          <w:lang w:val="en-US"/>
        </w:rPr>
        <w:t>He was right to do so</w:t>
      </w:r>
      <w:r>
        <w:rPr>
          <w:rFonts w:ascii="Book Antiqua" w:hAnsi="Book Antiqua"/>
          <w:lang w:val="en-US"/>
        </w:rPr>
        <w:t xml:space="preserve"> because the relevant implementation </w:t>
      </w:r>
      <w:r w:rsidR="00DD6470">
        <w:rPr>
          <w:rFonts w:ascii="Book Antiqua" w:hAnsi="Book Antiqua"/>
          <w:lang w:val="en-US"/>
        </w:rPr>
        <w:lastRenderedPageBreak/>
        <w:t xml:space="preserve">provisions </w:t>
      </w:r>
      <w:r>
        <w:rPr>
          <w:rFonts w:ascii="Book Antiqua" w:hAnsi="Book Antiqua"/>
          <w:lang w:val="en-US"/>
        </w:rPr>
        <w:t xml:space="preserve">made it clear </w:t>
      </w:r>
      <w:r w:rsidR="007171BE">
        <w:rPr>
          <w:rFonts w:ascii="Book Antiqua" w:hAnsi="Book Antiqua"/>
          <w:lang w:val="en-US"/>
        </w:rPr>
        <w:t xml:space="preserve">that </w:t>
      </w:r>
      <w:r>
        <w:rPr>
          <w:rFonts w:ascii="Book Antiqua" w:hAnsi="Book Antiqua"/>
          <w:lang w:val="en-US"/>
        </w:rPr>
        <w:t xml:space="preserve">39E </w:t>
      </w:r>
      <w:r w:rsidR="00AE20F9">
        <w:rPr>
          <w:rFonts w:ascii="Book Antiqua" w:hAnsi="Book Antiqua"/>
          <w:lang w:val="en-US"/>
        </w:rPr>
        <w:t>took</w:t>
      </w:r>
      <w:r>
        <w:rPr>
          <w:rFonts w:ascii="Book Antiqua" w:hAnsi="Book Antiqua"/>
          <w:lang w:val="en-US"/>
        </w:rPr>
        <w:t xml:space="preserve"> effect from 24 November 2016 in relation to applications made on or after </w:t>
      </w:r>
      <w:r w:rsidR="00AE20F9">
        <w:rPr>
          <w:rFonts w:ascii="Book Antiqua" w:hAnsi="Book Antiqua"/>
          <w:lang w:val="en-US"/>
        </w:rPr>
        <w:t>that date</w:t>
      </w:r>
      <w:r w:rsidR="002A2838">
        <w:rPr>
          <w:rFonts w:ascii="Book Antiqua" w:hAnsi="Book Antiqua"/>
          <w:lang w:val="en-US"/>
        </w:rPr>
        <w:t>, and this appellant made his application on 6 December 2016</w:t>
      </w:r>
      <w:r>
        <w:rPr>
          <w:rFonts w:ascii="Book Antiqua" w:hAnsi="Book Antiqua"/>
          <w:lang w:val="en-US"/>
        </w:rPr>
        <w:t>.</w:t>
      </w:r>
      <w:r w:rsidR="007171BE">
        <w:rPr>
          <w:rFonts w:ascii="Book Antiqua" w:hAnsi="Book Antiqua"/>
          <w:lang w:val="en-US"/>
        </w:rPr>
        <w:t xml:space="preserve">  </w:t>
      </w:r>
      <w:r w:rsidR="00DB3DE4" w:rsidRPr="007171BE">
        <w:rPr>
          <w:rFonts w:ascii="Book Antiqua" w:hAnsi="Book Antiqua"/>
          <w:lang w:val="en-US"/>
        </w:rPr>
        <w:t>It follows that for the purposes of determining whether th</w:t>
      </w:r>
      <w:r w:rsidR="00ED1EA5" w:rsidRPr="007171BE">
        <w:rPr>
          <w:rFonts w:ascii="Book Antiqua" w:hAnsi="Book Antiqua"/>
          <w:lang w:val="en-US"/>
        </w:rPr>
        <w:t>is period of overstaying could be disregarded</w:t>
      </w:r>
      <w:r w:rsidR="00E33DB8" w:rsidRPr="007171BE">
        <w:rPr>
          <w:rFonts w:ascii="Book Antiqua" w:hAnsi="Book Antiqua"/>
          <w:lang w:val="en-US"/>
        </w:rPr>
        <w:t>, one must turn to 34E and not the previous 28-day regime.</w:t>
      </w:r>
      <w:r w:rsidR="00B50A1C" w:rsidRPr="007171BE">
        <w:rPr>
          <w:rFonts w:ascii="Book Antiqua" w:hAnsi="Book Antiqua"/>
          <w:lang w:val="en-US"/>
        </w:rPr>
        <w:t xml:space="preserve">  </w:t>
      </w:r>
      <w:r w:rsidR="00B50A1C" w:rsidRPr="007171BE">
        <w:rPr>
          <w:rFonts w:ascii="Book Antiqua" w:hAnsi="Book Antiqua"/>
        </w:rPr>
        <w:t>The two circumstances which attract the disregard</w:t>
      </w:r>
      <w:r w:rsidR="004658AE" w:rsidRPr="007171BE">
        <w:rPr>
          <w:rFonts w:ascii="Book Antiqua" w:hAnsi="Book Antiqua"/>
        </w:rPr>
        <w:t xml:space="preserve"> in 34E</w:t>
      </w:r>
      <w:r w:rsidR="00B50A1C" w:rsidRPr="007171BE">
        <w:rPr>
          <w:rFonts w:ascii="Book Antiqua" w:hAnsi="Book Antiqua"/>
        </w:rPr>
        <w:t xml:space="preserve"> are of different characters, but in both the application for further leave needs to have been made within 14 days of the expiry of the previous leave. </w:t>
      </w:r>
      <w:r w:rsidR="00D41BD5" w:rsidRPr="007171BE">
        <w:rPr>
          <w:rFonts w:ascii="Book Antiqua" w:hAnsi="Book Antiqua"/>
        </w:rPr>
        <w:t xml:space="preserve"> Given this, </w:t>
      </w:r>
      <w:r w:rsidR="007F593C" w:rsidRPr="007171BE">
        <w:rPr>
          <w:rFonts w:ascii="Book Antiqua" w:hAnsi="Book Antiqua"/>
        </w:rPr>
        <w:t>M</w:t>
      </w:r>
      <w:r w:rsidR="002A2838" w:rsidRPr="007171BE">
        <w:rPr>
          <w:rFonts w:ascii="Book Antiqua" w:hAnsi="Book Antiqua"/>
        </w:rPr>
        <w:t>r Youssefian</w:t>
      </w:r>
      <w:r w:rsidR="007F593C" w:rsidRPr="007171BE">
        <w:rPr>
          <w:rFonts w:ascii="Book Antiqua" w:hAnsi="Book Antiqua"/>
        </w:rPr>
        <w:t xml:space="preserve"> was correct to concede that the </w:t>
      </w:r>
      <w:r w:rsidR="00783B27">
        <w:rPr>
          <w:rFonts w:ascii="Book Antiqua" w:hAnsi="Book Antiqua"/>
        </w:rPr>
        <w:t xml:space="preserve">relevant </w:t>
      </w:r>
      <w:r w:rsidR="007F593C" w:rsidRPr="007171BE">
        <w:rPr>
          <w:rFonts w:ascii="Book Antiqua" w:hAnsi="Book Antiqua"/>
        </w:rPr>
        <w:t xml:space="preserve">application for further leave was made 26 days after the appellant became </w:t>
      </w:r>
      <w:r w:rsidR="00302D70" w:rsidRPr="007171BE">
        <w:rPr>
          <w:rFonts w:ascii="Book Antiqua" w:hAnsi="Book Antiqua"/>
        </w:rPr>
        <w:t xml:space="preserve">ARE and </w:t>
      </w:r>
      <w:r w:rsidR="00080DE1">
        <w:rPr>
          <w:rFonts w:ascii="Book Antiqua" w:hAnsi="Book Antiqua"/>
        </w:rPr>
        <w:t>the appellant</w:t>
      </w:r>
      <w:r w:rsidR="00302D70" w:rsidRPr="007171BE">
        <w:rPr>
          <w:rFonts w:ascii="Book Antiqua" w:hAnsi="Book Antiqua"/>
        </w:rPr>
        <w:t xml:space="preserve"> </w:t>
      </w:r>
      <w:r w:rsidR="00EF2BCF" w:rsidRPr="007171BE">
        <w:rPr>
          <w:rFonts w:ascii="Book Antiqua" w:hAnsi="Book Antiqua"/>
        </w:rPr>
        <w:t xml:space="preserve">therefore </w:t>
      </w:r>
      <w:r w:rsidR="00783B27">
        <w:rPr>
          <w:rFonts w:ascii="Book Antiqua" w:hAnsi="Book Antiqua"/>
        </w:rPr>
        <w:t>could not</w:t>
      </w:r>
      <w:r w:rsidR="00302D70" w:rsidRPr="007171BE">
        <w:rPr>
          <w:rFonts w:ascii="Book Antiqua" w:hAnsi="Book Antiqua"/>
        </w:rPr>
        <w:t xml:space="preserve"> rely upon the disregard</w:t>
      </w:r>
      <w:r w:rsidR="00783B27">
        <w:rPr>
          <w:rFonts w:ascii="Book Antiqua" w:hAnsi="Book Antiqua"/>
        </w:rPr>
        <w:t xml:space="preserve"> provisions in 34E</w:t>
      </w:r>
      <w:r w:rsidR="00302D70" w:rsidRPr="007171BE">
        <w:rPr>
          <w:rFonts w:ascii="Book Antiqua" w:hAnsi="Book Antiqua"/>
        </w:rPr>
        <w:t>.</w:t>
      </w:r>
    </w:p>
    <w:p w14:paraId="2D52F08D" w14:textId="77777777" w:rsidR="00302D70" w:rsidRPr="00302D70" w:rsidRDefault="00302D70" w:rsidP="00302D70">
      <w:pPr>
        <w:pStyle w:val="ListParagraph"/>
        <w:rPr>
          <w:rFonts w:ascii="Book Antiqua" w:hAnsi="Book Antiqua"/>
        </w:rPr>
      </w:pPr>
    </w:p>
    <w:p w14:paraId="42F80771" w14:textId="341E02D7" w:rsidR="00FD6378" w:rsidRPr="00FD6378" w:rsidRDefault="002A2838" w:rsidP="008B28EA">
      <w:pPr>
        <w:pStyle w:val="ListParagraph"/>
        <w:numPr>
          <w:ilvl w:val="0"/>
          <w:numId w:val="1"/>
        </w:numPr>
        <w:jc w:val="both"/>
        <w:rPr>
          <w:rFonts w:ascii="Book Antiqua" w:hAnsi="Book Antiqua"/>
          <w:lang w:val="en-US"/>
        </w:rPr>
      </w:pPr>
      <w:r>
        <w:rPr>
          <w:rFonts w:ascii="Book Antiqua" w:hAnsi="Book Antiqua"/>
        </w:rPr>
        <w:t>Given those concessions, t</w:t>
      </w:r>
      <w:r w:rsidR="00302D70">
        <w:rPr>
          <w:rFonts w:ascii="Book Antiqua" w:hAnsi="Book Antiqua"/>
        </w:rPr>
        <w:t>he appellant’s period of overstaying from the date he became ARE</w:t>
      </w:r>
      <w:r>
        <w:rPr>
          <w:rFonts w:ascii="Book Antiqua" w:hAnsi="Book Antiqua"/>
        </w:rPr>
        <w:t>,</w:t>
      </w:r>
      <w:r w:rsidR="00302D70">
        <w:rPr>
          <w:rFonts w:ascii="Book Antiqua" w:hAnsi="Book Antiqua"/>
        </w:rPr>
        <w:t xml:space="preserve"> </w:t>
      </w:r>
      <w:r w:rsidR="00644846">
        <w:rPr>
          <w:rFonts w:ascii="Book Antiqua" w:hAnsi="Book Antiqua"/>
        </w:rPr>
        <w:t>i.e</w:t>
      </w:r>
      <w:r w:rsidR="00E33111">
        <w:rPr>
          <w:rFonts w:ascii="Book Antiqua" w:hAnsi="Book Antiqua"/>
        </w:rPr>
        <w:t>. 1</w:t>
      </w:r>
      <w:r w:rsidR="00783B27">
        <w:rPr>
          <w:rFonts w:ascii="Book Antiqua" w:hAnsi="Book Antiqua"/>
        </w:rPr>
        <w:t>0</w:t>
      </w:r>
      <w:r w:rsidR="00E33111">
        <w:rPr>
          <w:rFonts w:ascii="Book Antiqua" w:hAnsi="Book Antiqua"/>
        </w:rPr>
        <w:t xml:space="preserve"> November</w:t>
      </w:r>
      <w:r>
        <w:rPr>
          <w:rFonts w:ascii="Book Antiqua" w:hAnsi="Book Antiqua"/>
        </w:rPr>
        <w:t xml:space="preserve"> 2016</w:t>
      </w:r>
      <w:r w:rsidR="00074E3A">
        <w:rPr>
          <w:rFonts w:ascii="Book Antiqua" w:hAnsi="Book Antiqua"/>
        </w:rPr>
        <w:t>,</w:t>
      </w:r>
      <w:r w:rsidR="00E33111">
        <w:rPr>
          <w:rFonts w:ascii="Book Antiqua" w:hAnsi="Book Antiqua"/>
        </w:rPr>
        <w:t xml:space="preserve"> </w:t>
      </w:r>
      <w:r w:rsidR="00302D70">
        <w:rPr>
          <w:rFonts w:ascii="Book Antiqua" w:hAnsi="Book Antiqua"/>
        </w:rPr>
        <w:t>c</w:t>
      </w:r>
      <w:r w:rsidR="00783B27">
        <w:rPr>
          <w:rFonts w:ascii="Book Antiqua" w:hAnsi="Book Antiqua"/>
        </w:rPr>
        <w:t>ould not</w:t>
      </w:r>
      <w:r w:rsidR="00302D70">
        <w:rPr>
          <w:rFonts w:ascii="Book Antiqua" w:hAnsi="Book Antiqua"/>
        </w:rPr>
        <w:t xml:space="preserve"> be disregarded</w:t>
      </w:r>
      <w:r w:rsidR="00FD6378">
        <w:rPr>
          <w:rFonts w:ascii="Book Antiqua" w:hAnsi="Book Antiqua"/>
        </w:rPr>
        <w:t xml:space="preserve"> pursuant to any incarnation of policy or the Rules, notwithstanding his application </w:t>
      </w:r>
      <w:r>
        <w:rPr>
          <w:rFonts w:ascii="Book Antiqua" w:hAnsi="Book Antiqua"/>
        </w:rPr>
        <w:t>26 days later on</w:t>
      </w:r>
      <w:r w:rsidR="00FD6378">
        <w:rPr>
          <w:rFonts w:ascii="Book Antiqua" w:hAnsi="Book Antiqua"/>
        </w:rPr>
        <w:t xml:space="preserve"> 6 December 2016.</w:t>
      </w:r>
      <w:r>
        <w:rPr>
          <w:rFonts w:ascii="Book Antiqua" w:hAnsi="Book Antiqua"/>
        </w:rPr>
        <w:t xml:space="preserve">  In those circumstances </w:t>
      </w:r>
      <w:r w:rsidR="00850C70">
        <w:rPr>
          <w:rFonts w:ascii="Book Antiqua" w:hAnsi="Book Antiqua"/>
        </w:rPr>
        <w:t>at the date of the respondent’s decision the appellant was</w:t>
      </w:r>
      <w:r>
        <w:rPr>
          <w:rFonts w:ascii="Book Antiqua" w:hAnsi="Book Antiqua"/>
        </w:rPr>
        <w:t xml:space="preserve"> unable to meet paragraph 276(i)(a) or 276(v) of the Rules</w:t>
      </w:r>
      <w:r w:rsidR="00850C70">
        <w:rPr>
          <w:rFonts w:ascii="Book Antiqua" w:hAnsi="Book Antiqua"/>
        </w:rPr>
        <w:t>, and that remains the position</w:t>
      </w:r>
      <w:r>
        <w:rPr>
          <w:rFonts w:ascii="Book Antiqua" w:hAnsi="Book Antiqua"/>
        </w:rPr>
        <w:t>.</w:t>
      </w:r>
    </w:p>
    <w:p w14:paraId="40425264" w14:textId="77777777" w:rsidR="00FD6378" w:rsidRPr="00FD6378" w:rsidRDefault="00FD6378" w:rsidP="00FD6378">
      <w:pPr>
        <w:pStyle w:val="ListParagraph"/>
        <w:rPr>
          <w:rFonts w:ascii="Book Antiqua" w:hAnsi="Book Antiqua"/>
        </w:rPr>
      </w:pPr>
    </w:p>
    <w:p w14:paraId="66A25DA9" w14:textId="6A3B212E" w:rsidR="00E33DB8" w:rsidRDefault="00693B42" w:rsidP="008B28EA">
      <w:pPr>
        <w:pStyle w:val="ListParagraph"/>
        <w:numPr>
          <w:ilvl w:val="0"/>
          <w:numId w:val="1"/>
        </w:numPr>
        <w:jc w:val="both"/>
        <w:rPr>
          <w:rFonts w:ascii="Book Antiqua" w:hAnsi="Book Antiqua"/>
          <w:lang w:val="en-US"/>
        </w:rPr>
      </w:pPr>
      <w:r w:rsidRPr="00693B42">
        <w:rPr>
          <w:rFonts w:ascii="Book Antiqua" w:hAnsi="Book Antiqua"/>
          <w:lang w:val="en-US"/>
        </w:rPr>
        <w:t xml:space="preserve">Mr </w:t>
      </w:r>
      <w:r w:rsidR="002A2838">
        <w:rPr>
          <w:rFonts w:ascii="Book Antiqua" w:hAnsi="Book Antiqua"/>
          <w:lang w:val="en-US"/>
        </w:rPr>
        <w:t xml:space="preserve">Youssefian </w:t>
      </w:r>
      <w:r w:rsidRPr="00693B42">
        <w:rPr>
          <w:rFonts w:ascii="Book Antiqua" w:hAnsi="Book Antiqua"/>
          <w:lang w:val="en-US"/>
        </w:rPr>
        <w:t xml:space="preserve">submitted that the appellant inadvertently </w:t>
      </w:r>
      <w:r w:rsidR="002A2838">
        <w:rPr>
          <w:rFonts w:ascii="Book Antiqua" w:hAnsi="Book Antiqua"/>
          <w:lang w:val="en-US"/>
        </w:rPr>
        <w:t>‘</w:t>
      </w:r>
      <w:r w:rsidRPr="00693B42">
        <w:rPr>
          <w:rFonts w:ascii="Book Antiqua" w:hAnsi="Book Antiqua"/>
          <w:lang w:val="en-US"/>
        </w:rPr>
        <w:t>fell through the cracks</w:t>
      </w:r>
      <w:r w:rsidR="002A2838">
        <w:rPr>
          <w:rFonts w:ascii="Book Antiqua" w:hAnsi="Book Antiqua"/>
          <w:lang w:val="en-US"/>
        </w:rPr>
        <w:t>’</w:t>
      </w:r>
      <w:r w:rsidRPr="00693B42">
        <w:rPr>
          <w:rFonts w:ascii="Book Antiqua" w:hAnsi="Book Antiqua"/>
          <w:lang w:val="en-US"/>
        </w:rPr>
        <w:t xml:space="preserve"> because at the time he became ARE </w:t>
      </w:r>
      <w:r w:rsidR="00816008">
        <w:rPr>
          <w:rFonts w:ascii="Book Antiqua" w:hAnsi="Book Antiqua"/>
          <w:lang w:val="en-US"/>
        </w:rPr>
        <w:t xml:space="preserve">on 10 November 2016 </w:t>
      </w:r>
      <w:r w:rsidRPr="00693B42">
        <w:rPr>
          <w:rFonts w:ascii="Book Antiqua" w:hAnsi="Book Antiqua"/>
          <w:lang w:val="en-US"/>
        </w:rPr>
        <w:t>he had 28 days to make a further application for leave pursuant to a longstanding policy</w:t>
      </w:r>
      <w:r>
        <w:rPr>
          <w:rFonts w:ascii="Book Antiqua" w:hAnsi="Book Antiqua"/>
          <w:lang w:val="en-US"/>
        </w:rPr>
        <w:t>,</w:t>
      </w:r>
      <w:r w:rsidRPr="00693B42">
        <w:rPr>
          <w:rFonts w:ascii="Book Antiqua" w:hAnsi="Book Antiqua"/>
          <w:lang w:val="en-US"/>
        </w:rPr>
        <w:t xml:space="preserve"> but that was abandoned on 24 November 2016</w:t>
      </w:r>
      <w:r w:rsidR="007A212A">
        <w:rPr>
          <w:rFonts w:ascii="Book Antiqua" w:hAnsi="Book Antiqua"/>
          <w:lang w:val="en-US"/>
        </w:rPr>
        <w:t xml:space="preserve"> and in all the circumstances “</w:t>
      </w:r>
      <w:r w:rsidR="007A212A" w:rsidRPr="002A2838">
        <w:rPr>
          <w:rFonts w:ascii="Book Antiqua" w:hAnsi="Book Antiqua"/>
          <w:i/>
          <w:iCs/>
          <w:lang w:val="en-US"/>
        </w:rPr>
        <w:t>discretion should be exercised in his favour</w:t>
      </w:r>
      <w:r w:rsidR="007A212A">
        <w:rPr>
          <w:rFonts w:ascii="Book Antiqua" w:hAnsi="Book Antiqua"/>
          <w:lang w:val="en-US"/>
        </w:rPr>
        <w:t>”</w:t>
      </w:r>
      <w:r w:rsidRPr="00693B42">
        <w:rPr>
          <w:rFonts w:ascii="Book Antiqua" w:hAnsi="Book Antiqua"/>
          <w:lang w:val="en-US"/>
        </w:rPr>
        <w:t>.</w:t>
      </w:r>
      <w:r w:rsidR="00816B3F">
        <w:rPr>
          <w:rFonts w:ascii="Book Antiqua" w:hAnsi="Book Antiqua"/>
          <w:lang w:val="en-US"/>
        </w:rPr>
        <w:t xml:space="preserve"> </w:t>
      </w:r>
      <w:r w:rsidR="002A2838">
        <w:rPr>
          <w:rFonts w:ascii="Book Antiqua" w:hAnsi="Book Antiqua"/>
          <w:lang w:val="en-US"/>
        </w:rPr>
        <w:t xml:space="preserve"> D</w:t>
      </w:r>
      <w:r w:rsidR="00816B3F">
        <w:rPr>
          <w:rFonts w:ascii="Book Antiqua" w:hAnsi="Book Antiqua"/>
          <w:lang w:val="en-US"/>
        </w:rPr>
        <w:t xml:space="preserve">uring oral argument </w:t>
      </w:r>
      <w:r w:rsidR="00783B27">
        <w:rPr>
          <w:rFonts w:ascii="Book Antiqua" w:hAnsi="Book Antiqua"/>
          <w:lang w:val="en-US"/>
        </w:rPr>
        <w:t>Mr Youssefian clarified that he meant that this was</w:t>
      </w:r>
      <w:r w:rsidR="00816B3F">
        <w:rPr>
          <w:rFonts w:ascii="Book Antiqua" w:hAnsi="Book Antiqua"/>
          <w:lang w:val="en-US"/>
        </w:rPr>
        <w:t xml:space="preserve"> a relevant factor to be considered as part of the Article 8 balancing exercise, to which I turn to below.</w:t>
      </w:r>
      <w:r w:rsidR="00783B27">
        <w:rPr>
          <w:rFonts w:ascii="Book Antiqua" w:hAnsi="Book Antiqua"/>
          <w:lang w:val="en-US"/>
        </w:rPr>
        <w:t xml:space="preserve">  </w:t>
      </w:r>
    </w:p>
    <w:p w14:paraId="7F75FB6E" w14:textId="31386F6E" w:rsidR="00F76DEA" w:rsidRPr="00F76DEA" w:rsidRDefault="00F76DEA" w:rsidP="00F76DEA">
      <w:pPr>
        <w:jc w:val="both"/>
        <w:rPr>
          <w:rFonts w:ascii="Book Antiqua" w:hAnsi="Book Antiqua"/>
          <w:i/>
          <w:iCs/>
          <w:lang w:val="en-US"/>
        </w:rPr>
      </w:pPr>
    </w:p>
    <w:p w14:paraId="5D179BFC" w14:textId="3B7ACD73" w:rsidR="00F76DEA" w:rsidRPr="00783B27" w:rsidRDefault="002814C3" w:rsidP="00783B27">
      <w:pPr>
        <w:jc w:val="both"/>
        <w:rPr>
          <w:rFonts w:ascii="Book Antiqua" w:hAnsi="Book Antiqua"/>
          <w:i/>
          <w:iCs/>
          <w:lang w:val="en-US"/>
        </w:rPr>
      </w:pPr>
      <w:r w:rsidRPr="00783B27">
        <w:rPr>
          <w:rFonts w:ascii="Book Antiqua" w:hAnsi="Book Antiqua"/>
          <w:i/>
          <w:iCs/>
          <w:lang w:val="en-US"/>
        </w:rPr>
        <w:t xml:space="preserve">29 </w:t>
      </w:r>
      <w:r w:rsidR="00F76DEA" w:rsidRPr="00783B27">
        <w:rPr>
          <w:rFonts w:ascii="Book Antiqua" w:hAnsi="Book Antiqua"/>
          <w:i/>
          <w:iCs/>
          <w:lang w:val="en-US"/>
        </w:rPr>
        <w:t xml:space="preserve">June </w:t>
      </w:r>
      <w:r w:rsidR="00E958FC" w:rsidRPr="00783B27">
        <w:rPr>
          <w:rFonts w:ascii="Book Antiqua" w:hAnsi="Book Antiqua"/>
          <w:i/>
          <w:iCs/>
          <w:lang w:val="en-US"/>
        </w:rPr>
        <w:t xml:space="preserve">2017 </w:t>
      </w:r>
      <w:r w:rsidR="00F76DEA" w:rsidRPr="00783B27">
        <w:rPr>
          <w:rFonts w:ascii="Book Antiqua" w:hAnsi="Book Antiqua"/>
          <w:i/>
          <w:iCs/>
          <w:lang w:val="en-US"/>
        </w:rPr>
        <w:t>refusal</w:t>
      </w:r>
    </w:p>
    <w:p w14:paraId="3CC9EBFA" w14:textId="77777777" w:rsidR="008B28EA" w:rsidRPr="008B28EA" w:rsidRDefault="008B28EA" w:rsidP="008B28EA">
      <w:pPr>
        <w:pStyle w:val="ListParagraph"/>
        <w:rPr>
          <w:rFonts w:ascii="Book Antiqua" w:hAnsi="Book Antiqua"/>
          <w:lang w:val="en-US"/>
        </w:rPr>
      </w:pPr>
    </w:p>
    <w:p w14:paraId="49FB9305" w14:textId="5D4D8B91" w:rsidR="005C1B11" w:rsidRPr="00FF1827" w:rsidRDefault="002A2838" w:rsidP="00FF1827">
      <w:pPr>
        <w:pStyle w:val="ListParagraph"/>
        <w:numPr>
          <w:ilvl w:val="0"/>
          <w:numId w:val="1"/>
        </w:numPr>
        <w:jc w:val="both"/>
        <w:rPr>
          <w:rFonts w:ascii="Book Antiqua" w:hAnsi="Book Antiqua"/>
          <w:lang w:val="en-US"/>
        </w:rPr>
      </w:pPr>
      <w:r>
        <w:rPr>
          <w:rFonts w:ascii="Book Antiqua" w:hAnsi="Book Antiqua"/>
          <w:lang w:val="en-US"/>
        </w:rPr>
        <w:t>As t</w:t>
      </w:r>
      <w:r w:rsidR="00E42964">
        <w:rPr>
          <w:rFonts w:ascii="Book Antiqua" w:hAnsi="Book Antiqua"/>
          <w:lang w:val="en-US"/>
        </w:rPr>
        <w:t xml:space="preserve">he appellant </w:t>
      </w:r>
      <w:r>
        <w:rPr>
          <w:rFonts w:ascii="Book Antiqua" w:hAnsi="Book Antiqua"/>
          <w:lang w:val="en-US"/>
        </w:rPr>
        <w:t xml:space="preserve">began </w:t>
      </w:r>
      <w:r w:rsidR="00E42964">
        <w:rPr>
          <w:rFonts w:ascii="Book Antiqua" w:hAnsi="Book Antiqua"/>
          <w:lang w:val="en-US"/>
        </w:rPr>
        <w:t>overstay</w:t>
      </w:r>
      <w:r>
        <w:rPr>
          <w:rFonts w:ascii="Book Antiqua" w:hAnsi="Book Antiqua"/>
          <w:lang w:val="en-US"/>
        </w:rPr>
        <w:t>ing</w:t>
      </w:r>
      <w:r w:rsidR="00E42964">
        <w:rPr>
          <w:rFonts w:ascii="Book Antiqua" w:hAnsi="Book Antiqua"/>
          <w:lang w:val="en-US"/>
        </w:rPr>
        <w:t xml:space="preserve"> once he became ARE</w:t>
      </w:r>
      <w:r>
        <w:rPr>
          <w:rFonts w:ascii="Book Antiqua" w:hAnsi="Book Antiqua"/>
          <w:lang w:val="en-US"/>
        </w:rPr>
        <w:t xml:space="preserve">, and that overstaying cannot be disregarded, the issue concerning the date the 6 December 2016 application was determined </w:t>
      </w:r>
      <w:r w:rsidR="00FF1827">
        <w:rPr>
          <w:rFonts w:ascii="Book Antiqua" w:hAnsi="Book Antiqua"/>
          <w:lang w:val="en-US"/>
        </w:rPr>
        <w:t xml:space="preserve">takes on </w:t>
      </w:r>
      <w:r>
        <w:rPr>
          <w:rFonts w:ascii="Book Antiqua" w:hAnsi="Book Antiqua"/>
          <w:lang w:val="en-US"/>
        </w:rPr>
        <w:t xml:space="preserve">less significance.  Whatever view is taken </w:t>
      </w:r>
      <w:r w:rsidR="00783B27">
        <w:rPr>
          <w:rFonts w:ascii="Book Antiqua" w:hAnsi="Book Antiqua"/>
          <w:lang w:val="en-US"/>
        </w:rPr>
        <w:t>on</w:t>
      </w:r>
      <w:r>
        <w:rPr>
          <w:rFonts w:ascii="Book Antiqua" w:hAnsi="Book Antiqua"/>
          <w:lang w:val="en-US"/>
        </w:rPr>
        <w:t xml:space="preserve"> this issue the appellant clearly cannot meet the requirements of 276B.</w:t>
      </w:r>
      <w:r w:rsidR="00FF1827">
        <w:rPr>
          <w:rFonts w:ascii="Book Antiqua" w:hAnsi="Book Antiqua"/>
          <w:lang w:val="en-US"/>
        </w:rPr>
        <w:t xml:space="preserve">  </w:t>
      </w:r>
      <w:r w:rsidR="005C1B11" w:rsidRPr="00FF1827">
        <w:rPr>
          <w:rFonts w:ascii="Book Antiqua" w:hAnsi="Book Antiqua"/>
          <w:lang w:val="en-US"/>
        </w:rPr>
        <w:t>M</w:t>
      </w:r>
      <w:r w:rsidR="00783B27">
        <w:rPr>
          <w:rFonts w:ascii="Book Antiqua" w:hAnsi="Book Antiqua"/>
          <w:lang w:val="en-US"/>
        </w:rPr>
        <w:t>r Youssefian</w:t>
      </w:r>
      <w:r w:rsidR="005C1B11" w:rsidRPr="00FF1827">
        <w:rPr>
          <w:rFonts w:ascii="Book Antiqua" w:hAnsi="Book Antiqua"/>
          <w:lang w:val="en-US"/>
        </w:rPr>
        <w:t xml:space="preserve"> </w:t>
      </w:r>
      <w:r w:rsidR="00783B27">
        <w:rPr>
          <w:rFonts w:ascii="Book Antiqua" w:hAnsi="Book Antiqua"/>
          <w:lang w:val="en-US"/>
        </w:rPr>
        <w:t xml:space="preserve">nonetheless </w:t>
      </w:r>
      <w:r w:rsidR="005C1B11" w:rsidRPr="00FF1827">
        <w:rPr>
          <w:rFonts w:ascii="Book Antiqua" w:hAnsi="Book Antiqua"/>
          <w:lang w:val="en-US"/>
        </w:rPr>
        <w:t>submitted that the issue continued to be relevant to a proper determination of Article 8.  He invited me to conclude that as the 29 June 2017 decision letter was not served</w:t>
      </w:r>
      <w:r w:rsidR="00FF1827">
        <w:rPr>
          <w:rFonts w:ascii="Book Antiqua" w:hAnsi="Book Antiqua"/>
          <w:lang w:val="en-US"/>
        </w:rPr>
        <w:t xml:space="preserve"> or at least was unknown to the appellant</w:t>
      </w:r>
      <w:r w:rsidR="005C1B11" w:rsidRPr="00FF1827">
        <w:rPr>
          <w:rFonts w:ascii="Book Antiqua" w:hAnsi="Book Antiqua"/>
          <w:lang w:val="en-US"/>
        </w:rPr>
        <w:t xml:space="preserve">, it lent support to </w:t>
      </w:r>
      <w:r w:rsidR="004C6BC5">
        <w:rPr>
          <w:rFonts w:ascii="Book Antiqua" w:hAnsi="Book Antiqua"/>
          <w:lang w:val="en-US"/>
        </w:rPr>
        <w:t>hi</w:t>
      </w:r>
      <w:r w:rsidR="005C1B11" w:rsidRPr="00FF1827">
        <w:rPr>
          <w:rFonts w:ascii="Book Antiqua" w:hAnsi="Book Antiqua"/>
          <w:lang w:val="en-US"/>
        </w:rPr>
        <w:t xml:space="preserve">s claim that he was at all material times acting under the genuine belief that his residence </w:t>
      </w:r>
      <w:r w:rsidR="00FF1827">
        <w:rPr>
          <w:rFonts w:ascii="Book Antiqua" w:hAnsi="Book Antiqua"/>
          <w:lang w:val="en-US"/>
        </w:rPr>
        <w:t xml:space="preserve">in the UK </w:t>
      </w:r>
      <w:r w:rsidR="005C1B11" w:rsidRPr="00FF1827">
        <w:rPr>
          <w:rFonts w:ascii="Book Antiqua" w:hAnsi="Book Antiqua"/>
          <w:lang w:val="en-US"/>
        </w:rPr>
        <w:t xml:space="preserve">continued to be lawful.  This is because the appellant believed that the earlier 26 days overstaying could be disregarded and the 6 December 2016 application was not finally determined until 24 October 2019.  I have already found that </w:t>
      </w:r>
      <w:r w:rsidR="00FF1827">
        <w:rPr>
          <w:rFonts w:ascii="Book Antiqua" w:hAnsi="Book Antiqua"/>
          <w:lang w:val="en-US"/>
        </w:rPr>
        <w:t>the</w:t>
      </w:r>
      <w:r w:rsidR="005C1B11" w:rsidRPr="00FF1827">
        <w:rPr>
          <w:rFonts w:ascii="Book Antiqua" w:hAnsi="Book Antiqua"/>
          <w:lang w:val="en-US"/>
        </w:rPr>
        <w:t xml:space="preserve"> former belief was mistaken and I now turn to the latter</w:t>
      </w:r>
      <w:r w:rsidR="00783B27">
        <w:rPr>
          <w:rFonts w:ascii="Book Antiqua" w:hAnsi="Book Antiqua"/>
          <w:lang w:val="en-US"/>
        </w:rPr>
        <w:t xml:space="preserve"> assertion</w:t>
      </w:r>
      <w:r w:rsidR="005C1B11" w:rsidRPr="00FF1827">
        <w:rPr>
          <w:rFonts w:ascii="Book Antiqua" w:hAnsi="Book Antiqua"/>
          <w:lang w:val="en-US"/>
        </w:rPr>
        <w:t>.</w:t>
      </w:r>
      <w:r w:rsidR="0028037F">
        <w:rPr>
          <w:rFonts w:ascii="Book Antiqua" w:hAnsi="Book Antiqua"/>
          <w:lang w:val="en-US"/>
        </w:rPr>
        <w:t xml:space="preserve">  This includes the submission on behalf of the appellant that the respondent cannot displace the burden on her of establishing that the 29 June 2017 letter was served</w:t>
      </w:r>
      <w:r w:rsidR="003777F7">
        <w:rPr>
          <w:rFonts w:ascii="Book Antiqua" w:hAnsi="Book Antiqua"/>
          <w:lang w:val="en-US"/>
        </w:rPr>
        <w:t>, which I address first.</w:t>
      </w:r>
    </w:p>
    <w:p w14:paraId="7C7F5024" w14:textId="77777777" w:rsidR="003777F7" w:rsidRPr="00C743DD" w:rsidRDefault="003777F7" w:rsidP="00C743DD">
      <w:pPr>
        <w:jc w:val="both"/>
        <w:rPr>
          <w:rFonts w:ascii="Book Antiqua" w:hAnsi="Book Antiqua"/>
          <w:lang w:val="en-US"/>
        </w:rPr>
      </w:pPr>
    </w:p>
    <w:p w14:paraId="3B3274AE" w14:textId="77777777" w:rsidR="003777F7" w:rsidRDefault="003777F7" w:rsidP="003777F7">
      <w:pPr>
        <w:pStyle w:val="ListParagraph"/>
        <w:numPr>
          <w:ilvl w:val="0"/>
          <w:numId w:val="1"/>
        </w:numPr>
        <w:jc w:val="both"/>
        <w:rPr>
          <w:rFonts w:ascii="Book Antiqua" w:hAnsi="Book Antiqua"/>
          <w:lang w:val="en"/>
        </w:rPr>
      </w:pPr>
      <w:r>
        <w:rPr>
          <w:rFonts w:ascii="Book Antiqua" w:hAnsi="Book Antiqua"/>
          <w:lang w:val="en-US"/>
        </w:rPr>
        <w:t xml:space="preserve">Mr Youssefian invited me to find that the respondent did not comply with the requirements of service contained in Appendix SN, which deals with the service </w:t>
      </w:r>
      <w:r>
        <w:rPr>
          <w:rFonts w:ascii="Book Antiqua" w:hAnsi="Book Antiqua"/>
          <w:lang w:val="en-US"/>
        </w:rPr>
        <w:lastRenderedPageBreak/>
        <w:t xml:space="preserve">of notices of non-appealable immigration decisions, such as the one applicable here – a rejection of an application as invalid, see SN1.2(a).  Such a notice may be given by postal service to the person’s representative, see SN1.3(c).  </w:t>
      </w:r>
      <w:r w:rsidRPr="00FD3522">
        <w:rPr>
          <w:rFonts w:ascii="Book Antiqua" w:hAnsi="Book Antiqua"/>
          <w:lang w:val="en"/>
        </w:rPr>
        <w:t xml:space="preserve">Where a notice is sent in accordance with paragraphs SN1.2 to SN1.4, </w:t>
      </w:r>
      <w:r>
        <w:rPr>
          <w:rFonts w:ascii="Book Antiqua" w:hAnsi="Book Antiqua"/>
          <w:lang w:val="en"/>
        </w:rPr>
        <w:t>SN1.9 states that:</w:t>
      </w:r>
    </w:p>
    <w:p w14:paraId="19B31DF1" w14:textId="77777777" w:rsidR="003777F7" w:rsidRPr="00FD3522" w:rsidRDefault="003777F7" w:rsidP="003777F7">
      <w:pPr>
        <w:pStyle w:val="ListParagraph"/>
        <w:rPr>
          <w:rFonts w:ascii="Book Antiqua" w:hAnsi="Book Antiqua"/>
          <w:lang w:val="en"/>
        </w:rPr>
      </w:pPr>
    </w:p>
    <w:p w14:paraId="07905B27" w14:textId="77777777" w:rsidR="003777F7" w:rsidRPr="00FD3522" w:rsidRDefault="003777F7" w:rsidP="003777F7">
      <w:pPr>
        <w:pStyle w:val="ListParagraph"/>
        <w:ind w:left="2160"/>
        <w:jc w:val="both"/>
        <w:rPr>
          <w:rFonts w:ascii="Book Antiqua" w:hAnsi="Book Antiqua"/>
          <w:sz w:val="22"/>
          <w:szCs w:val="22"/>
          <w:lang w:val="en"/>
        </w:rPr>
      </w:pPr>
      <w:r w:rsidRPr="00FD3522">
        <w:rPr>
          <w:rFonts w:ascii="Book Antiqua" w:hAnsi="Book Antiqua"/>
          <w:sz w:val="22"/>
          <w:szCs w:val="22"/>
          <w:lang w:val="en"/>
        </w:rPr>
        <w:t xml:space="preserve">“it shall be deemed to have been given to the person affected, unless the contrary is proved: </w:t>
      </w:r>
    </w:p>
    <w:p w14:paraId="4805AE46" w14:textId="77777777" w:rsidR="003777F7" w:rsidRPr="00FD3522" w:rsidRDefault="003777F7" w:rsidP="003777F7">
      <w:pPr>
        <w:pStyle w:val="ListParagraph"/>
        <w:ind w:left="2000" w:firstLine="160"/>
        <w:jc w:val="both"/>
        <w:rPr>
          <w:rFonts w:ascii="Book Antiqua" w:hAnsi="Book Antiqua"/>
          <w:sz w:val="22"/>
          <w:szCs w:val="22"/>
          <w:lang w:val="en"/>
        </w:rPr>
      </w:pPr>
      <w:r w:rsidRPr="00FD3522">
        <w:rPr>
          <w:rFonts w:ascii="Book Antiqua" w:hAnsi="Book Antiqua"/>
          <w:sz w:val="22"/>
          <w:szCs w:val="22"/>
          <w:lang w:val="en"/>
        </w:rPr>
        <w:t xml:space="preserve">(a) where the notice is sent by postal service: </w:t>
      </w:r>
    </w:p>
    <w:p w14:paraId="1CFB9BBB" w14:textId="77777777" w:rsidR="003777F7" w:rsidRPr="00FD3522" w:rsidRDefault="003777F7" w:rsidP="003777F7">
      <w:pPr>
        <w:pStyle w:val="ListParagraph"/>
        <w:ind w:left="2160"/>
        <w:jc w:val="both"/>
        <w:rPr>
          <w:rFonts w:ascii="Book Antiqua" w:hAnsi="Book Antiqua"/>
          <w:sz w:val="22"/>
          <w:szCs w:val="22"/>
          <w:lang w:val="en"/>
        </w:rPr>
      </w:pPr>
      <w:r w:rsidRPr="00FD3522">
        <w:rPr>
          <w:rFonts w:ascii="Book Antiqua" w:hAnsi="Book Antiqua"/>
          <w:sz w:val="22"/>
          <w:szCs w:val="22"/>
          <w:lang w:val="en"/>
        </w:rPr>
        <w:t>(i) on the second day after it was sent by postal service in which delivery or receipt is recorded if sent to a place within the United Kingdom;…”</w:t>
      </w:r>
    </w:p>
    <w:p w14:paraId="7B9228C6" w14:textId="77777777" w:rsidR="003777F7" w:rsidRPr="0089149E" w:rsidRDefault="003777F7" w:rsidP="003777F7">
      <w:pPr>
        <w:pStyle w:val="ListParagraph"/>
        <w:rPr>
          <w:rFonts w:ascii="Book Antiqua" w:hAnsi="Book Antiqua"/>
          <w:lang w:val="en-US"/>
        </w:rPr>
      </w:pPr>
    </w:p>
    <w:p w14:paraId="789924D0" w14:textId="2F3A61FD" w:rsidR="00090DE5" w:rsidRDefault="003777F7" w:rsidP="00BD6B0A">
      <w:pPr>
        <w:pStyle w:val="ListParagraph"/>
        <w:numPr>
          <w:ilvl w:val="0"/>
          <w:numId w:val="1"/>
        </w:numPr>
        <w:jc w:val="both"/>
        <w:rPr>
          <w:rFonts w:ascii="Book Antiqua" w:hAnsi="Book Antiqua"/>
          <w:lang w:val="en-US"/>
        </w:rPr>
      </w:pPr>
      <w:r w:rsidRPr="004166E3">
        <w:rPr>
          <w:rFonts w:ascii="Book Antiqua" w:hAnsi="Book Antiqua"/>
          <w:lang w:val="en-US"/>
        </w:rPr>
        <w:t>I am satisfied that</w:t>
      </w:r>
      <w:r w:rsidR="00B745AB" w:rsidRPr="004166E3">
        <w:rPr>
          <w:rFonts w:ascii="Book Antiqua" w:hAnsi="Book Antiqua"/>
          <w:lang w:val="en-US"/>
        </w:rPr>
        <w:t xml:space="preserve">, pursuant to </w:t>
      </w:r>
      <w:r w:rsidR="00F2142F" w:rsidRPr="004166E3">
        <w:rPr>
          <w:rFonts w:ascii="Book Antiqua" w:hAnsi="Book Antiqua"/>
          <w:lang w:val="en-US"/>
        </w:rPr>
        <w:t xml:space="preserve">Appendix </w:t>
      </w:r>
      <w:r w:rsidR="00B745AB" w:rsidRPr="004166E3">
        <w:rPr>
          <w:rFonts w:ascii="Book Antiqua" w:hAnsi="Book Antiqua"/>
          <w:lang w:val="en-US"/>
        </w:rPr>
        <w:t>SN</w:t>
      </w:r>
      <w:r w:rsidR="00F2142F" w:rsidRPr="004166E3">
        <w:rPr>
          <w:rFonts w:ascii="Book Antiqua" w:hAnsi="Book Antiqua"/>
          <w:lang w:val="en-US"/>
        </w:rPr>
        <w:t xml:space="preserve">, the </w:t>
      </w:r>
      <w:r w:rsidRPr="004166E3">
        <w:rPr>
          <w:rFonts w:ascii="Book Antiqua" w:hAnsi="Book Antiqua"/>
          <w:lang w:val="en-US"/>
        </w:rPr>
        <w:t xml:space="preserve">29 June 2017 </w:t>
      </w:r>
      <w:r w:rsidR="00F2142F" w:rsidRPr="004166E3">
        <w:rPr>
          <w:rFonts w:ascii="Book Antiqua" w:hAnsi="Book Antiqua"/>
          <w:lang w:val="en-US"/>
        </w:rPr>
        <w:t xml:space="preserve">letter </w:t>
      </w:r>
      <w:r w:rsidRPr="004166E3">
        <w:rPr>
          <w:rFonts w:ascii="Book Antiqua" w:hAnsi="Book Antiqua"/>
          <w:lang w:val="en-US"/>
        </w:rPr>
        <w:t xml:space="preserve">is deemed to have been given to the appellant because it was sent by recorded delivery postal service to his representatives, and the appellant has not proved the contrary.  In </w:t>
      </w:r>
      <w:r w:rsidRPr="004166E3">
        <w:rPr>
          <w:rFonts w:ascii="Book Antiqua" w:hAnsi="Book Antiqua"/>
          <w:u w:val="single"/>
          <w:lang w:val="en-US"/>
        </w:rPr>
        <w:t>R (Alam) and (Rana) v SSHD</w:t>
      </w:r>
      <w:r w:rsidRPr="004166E3">
        <w:rPr>
          <w:rFonts w:ascii="Book Antiqua" w:hAnsi="Book Antiqua"/>
          <w:lang w:val="en-US"/>
        </w:rPr>
        <w:t xml:space="preserve"> [2020] EWCA Civ 1527, Floyd LJ concluded at [31] that “unless the contrary is proved” as contained in Article 8ZB(1) of the Immigration (Leave to Enter and Remain) Order 2000, in relation to notices varying leave “</w:t>
      </w:r>
      <w:r w:rsidRPr="004166E3">
        <w:rPr>
          <w:rFonts w:ascii="Book Antiqua" w:hAnsi="Book Antiqua"/>
          <w:i/>
          <w:iCs/>
          <w:lang w:val="en-US"/>
        </w:rPr>
        <w:t>…will not be lightly discharged.  In particular it will not be discharged by evidence, far less by mere assertion, that the notice did not come to the attention of the person affected.</w:t>
      </w:r>
      <w:r w:rsidRPr="004166E3">
        <w:rPr>
          <w:rFonts w:ascii="Book Antiqua" w:hAnsi="Book Antiqua"/>
          <w:lang w:val="en-US"/>
        </w:rPr>
        <w:t xml:space="preserve">”  Mr Youssefian was unable to explain why a different approach should apply to the wording found in Appendix SN 1.9.  In this case there no more than the appellant’s evidence that the </w:t>
      </w:r>
      <w:r w:rsidR="002946BC" w:rsidRPr="004166E3">
        <w:rPr>
          <w:rFonts w:ascii="Book Antiqua" w:hAnsi="Book Antiqua"/>
          <w:lang w:val="en-US"/>
        </w:rPr>
        <w:t xml:space="preserve">letter </w:t>
      </w:r>
      <w:r w:rsidRPr="004166E3">
        <w:rPr>
          <w:rFonts w:ascii="Book Antiqua" w:hAnsi="Book Antiqua"/>
          <w:lang w:val="en-US"/>
        </w:rPr>
        <w:t xml:space="preserve">did not come to his attention.  </w:t>
      </w:r>
    </w:p>
    <w:p w14:paraId="6DCDE121" w14:textId="77777777" w:rsidR="004166E3" w:rsidRPr="004166E3" w:rsidRDefault="004166E3" w:rsidP="004166E3">
      <w:pPr>
        <w:pStyle w:val="ListParagraph"/>
        <w:ind w:left="1280"/>
        <w:jc w:val="both"/>
        <w:rPr>
          <w:rFonts w:ascii="Book Antiqua" w:hAnsi="Book Antiqua"/>
          <w:lang w:val="en-US"/>
        </w:rPr>
      </w:pPr>
    </w:p>
    <w:p w14:paraId="3779886B" w14:textId="61316823" w:rsidR="00090DE5" w:rsidRPr="00240493" w:rsidRDefault="00090DE5" w:rsidP="00240493">
      <w:pPr>
        <w:pStyle w:val="ListParagraph"/>
        <w:numPr>
          <w:ilvl w:val="0"/>
          <w:numId w:val="1"/>
        </w:numPr>
        <w:jc w:val="both"/>
        <w:rPr>
          <w:rFonts w:ascii="Book Antiqua" w:hAnsi="Book Antiqua"/>
          <w:lang w:val="en-US"/>
        </w:rPr>
      </w:pPr>
      <w:r>
        <w:rPr>
          <w:rFonts w:ascii="Book Antiqua" w:hAnsi="Book Antiqua"/>
          <w:lang w:val="en-US"/>
        </w:rPr>
        <w:t>I note the appellant</w:t>
      </w:r>
      <w:r w:rsidR="00816F12">
        <w:rPr>
          <w:rFonts w:ascii="Book Antiqua" w:hAnsi="Book Antiqua"/>
          <w:lang w:val="en-US"/>
        </w:rPr>
        <w:t xml:space="preserve"> has consistently maintained </w:t>
      </w:r>
      <w:r>
        <w:rPr>
          <w:rFonts w:ascii="Book Antiqua" w:hAnsi="Book Antiqua"/>
          <w:lang w:val="en-US"/>
        </w:rPr>
        <w:t xml:space="preserve">that he never received </w:t>
      </w:r>
      <w:r w:rsidR="00816F12">
        <w:rPr>
          <w:rFonts w:ascii="Book Antiqua" w:hAnsi="Book Antiqua"/>
          <w:lang w:val="en-US"/>
        </w:rPr>
        <w:t xml:space="preserve">the </w:t>
      </w:r>
      <w:r>
        <w:rPr>
          <w:rFonts w:ascii="Book Antiqua" w:hAnsi="Book Antiqua"/>
          <w:lang w:val="en-US"/>
        </w:rPr>
        <w:t xml:space="preserve">letter.  That is not necessarily surprising as it was addressed to his solicitors and not him.  I was not taken to any evidence from PGA solicitors to confirm that the relevant files were checked and or confirmation from them that this letter was not received.  </w:t>
      </w:r>
      <w:r w:rsidR="003477F2">
        <w:rPr>
          <w:rFonts w:ascii="Book Antiqua" w:hAnsi="Book Antiqua"/>
          <w:lang w:val="en-US"/>
        </w:rPr>
        <w:t>I appreciate that the respondent served the letter very late</w:t>
      </w:r>
      <w:r w:rsidR="00C81A29">
        <w:rPr>
          <w:rFonts w:ascii="Book Antiqua" w:hAnsi="Book Antiqua"/>
          <w:lang w:val="en-US"/>
        </w:rPr>
        <w:t>, albeit the appellant was aware that reliance was placed upon the service of such a letter since the October 2019 decision letter</w:t>
      </w:r>
      <w:r w:rsidR="00D67457">
        <w:rPr>
          <w:rFonts w:ascii="Book Antiqua" w:hAnsi="Book Antiqua"/>
          <w:lang w:val="en-US"/>
        </w:rPr>
        <w:t xml:space="preserve">.  This is why I gave Mr Youssefian every opportunity to apply for an adjournment in the event that it was considered that further </w:t>
      </w:r>
      <w:r w:rsidR="00651001">
        <w:rPr>
          <w:rFonts w:ascii="Book Antiqua" w:hAnsi="Book Antiqua"/>
          <w:lang w:val="en-US"/>
        </w:rPr>
        <w:t xml:space="preserve">rebuttal </w:t>
      </w:r>
      <w:r w:rsidR="00D67457">
        <w:rPr>
          <w:rFonts w:ascii="Book Antiqua" w:hAnsi="Book Antiqua"/>
          <w:lang w:val="en-US"/>
        </w:rPr>
        <w:t>evidence</w:t>
      </w:r>
      <w:r w:rsidR="00651001">
        <w:rPr>
          <w:rFonts w:ascii="Book Antiqua" w:hAnsi="Book Antiqua"/>
          <w:lang w:val="en-US"/>
        </w:rPr>
        <w:t xml:space="preserve"> would be helpful.  </w:t>
      </w:r>
      <w:r>
        <w:rPr>
          <w:rFonts w:ascii="Book Antiqua" w:hAnsi="Book Antiqua"/>
          <w:lang w:val="en-US"/>
        </w:rPr>
        <w:t>Having considered all the evidence in the round, I am satisfied that the letter dated 29 June 2017 was properly served on PGA solicitors</w:t>
      </w:r>
      <w:r w:rsidR="00A15055">
        <w:rPr>
          <w:rFonts w:ascii="Book Antiqua" w:hAnsi="Book Antiqua"/>
          <w:lang w:val="en-US"/>
        </w:rPr>
        <w:t xml:space="preserve"> and there was </w:t>
      </w:r>
      <w:r w:rsidR="006F6898">
        <w:rPr>
          <w:rFonts w:ascii="Book Antiqua" w:hAnsi="Book Antiqua"/>
          <w:lang w:val="en-US"/>
        </w:rPr>
        <w:t xml:space="preserve">therefore </w:t>
      </w:r>
      <w:r w:rsidR="00A15055">
        <w:rPr>
          <w:rFonts w:ascii="Book Antiqua" w:hAnsi="Book Antiqua"/>
          <w:lang w:val="en-US"/>
        </w:rPr>
        <w:t>lawful service</w:t>
      </w:r>
      <w:r>
        <w:rPr>
          <w:rFonts w:ascii="Book Antiqua" w:hAnsi="Book Antiqua"/>
          <w:lang w:val="en-US"/>
        </w:rPr>
        <w:t xml:space="preserve">.  </w:t>
      </w:r>
      <w:r w:rsidRPr="0072571A">
        <w:rPr>
          <w:rFonts w:ascii="Book Antiqua" w:hAnsi="Book Antiqua"/>
          <w:lang w:val="en-US"/>
        </w:rPr>
        <w:t>First, the contents of the letter itself i.e. that the application was rejected as invalid because the appellant did not provide the relevant biometric information is consistent with the appellant’s own chronology of events prior to May 2017</w:t>
      </w:r>
      <w:r w:rsidR="009018C6">
        <w:rPr>
          <w:rFonts w:ascii="Book Antiqua" w:hAnsi="Book Antiqua"/>
          <w:lang w:val="en-US"/>
        </w:rPr>
        <w:t xml:space="preserve"> i.e. he received but ignored requests to provide biometric information</w:t>
      </w:r>
      <w:r w:rsidRPr="0072571A">
        <w:rPr>
          <w:rFonts w:ascii="Book Antiqua" w:hAnsi="Book Antiqua"/>
          <w:lang w:val="en-US"/>
        </w:rPr>
        <w:t xml:space="preserve">.  Second, the letter was addressed to PGA Solicitors and the screenshot confirms that it was sent to them by recorded delivery with a number provided. Although Mr Youssefian asked me to note that he was unable to find such a number in the post office system he acknowledged that this was said to have taken place over three years ago.  Third, the overall chronology including the timing of the 17 July 2017 application is consistent with the earlier application having been rejected. </w:t>
      </w:r>
      <w:r w:rsidR="00C91148">
        <w:rPr>
          <w:rFonts w:ascii="Book Antiqua" w:hAnsi="Book Antiqua"/>
          <w:lang w:val="en-US"/>
        </w:rPr>
        <w:t xml:space="preserve">Fourth, </w:t>
      </w:r>
      <w:r w:rsidR="00C91148" w:rsidRPr="00C91148">
        <w:rPr>
          <w:rFonts w:ascii="Book Antiqua" w:hAnsi="Book Antiqua"/>
          <w:lang w:val="en-US"/>
        </w:rPr>
        <w:t>I have not been taken to any cogent or compelling evidence to support the appellant’s assertion</w:t>
      </w:r>
      <w:r w:rsidR="00C91148">
        <w:rPr>
          <w:rFonts w:ascii="Book Antiqua" w:hAnsi="Book Antiqua"/>
          <w:lang w:val="en-US"/>
        </w:rPr>
        <w:t xml:space="preserve"> that the letter was not served </w:t>
      </w:r>
      <w:r w:rsidR="009018C6">
        <w:rPr>
          <w:rFonts w:ascii="Book Antiqua" w:hAnsi="Book Antiqua"/>
          <w:lang w:val="en-US"/>
        </w:rPr>
        <w:t>upon or received by his solicitors</w:t>
      </w:r>
      <w:r w:rsidR="00C91148" w:rsidRPr="00C91148">
        <w:rPr>
          <w:rFonts w:ascii="Book Antiqua" w:hAnsi="Book Antiqua"/>
          <w:lang w:val="en-US"/>
        </w:rPr>
        <w:t xml:space="preserve">.  </w:t>
      </w:r>
    </w:p>
    <w:p w14:paraId="51A982C5" w14:textId="77777777" w:rsidR="00C743DD" w:rsidRDefault="00C743DD" w:rsidP="00C743DD">
      <w:pPr>
        <w:pStyle w:val="ListParagraph"/>
        <w:ind w:left="1280"/>
        <w:jc w:val="both"/>
        <w:rPr>
          <w:rFonts w:ascii="Book Antiqua" w:hAnsi="Book Antiqua"/>
          <w:lang w:val="en-US"/>
        </w:rPr>
      </w:pPr>
    </w:p>
    <w:p w14:paraId="7F8D81CA" w14:textId="1991BF4D" w:rsidR="004C6BC5" w:rsidRDefault="00C0259C" w:rsidP="008B28EA">
      <w:pPr>
        <w:pStyle w:val="ListParagraph"/>
        <w:numPr>
          <w:ilvl w:val="0"/>
          <w:numId w:val="1"/>
        </w:numPr>
        <w:jc w:val="both"/>
        <w:rPr>
          <w:rFonts w:ascii="Book Antiqua" w:hAnsi="Book Antiqua"/>
          <w:lang w:val="en-US"/>
        </w:rPr>
      </w:pPr>
      <w:r>
        <w:rPr>
          <w:rFonts w:ascii="Book Antiqua" w:hAnsi="Book Antiqua"/>
          <w:lang w:val="en-US"/>
        </w:rPr>
        <w:t>It is of course possible that the solicitors were properly served with the letter but failed to inform the appellant of its contents</w:t>
      </w:r>
      <w:r w:rsidR="00631143">
        <w:rPr>
          <w:rFonts w:ascii="Book Antiqua" w:hAnsi="Book Antiqua"/>
          <w:lang w:val="en-US"/>
        </w:rPr>
        <w:t>.  I note that t</w:t>
      </w:r>
      <w:r w:rsidR="00EC1053">
        <w:rPr>
          <w:rFonts w:ascii="Book Antiqua" w:hAnsi="Book Antiqua"/>
          <w:lang w:val="en-US"/>
        </w:rPr>
        <w:t xml:space="preserve">he appellant has consistently maintained, including </w:t>
      </w:r>
      <w:r w:rsidR="00403E81">
        <w:rPr>
          <w:rFonts w:ascii="Book Antiqua" w:hAnsi="Book Antiqua"/>
          <w:lang w:val="en-US"/>
        </w:rPr>
        <w:t>as part of his</w:t>
      </w:r>
      <w:r w:rsidR="00EC1053">
        <w:rPr>
          <w:rFonts w:ascii="Book Antiqua" w:hAnsi="Book Antiqua"/>
          <w:lang w:val="en-US"/>
        </w:rPr>
        <w:t xml:space="preserve"> evidence before me that</w:t>
      </w:r>
      <w:r w:rsidR="00403E81">
        <w:rPr>
          <w:rFonts w:ascii="Book Antiqua" w:hAnsi="Book Antiqua"/>
          <w:lang w:val="en-US"/>
        </w:rPr>
        <w:t xml:space="preserve"> he had no knowledge of the 29 June </w:t>
      </w:r>
      <w:r w:rsidR="00EF13F6">
        <w:rPr>
          <w:rFonts w:ascii="Book Antiqua" w:hAnsi="Book Antiqua"/>
          <w:lang w:val="en-US"/>
        </w:rPr>
        <w:t xml:space="preserve">2017 </w:t>
      </w:r>
      <w:r w:rsidR="00631143">
        <w:rPr>
          <w:rFonts w:ascii="Book Antiqua" w:hAnsi="Book Antiqua"/>
          <w:lang w:val="en-US"/>
        </w:rPr>
        <w:t>letter</w:t>
      </w:r>
      <w:r w:rsidR="00EF13F6">
        <w:rPr>
          <w:rFonts w:ascii="Book Antiqua" w:hAnsi="Book Antiqua"/>
          <w:lang w:val="en-US"/>
        </w:rPr>
        <w:t xml:space="preserve"> until reference was made to it in the October 2019 decision</w:t>
      </w:r>
      <w:r w:rsidR="001F412A">
        <w:rPr>
          <w:rFonts w:ascii="Book Antiqua" w:hAnsi="Book Antiqua"/>
          <w:lang w:val="en-US"/>
        </w:rPr>
        <w:t xml:space="preserve">.  </w:t>
      </w:r>
      <w:r w:rsidR="00B45D05">
        <w:rPr>
          <w:rFonts w:ascii="Book Antiqua" w:hAnsi="Book Antiqua"/>
          <w:lang w:val="en-US"/>
        </w:rPr>
        <w:t xml:space="preserve">I have carefully considered this evidence in the round.  </w:t>
      </w:r>
      <w:r w:rsidR="00F67BFE">
        <w:rPr>
          <w:rFonts w:ascii="Book Antiqua" w:hAnsi="Book Antiqua"/>
          <w:lang w:val="en-US"/>
        </w:rPr>
        <w:t xml:space="preserve">It is important to note the terms of the </w:t>
      </w:r>
      <w:r w:rsidR="005C1B11">
        <w:rPr>
          <w:rFonts w:ascii="Book Antiqua" w:hAnsi="Book Antiqua"/>
          <w:lang w:val="en-US"/>
        </w:rPr>
        <w:t xml:space="preserve">17 July 2017 </w:t>
      </w:r>
      <w:r w:rsidR="00F67BFE">
        <w:rPr>
          <w:rFonts w:ascii="Book Antiqua" w:hAnsi="Book Antiqua"/>
          <w:lang w:val="en-US"/>
        </w:rPr>
        <w:t xml:space="preserve">solicitors’ </w:t>
      </w:r>
      <w:r w:rsidR="005C1B11">
        <w:rPr>
          <w:rFonts w:ascii="Book Antiqua" w:hAnsi="Book Antiqua"/>
          <w:lang w:val="en-US"/>
        </w:rPr>
        <w:t xml:space="preserve">letter.  This </w:t>
      </w:r>
      <w:r w:rsidR="00783B27">
        <w:rPr>
          <w:rFonts w:ascii="Book Antiqua" w:hAnsi="Book Antiqua"/>
          <w:lang w:val="en-US"/>
        </w:rPr>
        <w:t xml:space="preserve">takes the form of a </w:t>
      </w:r>
      <w:r w:rsidR="00783B27" w:rsidRPr="00783B27">
        <w:rPr>
          <w:rFonts w:ascii="Book Antiqua" w:hAnsi="Book Antiqua"/>
          <w:lang w:val="en-US"/>
        </w:rPr>
        <w:t xml:space="preserve">detailed </w:t>
      </w:r>
      <w:r w:rsidR="00783B27">
        <w:rPr>
          <w:rFonts w:ascii="Book Antiqua" w:hAnsi="Book Antiqua"/>
          <w:lang w:val="en-US"/>
        </w:rPr>
        <w:t xml:space="preserve">4-page </w:t>
      </w:r>
      <w:r w:rsidR="00783B27" w:rsidRPr="00783B27">
        <w:rPr>
          <w:rFonts w:ascii="Book Antiqua" w:hAnsi="Book Antiqua"/>
          <w:lang w:val="en-US"/>
        </w:rPr>
        <w:t>covering</w:t>
      </w:r>
      <w:r w:rsidR="00783B27">
        <w:rPr>
          <w:rFonts w:ascii="Book Antiqua" w:hAnsi="Book Antiqua"/>
          <w:lang w:val="en-US"/>
        </w:rPr>
        <w:t xml:space="preserve"> letter that accompanied a FLR(HRO) i.e. an application for human rights claim</w:t>
      </w:r>
      <w:r w:rsidR="004C6BC5">
        <w:rPr>
          <w:rFonts w:ascii="Book Antiqua" w:hAnsi="Book Antiqua"/>
          <w:lang w:val="en-US"/>
        </w:rPr>
        <w:t>,</w:t>
      </w:r>
      <w:r w:rsidR="00783B27">
        <w:rPr>
          <w:rFonts w:ascii="Book Antiqua" w:hAnsi="Book Antiqua"/>
          <w:lang w:val="en-US"/>
        </w:rPr>
        <w:t xml:space="preserve">  leave outside the Rules and other routes not covered by other forms.  The covering letter</w:t>
      </w:r>
      <w:r w:rsidR="00783B27" w:rsidRPr="00783B27">
        <w:rPr>
          <w:rFonts w:ascii="Book Antiqua" w:hAnsi="Book Antiqua"/>
          <w:lang w:val="en-US"/>
        </w:rPr>
        <w:t xml:space="preserve"> </w:t>
      </w:r>
      <w:r w:rsidR="005C1B11">
        <w:rPr>
          <w:rFonts w:ascii="Book Antiqua" w:hAnsi="Book Antiqua"/>
          <w:lang w:val="en-US"/>
        </w:rPr>
        <w:t xml:space="preserve">makes no reference to any variation of a previous application and reads as an entirely freestanding initial application.  It </w:t>
      </w:r>
      <w:r w:rsidR="004C6BC5">
        <w:rPr>
          <w:rFonts w:ascii="Book Antiqua" w:hAnsi="Book Antiqua"/>
          <w:lang w:val="en-US"/>
        </w:rPr>
        <w:t xml:space="preserve">also </w:t>
      </w:r>
      <w:r w:rsidR="005C1B11">
        <w:rPr>
          <w:rFonts w:ascii="Book Antiqua" w:hAnsi="Book Antiqua"/>
          <w:lang w:val="en-US"/>
        </w:rPr>
        <w:t xml:space="preserve">entirely omits to </w:t>
      </w:r>
      <w:r w:rsidR="004C6BC5">
        <w:rPr>
          <w:rFonts w:ascii="Book Antiqua" w:hAnsi="Book Antiqua"/>
          <w:lang w:val="en-US"/>
        </w:rPr>
        <w:t>refer to</w:t>
      </w:r>
      <w:r w:rsidR="005C1B11">
        <w:rPr>
          <w:rFonts w:ascii="Book Antiqua" w:hAnsi="Book Antiqua"/>
          <w:lang w:val="en-US"/>
        </w:rPr>
        <w:t xml:space="preserve"> the </w:t>
      </w:r>
      <w:r w:rsidR="004C6BC5">
        <w:rPr>
          <w:rFonts w:ascii="Book Antiqua" w:hAnsi="Book Antiqua"/>
          <w:lang w:val="en-US"/>
        </w:rPr>
        <w:t xml:space="preserve">respondent’s </w:t>
      </w:r>
      <w:r w:rsidR="005C1B11">
        <w:rPr>
          <w:rFonts w:ascii="Book Antiqua" w:hAnsi="Book Antiqua"/>
          <w:lang w:val="en-US"/>
        </w:rPr>
        <w:t xml:space="preserve">requests </w:t>
      </w:r>
      <w:r w:rsidR="00DF70D2">
        <w:rPr>
          <w:rFonts w:ascii="Book Antiqua" w:hAnsi="Book Antiqua"/>
          <w:lang w:val="en-US"/>
        </w:rPr>
        <w:t xml:space="preserve">for biometric information </w:t>
      </w:r>
      <w:r w:rsidR="004C6BC5">
        <w:rPr>
          <w:rFonts w:ascii="Book Antiqua" w:hAnsi="Book Antiqua"/>
          <w:lang w:val="en-US"/>
        </w:rPr>
        <w:t>in letters addressed to PGA Solicitors dated 15 February 2017 and 31 March 2017.  Both these letters noted that the appellant had been requested to provide</w:t>
      </w:r>
      <w:r w:rsidR="006D3830">
        <w:rPr>
          <w:rFonts w:ascii="Book Antiqua" w:hAnsi="Book Antiqua"/>
          <w:lang w:val="en-US"/>
        </w:rPr>
        <w:t xml:space="preserve"> biometric information</w:t>
      </w:r>
      <w:r w:rsidR="004C6BC5">
        <w:rPr>
          <w:rFonts w:ascii="Book Antiqua" w:hAnsi="Book Antiqua"/>
          <w:lang w:val="en-US"/>
        </w:rPr>
        <w:t xml:space="preserve"> and had failed to do so with this warning: “</w:t>
      </w:r>
      <w:r w:rsidR="004C6BC5" w:rsidRPr="004C6BC5">
        <w:rPr>
          <w:rFonts w:ascii="Book Antiqua" w:hAnsi="Book Antiqua"/>
          <w:i/>
          <w:iCs/>
          <w:lang w:val="en-US"/>
        </w:rPr>
        <w:t>If you do not enroll your biometric information your application will be rejected as invalid.</w:t>
      </w:r>
      <w:r w:rsidR="004C6BC5">
        <w:rPr>
          <w:rFonts w:ascii="Book Antiqua" w:hAnsi="Book Antiqua"/>
          <w:lang w:val="en-US"/>
        </w:rPr>
        <w:t xml:space="preserve">”  In the chronology accepted to be accurate and true by the appellant it is explicitly confirmed that the appellant received these two letters but </w:t>
      </w:r>
      <w:r w:rsidR="000A0620">
        <w:rPr>
          <w:rFonts w:ascii="Book Antiqua" w:hAnsi="Book Antiqua"/>
          <w:lang w:val="en-US"/>
        </w:rPr>
        <w:t xml:space="preserve">it is said that </w:t>
      </w:r>
      <w:r w:rsidR="004C6BC5">
        <w:rPr>
          <w:rFonts w:ascii="Book Antiqua" w:hAnsi="Book Antiqua"/>
          <w:lang w:val="en-US"/>
        </w:rPr>
        <w:t>as he knew he could not satisfy Rules in the FLR(FP) form he instructed his solicitors to vary that application to FLR(HRO).</w:t>
      </w:r>
    </w:p>
    <w:p w14:paraId="34793DEA" w14:textId="77777777" w:rsidR="001A0D58" w:rsidRPr="001A0D58" w:rsidRDefault="001A0D58" w:rsidP="001A0D58">
      <w:pPr>
        <w:pStyle w:val="ListParagraph"/>
        <w:rPr>
          <w:rFonts w:ascii="Book Antiqua" w:hAnsi="Book Antiqua"/>
          <w:lang w:val="en-US"/>
        </w:rPr>
      </w:pPr>
    </w:p>
    <w:p w14:paraId="2ADC06BC" w14:textId="5CBB6D19" w:rsidR="004A776E" w:rsidRPr="004A776E" w:rsidRDefault="001A0D58" w:rsidP="005E7425">
      <w:pPr>
        <w:pStyle w:val="ListParagraph"/>
        <w:numPr>
          <w:ilvl w:val="0"/>
          <w:numId w:val="1"/>
        </w:numPr>
        <w:jc w:val="both"/>
        <w:rPr>
          <w:rFonts w:ascii="Book Antiqua" w:hAnsi="Book Antiqua"/>
          <w:i/>
          <w:iCs/>
          <w:lang w:val="en-US"/>
        </w:rPr>
      </w:pPr>
      <w:r>
        <w:rPr>
          <w:rFonts w:ascii="Book Antiqua" w:hAnsi="Book Antiqua"/>
          <w:lang w:val="en-US"/>
        </w:rPr>
        <w:t>The appellant maintained that he did not receive a letter dated 8 May 2017 addressed to him at home address.  I</w:t>
      </w:r>
      <w:r w:rsidR="00B92377">
        <w:rPr>
          <w:rFonts w:ascii="Book Antiqua" w:hAnsi="Book Antiqua"/>
          <w:lang w:val="en-US"/>
        </w:rPr>
        <w:t>t may well be that this letter was missed by the appellant as it was sent to his home address</w:t>
      </w:r>
      <w:r w:rsidR="000A0620">
        <w:rPr>
          <w:rFonts w:ascii="Book Antiqua" w:hAnsi="Book Antiqua"/>
          <w:lang w:val="en-US"/>
        </w:rPr>
        <w:t xml:space="preserve"> and was not sent like the previous two letters c/o his solicitors</w:t>
      </w:r>
      <w:r w:rsidR="00B92377">
        <w:rPr>
          <w:rFonts w:ascii="Book Antiqua" w:hAnsi="Book Antiqua"/>
          <w:lang w:val="en-US"/>
        </w:rPr>
        <w:t xml:space="preserve">.  I have not been told who the appellant resided with but note in the papers that the address is said to be above a Chinese take-away.  </w:t>
      </w:r>
      <w:r w:rsidR="000A0620">
        <w:rPr>
          <w:rFonts w:ascii="Book Antiqua" w:hAnsi="Book Antiqua"/>
          <w:lang w:val="en-US"/>
        </w:rPr>
        <w:t xml:space="preserve">The non-receipt of this letter </w:t>
      </w:r>
      <w:r w:rsidR="00B92377">
        <w:rPr>
          <w:rFonts w:ascii="Book Antiqua" w:hAnsi="Book Antiqua"/>
          <w:lang w:val="en-US"/>
        </w:rPr>
        <w:t>matters little.</w:t>
      </w:r>
      <w:r w:rsidR="000A0620">
        <w:rPr>
          <w:rFonts w:ascii="Book Antiqua" w:hAnsi="Book Antiqua"/>
          <w:lang w:val="en-US"/>
        </w:rPr>
        <w:t xml:space="preserve">  This is because the appellant and his solicitors were well-aware that the FLR(</w:t>
      </w:r>
      <w:r w:rsidR="00C3315F">
        <w:rPr>
          <w:rFonts w:ascii="Book Antiqua" w:hAnsi="Book Antiqua"/>
          <w:lang w:val="en-US"/>
        </w:rPr>
        <w:t>F</w:t>
      </w:r>
      <w:r w:rsidR="000A0620">
        <w:rPr>
          <w:rFonts w:ascii="Book Antiqua" w:hAnsi="Book Antiqua"/>
          <w:lang w:val="en-US"/>
        </w:rPr>
        <w:t xml:space="preserve">P) application was bound to fail and that the appellant had failed to respond to two requests for biometric information.  In these circumstances </w:t>
      </w:r>
      <w:r w:rsidR="00C3315F">
        <w:rPr>
          <w:rFonts w:ascii="Book Antiqua" w:hAnsi="Book Antiqua"/>
          <w:lang w:val="en-US"/>
        </w:rPr>
        <w:t xml:space="preserve">and given that history, </w:t>
      </w:r>
      <w:r w:rsidR="000A0620">
        <w:rPr>
          <w:rFonts w:ascii="Book Antiqua" w:hAnsi="Book Antiqua"/>
          <w:lang w:val="en-US"/>
        </w:rPr>
        <w:t>it is odd that the 17 July 2017 covering letter made no reference to variation.  As Mr Youssefi</w:t>
      </w:r>
      <w:r w:rsidR="005E137D">
        <w:rPr>
          <w:rFonts w:ascii="Book Antiqua" w:hAnsi="Book Antiqua"/>
          <w:lang w:val="en-US"/>
        </w:rPr>
        <w:t>an</w:t>
      </w:r>
      <w:r w:rsidR="000A0620">
        <w:rPr>
          <w:rFonts w:ascii="Book Antiqua" w:hAnsi="Book Antiqua"/>
          <w:lang w:val="en-US"/>
        </w:rPr>
        <w:t xml:space="preserve"> acknowledged, although this is unnecessary it represents</w:t>
      </w:r>
      <w:r w:rsidR="00FF1827" w:rsidRPr="000A0620">
        <w:rPr>
          <w:rFonts w:ascii="Book Antiqua" w:hAnsi="Book Antiqua"/>
          <w:lang w:val="en-US"/>
        </w:rPr>
        <w:t xml:space="preserve"> good practice.  I note that subsequent applications varying the appellant</w:t>
      </w:r>
      <w:r w:rsidR="0089149E" w:rsidRPr="000A0620">
        <w:rPr>
          <w:rFonts w:ascii="Book Antiqua" w:hAnsi="Book Antiqua"/>
          <w:lang w:val="en-US"/>
        </w:rPr>
        <w:t>’s original application do make variation explicit – see the covering letters dated 25 July 2018 (pg 46 of the ‘chronology’ bundle) and 18 October 2019 (pg 83 of the ‘chronology’ bundle)</w:t>
      </w:r>
      <w:r w:rsidR="000A0620">
        <w:rPr>
          <w:rFonts w:ascii="Book Antiqua" w:hAnsi="Book Antiqua"/>
          <w:lang w:val="en-US"/>
        </w:rPr>
        <w:t xml:space="preserve">.  In this context the 17 July 2017 application reads as a free-standing initial application and not a variation application.  </w:t>
      </w:r>
      <w:r w:rsidR="005E590D">
        <w:rPr>
          <w:rFonts w:ascii="Book Antiqua" w:hAnsi="Book Antiqua"/>
          <w:lang w:val="en-US"/>
        </w:rPr>
        <w:t>In my judgment it reads as such because that is what it was</w:t>
      </w:r>
      <w:r w:rsidR="003C5A1E">
        <w:rPr>
          <w:rFonts w:ascii="Book Antiqua" w:hAnsi="Book Antiqua"/>
          <w:lang w:val="en-US"/>
        </w:rPr>
        <w:t>.  The 29 June 2017 letter was served on the appellant’s solicitors</w:t>
      </w:r>
      <w:r w:rsidR="00DA21A9">
        <w:rPr>
          <w:rFonts w:ascii="Book Antiqua" w:hAnsi="Book Antiqua"/>
          <w:lang w:val="en-US"/>
        </w:rPr>
        <w:t xml:space="preserve">.  There is no reason to consider that they would not have sought instructions on this </w:t>
      </w:r>
      <w:r w:rsidR="00272306">
        <w:rPr>
          <w:rFonts w:ascii="Book Antiqua" w:hAnsi="Book Antiqua"/>
          <w:lang w:val="en-US"/>
        </w:rPr>
        <w:t>from the appellant.  The appellant must have been expect</w:t>
      </w:r>
      <w:r w:rsidR="00377A63">
        <w:rPr>
          <w:rFonts w:ascii="Book Antiqua" w:hAnsi="Book Antiqua"/>
          <w:lang w:val="en-US"/>
        </w:rPr>
        <w:t>ing</w:t>
      </w:r>
      <w:r w:rsidR="00272306">
        <w:rPr>
          <w:rFonts w:ascii="Book Antiqua" w:hAnsi="Book Antiqua"/>
          <w:lang w:val="en-US"/>
        </w:rPr>
        <w:t xml:space="preserve"> a refusal decision because he knew he did not meet the requisite requirements and had ignored requests for biometrics</w:t>
      </w:r>
      <w:r w:rsidR="00377A63">
        <w:rPr>
          <w:rFonts w:ascii="Book Antiqua" w:hAnsi="Book Antiqua"/>
          <w:lang w:val="en-US"/>
        </w:rPr>
        <w:t xml:space="preserve">.  </w:t>
      </w:r>
      <w:r w:rsidR="00BB0152">
        <w:rPr>
          <w:rFonts w:ascii="Book Antiqua" w:hAnsi="Book Antiqua"/>
          <w:lang w:val="en-US"/>
        </w:rPr>
        <w:t>The 17 July 2017 application followed closely after the 29 June 2016 rejection</w:t>
      </w:r>
      <w:r w:rsidR="00924B1D">
        <w:rPr>
          <w:rFonts w:ascii="Book Antiqua" w:hAnsi="Book Antiqua"/>
          <w:lang w:val="en-US"/>
        </w:rPr>
        <w:t xml:space="preserve">.  </w:t>
      </w:r>
      <w:r w:rsidR="000A0620">
        <w:rPr>
          <w:rFonts w:ascii="Book Antiqua" w:hAnsi="Book Antiqua"/>
          <w:lang w:val="en-US"/>
        </w:rPr>
        <w:t>Th</w:t>
      </w:r>
      <w:r w:rsidR="00924B1D">
        <w:rPr>
          <w:rFonts w:ascii="Book Antiqua" w:hAnsi="Book Antiqua"/>
          <w:lang w:val="en-US"/>
        </w:rPr>
        <w:t>at history and the terms of the 17 July 2017 letter are</w:t>
      </w:r>
      <w:r w:rsidR="000A0620">
        <w:rPr>
          <w:rFonts w:ascii="Book Antiqua" w:hAnsi="Book Antiqua"/>
          <w:lang w:val="en-US"/>
        </w:rPr>
        <w:t xml:space="preserve"> consistent with </w:t>
      </w:r>
      <w:r w:rsidR="00924B1D">
        <w:rPr>
          <w:rFonts w:ascii="Book Antiqua" w:hAnsi="Book Antiqua"/>
          <w:lang w:val="en-US"/>
        </w:rPr>
        <w:t>both the appellant and his s</w:t>
      </w:r>
      <w:r w:rsidR="000A0620">
        <w:rPr>
          <w:rFonts w:ascii="Book Antiqua" w:hAnsi="Book Antiqua"/>
          <w:lang w:val="en-US"/>
        </w:rPr>
        <w:t xml:space="preserve">olicitors </w:t>
      </w:r>
      <w:r w:rsidR="00924B1D">
        <w:rPr>
          <w:rFonts w:ascii="Book Antiqua" w:hAnsi="Book Antiqua"/>
          <w:lang w:val="en-US"/>
        </w:rPr>
        <w:t>knowing that his earlier claim had been rejected</w:t>
      </w:r>
      <w:r w:rsidR="000A0620">
        <w:rPr>
          <w:rFonts w:ascii="Book Antiqua" w:hAnsi="Book Antiqua"/>
          <w:lang w:val="en-US"/>
        </w:rPr>
        <w:t xml:space="preserve">.  </w:t>
      </w:r>
    </w:p>
    <w:p w14:paraId="2A9AC77B" w14:textId="77777777" w:rsidR="004A776E" w:rsidRDefault="004A776E" w:rsidP="004A776E">
      <w:pPr>
        <w:jc w:val="both"/>
        <w:rPr>
          <w:rFonts w:ascii="Book Antiqua" w:hAnsi="Book Antiqua"/>
          <w:i/>
          <w:iCs/>
        </w:rPr>
      </w:pPr>
    </w:p>
    <w:p w14:paraId="6D2C1AFB" w14:textId="77777777" w:rsidR="007A1200" w:rsidRDefault="007A1200" w:rsidP="004A776E">
      <w:pPr>
        <w:jc w:val="both"/>
        <w:rPr>
          <w:rFonts w:ascii="Book Antiqua" w:hAnsi="Book Antiqua"/>
          <w:i/>
          <w:iCs/>
        </w:rPr>
      </w:pPr>
    </w:p>
    <w:p w14:paraId="2B126C8F" w14:textId="77777777" w:rsidR="007A1200" w:rsidRDefault="007A1200" w:rsidP="004A776E">
      <w:pPr>
        <w:jc w:val="both"/>
        <w:rPr>
          <w:rFonts w:ascii="Book Antiqua" w:hAnsi="Book Antiqua"/>
          <w:i/>
          <w:iCs/>
        </w:rPr>
      </w:pPr>
    </w:p>
    <w:p w14:paraId="66F3A68E" w14:textId="5014050C" w:rsidR="006138B3" w:rsidRPr="004A776E" w:rsidRDefault="005E7425" w:rsidP="004A776E">
      <w:pPr>
        <w:jc w:val="both"/>
        <w:rPr>
          <w:rFonts w:ascii="Book Antiqua" w:hAnsi="Book Antiqua"/>
          <w:i/>
          <w:iCs/>
          <w:lang w:val="en-US"/>
        </w:rPr>
      </w:pPr>
      <w:bookmarkStart w:id="10" w:name="_GoBack"/>
      <w:bookmarkEnd w:id="10"/>
      <w:r w:rsidRPr="004A776E">
        <w:rPr>
          <w:rFonts w:ascii="Book Antiqua" w:hAnsi="Book Antiqua"/>
          <w:i/>
          <w:iCs/>
        </w:rPr>
        <w:lastRenderedPageBreak/>
        <w:t>Article 8</w:t>
      </w:r>
      <w:r w:rsidR="00481719" w:rsidRPr="004A776E">
        <w:rPr>
          <w:rFonts w:ascii="Book Antiqua" w:hAnsi="Book Antiqua"/>
          <w:i/>
          <w:iCs/>
        </w:rPr>
        <w:t>, ECHR</w:t>
      </w:r>
    </w:p>
    <w:p w14:paraId="7092BC5A" w14:textId="77777777" w:rsidR="00816B3F" w:rsidRPr="005D3ECF" w:rsidRDefault="00816B3F" w:rsidP="005D3ECF">
      <w:pPr>
        <w:jc w:val="both"/>
        <w:rPr>
          <w:rFonts w:ascii="Book Antiqua" w:hAnsi="Book Antiqua"/>
          <w:lang w:val="en-US"/>
        </w:rPr>
      </w:pPr>
    </w:p>
    <w:p w14:paraId="5D9BB1B1" w14:textId="38FCC784" w:rsidR="002513AC" w:rsidRDefault="00C46034" w:rsidP="00AF56E3">
      <w:pPr>
        <w:pStyle w:val="ListParagraph"/>
        <w:numPr>
          <w:ilvl w:val="0"/>
          <w:numId w:val="1"/>
        </w:numPr>
        <w:jc w:val="both"/>
        <w:rPr>
          <w:rFonts w:ascii="Book Antiqua" w:hAnsi="Book Antiqua"/>
        </w:rPr>
      </w:pPr>
      <w:r>
        <w:rPr>
          <w:rFonts w:ascii="Book Antiqua" w:hAnsi="Book Antiqua"/>
        </w:rPr>
        <w:t xml:space="preserve">I </w:t>
      </w:r>
      <w:r w:rsidR="00481719">
        <w:rPr>
          <w:rFonts w:ascii="Book Antiqua" w:hAnsi="Book Antiqua"/>
        </w:rPr>
        <w:t xml:space="preserve">now turn to the requisite balancing exercise to be undertaken pursuant to Article 8, ECHR. I </w:t>
      </w:r>
      <w:r>
        <w:rPr>
          <w:rFonts w:ascii="Book Antiqua" w:hAnsi="Book Antiqua"/>
        </w:rPr>
        <w:t xml:space="preserve">begin </w:t>
      </w:r>
      <w:r w:rsidR="00481719">
        <w:rPr>
          <w:rFonts w:ascii="Book Antiqua" w:hAnsi="Book Antiqua"/>
        </w:rPr>
        <w:t>with reminding myself that t</w:t>
      </w:r>
      <w:r w:rsidR="00481719" w:rsidRPr="00481719">
        <w:rPr>
          <w:rFonts w:ascii="Book Antiqua" w:hAnsi="Book Antiqua"/>
        </w:rPr>
        <w:t>he maintenance of effective immigration controls is in the public interest.</w:t>
      </w:r>
      <w:r w:rsidR="00994E51">
        <w:rPr>
          <w:rFonts w:ascii="Book Antiqua" w:hAnsi="Book Antiqua"/>
        </w:rPr>
        <w:t xml:space="preserve">  </w:t>
      </w:r>
    </w:p>
    <w:p w14:paraId="547EE23A" w14:textId="77777777" w:rsidR="002513AC" w:rsidRDefault="002513AC" w:rsidP="002513AC">
      <w:pPr>
        <w:pStyle w:val="ListParagraph"/>
        <w:ind w:left="1280"/>
        <w:jc w:val="both"/>
        <w:rPr>
          <w:rFonts w:ascii="Book Antiqua" w:hAnsi="Book Antiqua"/>
        </w:rPr>
      </w:pPr>
    </w:p>
    <w:p w14:paraId="2156B04D" w14:textId="421187BB" w:rsidR="001E6493" w:rsidRPr="00AF56E3" w:rsidRDefault="003F5DA2" w:rsidP="00AF56E3">
      <w:pPr>
        <w:pStyle w:val="ListParagraph"/>
        <w:numPr>
          <w:ilvl w:val="0"/>
          <w:numId w:val="1"/>
        </w:numPr>
        <w:jc w:val="both"/>
        <w:rPr>
          <w:rFonts w:ascii="Book Antiqua" w:hAnsi="Book Antiqua"/>
        </w:rPr>
      </w:pPr>
      <w:r>
        <w:rPr>
          <w:rFonts w:ascii="Book Antiqua" w:hAnsi="Book Antiqua"/>
        </w:rPr>
        <w:t xml:space="preserve">Although it </w:t>
      </w:r>
      <w:r w:rsidR="0015604D">
        <w:rPr>
          <w:rFonts w:ascii="Book Antiqua" w:hAnsi="Book Antiqua"/>
        </w:rPr>
        <w:t xml:space="preserve">has not been disputed that the appellant benefitted from continuous lawful leave from the time of his arrival in October 2009 to </w:t>
      </w:r>
      <w:r w:rsidR="00042BCA">
        <w:rPr>
          <w:rFonts w:ascii="Book Antiqua" w:hAnsi="Book Antiqua"/>
        </w:rPr>
        <w:t>November 2016, when he became ARE, it is relevant to note th</w:t>
      </w:r>
      <w:r w:rsidR="00F821F3">
        <w:rPr>
          <w:rFonts w:ascii="Book Antiqua" w:hAnsi="Book Antiqua"/>
        </w:rPr>
        <w:t>e appellant’s exact immigration status during th</w:t>
      </w:r>
      <w:r w:rsidR="00481719">
        <w:rPr>
          <w:rFonts w:ascii="Book Antiqua" w:hAnsi="Book Antiqua"/>
        </w:rPr>
        <w:t>e two stages of that period I have referred to above</w:t>
      </w:r>
      <w:r w:rsidR="00F821F3">
        <w:rPr>
          <w:rFonts w:ascii="Book Antiqua" w:hAnsi="Book Antiqua"/>
        </w:rPr>
        <w:t xml:space="preserve">. </w:t>
      </w:r>
      <w:r w:rsidR="00481719">
        <w:rPr>
          <w:rFonts w:ascii="Book Antiqua" w:hAnsi="Book Antiqua"/>
        </w:rPr>
        <w:t>In the first stage h</w:t>
      </w:r>
      <w:r w:rsidR="00F821F3">
        <w:rPr>
          <w:rFonts w:ascii="Book Antiqua" w:hAnsi="Book Antiqua"/>
        </w:rPr>
        <w:t xml:space="preserve">e was </w:t>
      </w:r>
      <w:r w:rsidR="00481719">
        <w:rPr>
          <w:rFonts w:ascii="Book Antiqua" w:hAnsi="Book Antiqua"/>
        </w:rPr>
        <w:t>in the UK as a</w:t>
      </w:r>
      <w:r w:rsidR="00F821F3">
        <w:rPr>
          <w:rFonts w:ascii="Book Antiqua" w:hAnsi="Book Antiqua"/>
        </w:rPr>
        <w:t xml:space="preserve"> student, and therefore </w:t>
      </w:r>
      <w:r w:rsidR="00F40868">
        <w:rPr>
          <w:rFonts w:ascii="Book Antiqua" w:hAnsi="Book Antiqua"/>
        </w:rPr>
        <w:t>in the UK in a temporary capacity</w:t>
      </w:r>
      <w:r w:rsidR="00481719">
        <w:rPr>
          <w:rFonts w:ascii="Book Antiqua" w:hAnsi="Book Antiqua"/>
        </w:rPr>
        <w:t xml:space="preserve"> with a declared intention </w:t>
      </w:r>
      <w:r w:rsidR="00924D52">
        <w:rPr>
          <w:rFonts w:ascii="Book Antiqua" w:hAnsi="Book Antiqua"/>
        </w:rPr>
        <w:t xml:space="preserve">at the time </w:t>
      </w:r>
      <w:r w:rsidR="00481719">
        <w:rPr>
          <w:rFonts w:ascii="Book Antiqua" w:hAnsi="Book Antiqua"/>
        </w:rPr>
        <w:t>(as part of his visa requirements)</w:t>
      </w:r>
      <w:r w:rsidR="00924D52">
        <w:rPr>
          <w:rFonts w:ascii="Book Antiqua" w:hAnsi="Book Antiqua"/>
        </w:rPr>
        <w:t xml:space="preserve"> </w:t>
      </w:r>
      <w:r w:rsidR="00481719">
        <w:rPr>
          <w:rFonts w:ascii="Book Antiqua" w:hAnsi="Book Antiqua"/>
        </w:rPr>
        <w:t>to return to Bangladesh,</w:t>
      </w:r>
      <w:r w:rsidR="00F40868">
        <w:rPr>
          <w:rFonts w:ascii="Book Antiqua" w:hAnsi="Book Antiqua"/>
        </w:rPr>
        <w:t xml:space="preserve"> with such leave </w:t>
      </w:r>
      <w:r w:rsidR="00481719">
        <w:rPr>
          <w:rFonts w:ascii="Book Antiqua" w:hAnsi="Book Antiqua"/>
        </w:rPr>
        <w:t xml:space="preserve">only </w:t>
      </w:r>
      <w:r w:rsidR="00F40868">
        <w:rPr>
          <w:rFonts w:ascii="Book Antiqua" w:hAnsi="Book Antiqua"/>
        </w:rPr>
        <w:t>valid to January 2013.</w:t>
      </w:r>
      <w:r w:rsidR="0053596F">
        <w:rPr>
          <w:rFonts w:ascii="Book Antiqua" w:hAnsi="Book Antiqua"/>
        </w:rPr>
        <w:t xml:space="preserve">  </w:t>
      </w:r>
      <w:r w:rsidR="00481719">
        <w:rPr>
          <w:rFonts w:ascii="Book Antiqua" w:hAnsi="Book Antiqua"/>
        </w:rPr>
        <w:t xml:space="preserve">For the duration of the second stage the appellant </w:t>
      </w:r>
      <w:r w:rsidR="002513AC">
        <w:rPr>
          <w:rFonts w:ascii="Book Antiqua" w:hAnsi="Book Antiqua"/>
        </w:rPr>
        <w:t xml:space="preserve">only </w:t>
      </w:r>
      <w:r w:rsidR="00481719">
        <w:rPr>
          <w:rFonts w:ascii="Book Antiqua" w:hAnsi="Book Antiqua"/>
        </w:rPr>
        <w:t>benefitted from s.</w:t>
      </w:r>
      <w:r w:rsidR="00655C27">
        <w:rPr>
          <w:rFonts w:ascii="Book Antiqua" w:hAnsi="Book Antiqua"/>
        </w:rPr>
        <w:t xml:space="preserve"> </w:t>
      </w:r>
      <w:r w:rsidR="00481719">
        <w:rPr>
          <w:rFonts w:ascii="Book Antiqua" w:hAnsi="Book Antiqua"/>
        </w:rPr>
        <w:t>3C leave culminating in the decision of the 2016 FTT that it would not be a disproportionate breach of his private life for him to be removed to Bangladesh.  That conclusion was based at least in part upon the appellant’s inability to meet the requirements of the Rules.</w:t>
      </w:r>
      <w:r w:rsidR="00FF7C19">
        <w:rPr>
          <w:rFonts w:ascii="Book Antiqua" w:hAnsi="Book Antiqua"/>
        </w:rPr>
        <w:t xml:space="preserve">  </w:t>
      </w:r>
      <w:r w:rsidR="00481719">
        <w:rPr>
          <w:rFonts w:ascii="Book Antiqua" w:hAnsi="Book Antiqua"/>
        </w:rPr>
        <w:t>That state of affairs continued.  T</w:t>
      </w:r>
      <w:r w:rsidR="005C1BA9">
        <w:rPr>
          <w:rFonts w:ascii="Book Antiqua" w:hAnsi="Book Antiqua"/>
        </w:rPr>
        <w:t>he 6 December 2016 application was not based upon</w:t>
      </w:r>
      <w:r w:rsidR="00BD1A72">
        <w:rPr>
          <w:rFonts w:ascii="Book Antiqua" w:hAnsi="Book Antiqua"/>
        </w:rPr>
        <w:t xml:space="preserve"> any </w:t>
      </w:r>
      <w:r w:rsidR="00891422">
        <w:rPr>
          <w:rFonts w:ascii="Book Antiqua" w:hAnsi="Book Antiqua"/>
        </w:rPr>
        <w:t>assertion that the requirements of the Rules were met</w:t>
      </w:r>
      <w:r w:rsidR="008C613E">
        <w:rPr>
          <w:rFonts w:ascii="Book Antiqua" w:hAnsi="Book Antiqua"/>
        </w:rPr>
        <w:t xml:space="preserve">.  Indeed the </w:t>
      </w:r>
      <w:r w:rsidR="002513AC">
        <w:rPr>
          <w:rFonts w:ascii="Book Antiqua" w:hAnsi="Book Antiqua"/>
        </w:rPr>
        <w:t>variation</w:t>
      </w:r>
      <w:r w:rsidR="008C613E">
        <w:rPr>
          <w:rFonts w:ascii="Book Antiqua" w:hAnsi="Book Antiqua"/>
        </w:rPr>
        <w:t xml:space="preserve"> application of 17 July 2017</w:t>
      </w:r>
      <w:r w:rsidR="008A661B">
        <w:rPr>
          <w:rFonts w:ascii="Book Antiqua" w:hAnsi="Book Antiqua"/>
        </w:rPr>
        <w:t xml:space="preserve"> and the further </w:t>
      </w:r>
      <w:r w:rsidR="002513AC">
        <w:rPr>
          <w:rFonts w:ascii="Book Antiqua" w:hAnsi="Book Antiqua"/>
        </w:rPr>
        <w:t>variation</w:t>
      </w:r>
      <w:r w:rsidR="008A661B">
        <w:rPr>
          <w:rFonts w:ascii="Book Antiqua" w:hAnsi="Book Antiqua"/>
        </w:rPr>
        <w:t xml:space="preserve"> application dated 25 July 2018</w:t>
      </w:r>
      <w:r w:rsidR="008C613E">
        <w:rPr>
          <w:rFonts w:ascii="Book Antiqua" w:hAnsi="Book Antiqua"/>
        </w:rPr>
        <w:t xml:space="preserve"> relied in the main upon the assertion that</w:t>
      </w:r>
      <w:r w:rsidR="00691180">
        <w:rPr>
          <w:rFonts w:ascii="Book Antiqua" w:hAnsi="Book Antiqua"/>
        </w:rPr>
        <w:t xml:space="preserve"> the appellant had invested time resources and energy into his studies and new life </w:t>
      </w:r>
      <w:r w:rsidR="00D7023F">
        <w:rPr>
          <w:rFonts w:ascii="Book Antiqua" w:hAnsi="Book Antiqua"/>
        </w:rPr>
        <w:t xml:space="preserve">in the UK, and it would be difficult </w:t>
      </w:r>
      <w:r w:rsidR="00481719">
        <w:rPr>
          <w:rFonts w:ascii="Book Antiqua" w:hAnsi="Book Antiqua"/>
        </w:rPr>
        <w:t xml:space="preserve">for him </w:t>
      </w:r>
      <w:r w:rsidR="00D7023F">
        <w:rPr>
          <w:rFonts w:ascii="Book Antiqua" w:hAnsi="Book Antiqua"/>
        </w:rPr>
        <w:t>to return to Bangladesh</w:t>
      </w:r>
      <w:r w:rsidR="008A661B">
        <w:rPr>
          <w:rFonts w:ascii="Book Antiqua" w:hAnsi="Book Antiqua"/>
        </w:rPr>
        <w:t>.  Although th</w:t>
      </w:r>
      <w:r w:rsidR="00440CD6">
        <w:rPr>
          <w:rFonts w:ascii="Book Antiqua" w:hAnsi="Book Antiqua"/>
        </w:rPr>
        <w:t>e</w:t>
      </w:r>
      <w:r w:rsidR="008A661B">
        <w:rPr>
          <w:rFonts w:ascii="Book Antiqua" w:hAnsi="Book Antiqua"/>
        </w:rPr>
        <w:t>s</w:t>
      </w:r>
      <w:r w:rsidR="00440CD6">
        <w:rPr>
          <w:rFonts w:ascii="Book Antiqua" w:hAnsi="Book Antiqua"/>
        </w:rPr>
        <w:t>e</w:t>
      </w:r>
      <w:r w:rsidR="008A661B">
        <w:rPr>
          <w:rFonts w:ascii="Book Antiqua" w:hAnsi="Book Antiqua"/>
        </w:rPr>
        <w:t xml:space="preserve"> application</w:t>
      </w:r>
      <w:r w:rsidR="00440CD6">
        <w:rPr>
          <w:rFonts w:ascii="Book Antiqua" w:hAnsi="Book Antiqua"/>
        </w:rPr>
        <w:t xml:space="preserve">s </w:t>
      </w:r>
      <w:r w:rsidR="002513AC">
        <w:rPr>
          <w:rFonts w:ascii="Book Antiqua" w:hAnsi="Book Antiqua"/>
        </w:rPr>
        <w:t>included</w:t>
      </w:r>
      <w:r w:rsidR="00440CD6">
        <w:rPr>
          <w:rFonts w:ascii="Book Antiqua" w:hAnsi="Book Antiqua"/>
        </w:rPr>
        <w:t xml:space="preserve"> assertions based upon Article 3</w:t>
      </w:r>
      <w:r w:rsidR="002513AC">
        <w:rPr>
          <w:rFonts w:ascii="Book Antiqua" w:hAnsi="Book Antiqua"/>
        </w:rPr>
        <w:t>,</w:t>
      </w:r>
      <w:r w:rsidR="00440CD6">
        <w:rPr>
          <w:rFonts w:ascii="Book Antiqua" w:hAnsi="Book Antiqua"/>
        </w:rPr>
        <w:t xml:space="preserve"> ECHR these were never pursued with any vigour</w:t>
      </w:r>
      <w:r w:rsidR="00E529F5">
        <w:rPr>
          <w:rFonts w:ascii="Book Antiqua" w:hAnsi="Book Antiqua"/>
        </w:rPr>
        <w:t xml:space="preserve"> and are absent from the ILR application dated 1</w:t>
      </w:r>
      <w:r w:rsidR="008C763F">
        <w:rPr>
          <w:rFonts w:ascii="Book Antiqua" w:hAnsi="Book Antiqua"/>
        </w:rPr>
        <w:t>8</w:t>
      </w:r>
      <w:r w:rsidR="00E529F5">
        <w:rPr>
          <w:rFonts w:ascii="Book Antiqua" w:hAnsi="Book Antiqua"/>
        </w:rPr>
        <w:t xml:space="preserve"> October 2019</w:t>
      </w:r>
      <w:r w:rsidR="00B23C02">
        <w:rPr>
          <w:rFonts w:ascii="Book Antiqua" w:hAnsi="Book Antiqua"/>
        </w:rPr>
        <w:t xml:space="preserve"> (which is predicated upon 276B</w:t>
      </w:r>
      <w:r w:rsidR="00376CE1">
        <w:rPr>
          <w:rFonts w:ascii="Book Antiqua" w:hAnsi="Book Antiqua"/>
        </w:rPr>
        <w:t>)</w:t>
      </w:r>
      <w:r w:rsidR="002E4EED">
        <w:rPr>
          <w:rFonts w:ascii="Book Antiqua" w:hAnsi="Book Antiqua"/>
        </w:rPr>
        <w:t>.  For the avoidance of doubt</w:t>
      </w:r>
      <w:r w:rsidR="00085956">
        <w:rPr>
          <w:rFonts w:ascii="Book Antiqua" w:hAnsi="Book Antiqua"/>
        </w:rPr>
        <w:t>,</w:t>
      </w:r>
      <w:r w:rsidR="002E4EED">
        <w:rPr>
          <w:rFonts w:ascii="Book Antiqua" w:hAnsi="Book Antiqua"/>
        </w:rPr>
        <w:t xml:space="preserve"> Article 3 was not relied upon before </w:t>
      </w:r>
      <w:r w:rsidR="002513AC">
        <w:rPr>
          <w:rFonts w:ascii="Book Antiqua" w:hAnsi="Book Antiqua"/>
        </w:rPr>
        <w:t xml:space="preserve">either </w:t>
      </w:r>
      <w:r w:rsidR="002E4EED">
        <w:rPr>
          <w:rFonts w:ascii="Book Antiqua" w:hAnsi="Book Antiqua"/>
        </w:rPr>
        <w:t>FTT or before me.</w:t>
      </w:r>
      <w:r w:rsidR="00601875">
        <w:rPr>
          <w:rFonts w:ascii="Book Antiqua" w:hAnsi="Book Antiqua"/>
        </w:rPr>
        <w:t xml:space="preserve">  It follows that the appellant</w:t>
      </w:r>
      <w:r w:rsidR="00290461">
        <w:rPr>
          <w:rFonts w:ascii="Book Antiqua" w:hAnsi="Book Antiqua"/>
        </w:rPr>
        <w:t xml:space="preserve"> only met the substantive requirements of the Rules when he was a student</w:t>
      </w:r>
      <w:r w:rsidR="00C45260">
        <w:rPr>
          <w:rFonts w:ascii="Book Antiqua" w:hAnsi="Book Antiqua"/>
        </w:rPr>
        <w:t xml:space="preserve">.  From </w:t>
      </w:r>
      <w:r w:rsidR="002513AC">
        <w:rPr>
          <w:rFonts w:ascii="Book Antiqua" w:hAnsi="Book Antiqua"/>
        </w:rPr>
        <w:t>February</w:t>
      </w:r>
      <w:r w:rsidR="00C45260">
        <w:rPr>
          <w:rFonts w:ascii="Book Antiqua" w:hAnsi="Book Antiqua"/>
        </w:rPr>
        <w:t xml:space="preserve"> 2013 to becoming ARE, he was in the UK lawfully but </w:t>
      </w:r>
      <w:r w:rsidR="00351F03">
        <w:rPr>
          <w:rFonts w:ascii="Book Antiqua" w:hAnsi="Book Antiqua"/>
        </w:rPr>
        <w:t xml:space="preserve">pursuant to </w:t>
      </w:r>
      <w:r w:rsidR="003740D1" w:rsidRPr="00601875">
        <w:rPr>
          <w:rFonts w:ascii="Book Antiqua" w:hAnsi="Book Antiqua"/>
        </w:rPr>
        <w:t>s. 3C leave</w:t>
      </w:r>
      <w:r w:rsidR="001E6493" w:rsidRPr="00601875">
        <w:rPr>
          <w:rFonts w:ascii="Book Antiqua" w:hAnsi="Book Antiqua"/>
        </w:rPr>
        <w:t xml:space="preserve">.  </w:t>
      </w:r>
      <w:r w:rsidR="00A24D6E" w:rsidRPr="00AF56E3">
        <w:rPr>
          <w:rFonts w:ascii="Book Antiqua" w:hAnsi="Book Antiqua"/>
        </w:rPr>
        <w:t>The appellant then became an overstayer once ARE</w:t>
      </w:r>
      <w:r w:rsidR="002513AC">
        <w:rPr>
          <w:rFonts w:ascii="Book Antiqua" w:hAnsi="Book Antiqua"/>
        </w:rPr>
        <w:t>,</w:t>
      </w:r>
      <w:r w:rsidR="00A24D6E" w:rsidRPr="00AF56E3">
        <w:rPr>
          <w:rFonts w:ascii="Book Antiqua" w:hAnsi="Book Antiqua"/>
        </w:rPr>
        <w:t xml:space="preserve"> albeit </w:t>
      </w:r>
      <w:r w:rsidR="002513AC">
        <w:rPr>
          <w:rFonts w:ascii="Book Antiqua" w:hAnsi="Book Antiqua"/>
        </w:rPr>
        <w:t xml:space="preserve">I accept </w:t>
      </w:r>
      <w:r w:rsidR="00A24D6E" w:rsidRPr="00AF56E3">
        <w:rPr>
          <w:rFonts w:ascii="Book Antiqua" w:hAnsi="Book Antiqua"/>
        </w:rPr>
        <w:t>he sought on many occasions to regularise his immigration status</w:t>
      </w:r>
      <w:r w:rsidR="002513AC">
        <w:rPr>
          <w:rFonts w:ascii="Book Antiqua" w:hAnsi="Book Antiqua"/>
        </w:rPr>
        <w:t xml:space="preserve"> from December 2016 to October 2019</w:t>
      </w:r>
      <w:r w:rsidR="00AF56E3" w:rsidRPr="00AF56E3">
        <w:rPr>
          <w:rFonts w:ascii="Book Antiqua" w:hAnsi="Book Antiqua"/>
        </w:rPr>
        <w:t>.</w:t>
      </w:r>
    </w:p>
    <w:p w14:paraId="15B62EE0" w14:textId="77777777" w:rsidR="001E6493" w:rsidRPr="001E6493" w:rsidRDefault="001E6493" w:rsidP="001E6493">
      <w:pPr>
        <w:pStyle w:val="ListParagraph"/>
        <w:rPr>
          <w:rFonts w:ascii="Book Antiqua" w:hAnsi="Book Antiqua"/>
        </w:rPr>
      </w:pPr>
    </w:p>
    <w:p w14:paraId="0A1F5AA0" w14:textId="40E93FE7" w:rsidR="00A96550" w:rsidRDefault="00AF56E3" w:rsidP="00473405">
      <w:pPr>
        <w:pStyle w:val="ListParagraph"/>
        <w:numPr>
          <w:ilvl w:val="0"/>
          <w:numId w:val="1"/>
        </w:numPr>
        <w:jc w:val="both"/>
        <w:rPr>
          <w:rFonts w:ascii="Book Antiqua" w:hAnsi="Book Antiqua"/>
        </w:rPr>
      </w:pPr>
      <w:r>
        <w:rPr>
          <w:rFonts w:ascii="Book Antiqua" w:hAnsi="Book Antiqua"/>
        </w:rPr>
        <w:t>The appellant has therefore not been able to meet any substantive aspect of the Rules for many years</w:t>
      </w:r>
      <w:r w:rsidR="00BA73CC">
        <w:rPr>
          <w:rFonts w:ascii="Book Antiqua" w:hAnsi="Book Antiqua"/>
        </w:rPr>
        <w:t>.  In addition,</w:t>
      </w:r>
      <w:r w:rsidR="001A7F10">
        <w:rPr>
          <w:rFonts w:ascii="Book Antiqua" w:hAnsi="Book Antiqua"/>
        </w:rPr>
        <w:t xml:space="preserve"> </w:t>
      </w:r>
      <w:r w:rsidR="003E37CA">
        <w:rPr>
          <w:rFonts w:ascii="Book Antiqua" w:hAnsi="Book Antiqua"/>
        </w:rPr>
        <w:t xml:space="preserve">even after </w:t>
      </w:r>
      <w:r w:rsidR="004635D4">
        <w:rPr>
          <w:rFonts w:ascii="Book Antiqua" w:hAnsi="Book Antiqua"/>
        </w:rPr>
        <w:t xml:space="preserve">knowing that the </w:t>
      </w:r>
      <w:r w:rsidR="00BA73CC">
        <w:rPr>
          <w:rFonts w:ascii="Book Antiqua" w:hAnsi="Book Antiqua"/>
        </w:rPr>
        <w:t xml:space="preserve">2016 </w:t>
      </w:r>
      <w:r w:rsidR="004635D4">
        <w:rPr>
          <w:rFonts w:ascii="Book Antiqua" w:hAnsi="Book Antiqua"/>
        </w:rPr>
        <w:t xml:space="preserve">appeal proceedings had been unsuccessful, </w:t>
      </w:r>
      <w:r w:rsidR="00BA73CC">
        <w:rPr>
          <w:rFonts w:ascii="Book Antiqua" w:hAnsi="Book Antiqua"/>
        </w:rPr>
        <w:t xml:space="preserve">the appellant </w:t>
      </w:r>
      <w:r w:rsidR="002D5624">
        <w:rPr>
          <w:rFonts w:ascii="Book Antiqua" w:hAnsi="Book Antiqua"/>
        </w:rPr>
        <w:t xml:space="preserve">allowed himself to remain in the UK in breach of immigration laws by becoming an </w:t>
      </w:r>
      <w:r w:rsidR="006D459C">
        <w:rPr>
          <w:rFonts w:ascii="Book Antiqua" w:hAnsi="Book Antiqua"/>
        </w:rPr>
        <w:t xml:space="preserve">overstayer.  </w:t>
      </w:r>
      <w:r w:rsidR="00A96550">
        <w:rPr>
          <w:rFonts w:ascii="Book Antiqua" w:hAnsi="Book Antiqua"/>
        </w:rPr>
        <w:t>Mr Y</w:t>
      </w:r>
      <w:r w:rsidR="002513AC">
        <w:rPr>
          <w:rFonts w:ascii="Book Antiqua" w:hAnsi="Book Antiqua"/>
        </w:rPr>
        <w:t>oussefian</w:t>
      </w:r>
      <w:r w:rsidR="00A96550">
        <w:rPr>
          <w:rFonts w:ascii="Book Antiqua" w:hAnsi="Book Antiqua"/>
        </w:rPr>
        <w:t xml:space="preserve"> conceded that the appellant </w:t>
      </w:r>
      <w:r w:rsidR="002513AC">
        <w:rPr>
          <w:rFonts w:ascii="Book Antiqua" w:hAnsi="Book Antiqua"/>
        </w:rPr>
        <w:t>continues to be</w:t>
      </w:r>
      <w:r w:rsidR="00A96550">
        <w:rPr>
          <w:rFonts w:ascii="Book Antiqua" w:hAnsi="Book Antiqua"/>
        </w:rPr>
        <w:t xml:space="preserve"> unable to meet any aspect of the Rules, in particular </w:t>
      </w:r>
      <w:r w:rsidR="002513AC">
        <w:rPr>
          <w:rFonts w:ascii="Book Antiqua" w:hAnsi="Book Antiqua"/>
        </w:rPr>
        <w:t xml:space="preserve">he cannot </w:t>
      </w:r>
      <w:r w:rsidR="00A96550">
        <w:rPr>
          <w:rFonts w:ascii="Book Antiqua" w:hAnsi="Book Antiqua"/>
        </w:rPr>
        <w:t xml:space="preserve">meet 276B or the </w:t>
      </w:r>
      <w:r w:rsidR="00CA1B08">
        <w:rPr>
          <w:rFonts w:ascii="Book Antiqua" w:hAnsi="Book Antiqua"/>
        </w:rPr>
        <w:t>R</w:t>
      </w:r>
      <w:r w:rsidR="00A96550">
        <w:rPr>
          <w:rFonts w:ascii="Book Antiqua" w:hAnsi="Book Antiqua"/>
        </w:rPr>
        <w:t xml:space="preserve">ules relevant to private life.  </w:t>
      </w:r>
      <w:r w:rsidR="001413AA">
        <w:rPr>
          <w:rFonts w:ascii="Book Antiqua" w:hAnsi="Book Antiqua"/>
        </w:rPr>
        <w:t>Although</w:t>
      </w:r>
      <w:r w:rsidR="00A96550">
        <w:rPr>
          <w:rFonts w:ascii="Book Antiqua" w:hAnsi="Book Antiqua"/>
        </w:rPr>
        <w:t xml:space="preserve"> 276ADE</w:t>
      </w:r>
      <w:r w:rsidR="001413AA">
        <w:rPr>
          <w:rFonts w:ascii="Book Antiqua" w:hAnsi="Book Antiqua"/>
        </w:rPr>
        <w:t xml:space="preserve"> </w:t>
      </w:r>
      <w:r w:rsidR="002513AC">
        <w:rPr>
          <w:rFonts w:ascii="Book Antiqua" w:hAnsi="Book Antiqua"/>
        </w:rPr>
        <w:t xml:space="preserve">was </w:t>
      </w:r>
      <w:r w:rsidR="001413AA">
        <w:rPr>
          <w:rFonts w:ascii="Book Antiqua" w:hAnsi="Book Antiqua"/>
        </w:rPr>
        <w:t xml:space="preserve">relied upon in previous applications, </w:t>
      </w:r>
      <w:r w:rsidR="002513AC">
        <w:rPr>
          <w:rFonts w:ascii="Book Antiqua" w:hAnsi="Book Antiqua"/>
        </w:rPr>
        <w:t xml:space="preserve">this has (quite properly) not been pursued.  </w:t>
      </w:r>
      <w:r w:rsidR="001413AA">
        <w:rPr>
          <w:rFonts w:ascii="Book Antiqua" w:hAnsi="Book Antiqua"/>
        </w:rPr>
        <w:t>Mr Y</w:t>
      </w:r>
      <w:r w:rsidR="002513AC">
        <w:rPr>
          <w:rFonts w:ascii="Book Antiqua" w:hAnsi="Book Antiqua"/>
        </w:rPr>
        <w:t>oussefian</w:t>
      </w:r>
      <w:r w:rsidR="001413AA">
        <w:rPr>
          <w:rFonts w:ascii="Book Antiqua" w:hAnsi="Book Antiqua"/>
        </w:rPr>
        <w:t xml:space="preserve"> highlighted the aspects of the appellant’s evidence in which he articulated that he would find life in Bangladesh difficult for reasons relating to the length of time he had been away, his ambitions, the challenging political climate in Bangladesh including </w:t>
      </w:r>
      <w:r w:rsidR="002513AC">
        <w:rPr>
          <w:rFonts w:ascii="Book Antiqua" w:hAnsi="Book Antiqua"/>
        </w:rPr>
        <w:t xml:space="preserve">his </w:t>
      </w:r>
      <w:r w:rsidR="001413AA">
        <w:rPr>
          <w:rFonts w:ascii="Book Antiqua" w:hAnsi="Book Antiqua"/>
        </w:rPr>
        <w:t>claim that two cousins had been killed</w:t>
      </w:r>
      <w:r w:rsidR="002513AC">
        <w:rPr>
          <w:rFonts w:ascii="Book Antiqua" w:hAnsi="Book Antiqua"/>
        </w:rPr>
        <w:t xml:space="preserve"> and </w:t>
      </w:r>
      <w:r w:rsidR="001413AA">
        <w:rPr>
          <w:rFonts w:ascii="Book Antiqua" w:hAnsi="Book Antiqua"/>
        </w:rPr>
        <w:t xml:space="preserve">both parents </w:t>
      </w:r>
      <w:r w:rsidR="002513AC">
        <w:rPr>
          <w:rFonts w:ascii="Book Antiqua" w:hAnsi="Book Antiqua"/>
        </w:rPr>
        <w:t xml:space="preserve">are </w:t>
      </w:r>
      <w:r w:rsidR="001413AA">
        <w:rPr>
          <w:rFonts w:ascii="Book Antiqua" w:hAnsi="Book Antiqua"/>
        </w:rPr>
        <w:t xml:space="preserve">now passed away.  </w:t>
      </w:r>
      <w:r w:rsidR="002513AC">
        <w:rPr>
          <w:rFonts w:ascii="Book Antiqua" w:hAnsi="Book Antiqua"/>
        </w:rPr>
        <w:t xml:space="preserve">This is relevant to the overall balancing exercise and I bear these matters in mind </w:t>
      </w:r>
      <w:r w:rsidR="002513AC">
        <w:rPr>
          <w:rFonts w:ascii="Book Antiqua" w:hAnsi="Book Antiqua"/>
        </w:rPr>
        <w:lastRenderedPageBreak/>
        <w:t xml:space="preserve">but they come </w:t>
      </w:r>
      <w:r w:rsidR="001413AA">
        <w:rPr>
          <w:rFonts w:ascii="Book Antiqua" w:hAnsi="Book Antiqua"/>
        </w:rPr>
        <w:t xml:space="preserve">nowhere close to </w:t>
      </w:r>
      <w:r w:rsidR="002513AC">
        <w:rPr>
          <w:rFonts w:ascii="Book Antiqua" w:hAnsi="Book Antiqua"/>
        </w:rPr>
        <w:t xml:space="preserve">meeting </w:t>
      </w:r>
      <w:r w:rsidR="001413AA">
        <w:rPr>
          <w:rFonts w:ascii="Book Antiqua" w:hAnsi="Book Antiqua"/>
        </w:rPr>
        <w:t xml:space="preserve">the high threshold of </w:t>
      </w:r>
      <w:r w:rsidR="002513AC">
        <w:rPr>
          <w:rFonts w:ascii="Book Antiqua" w:hAnsi="Book Antiqua"/>
        </w:rPr>
        <w:t>‘</w:t>
      </w:r>
      <w:r w:rsidR="001413AA">
        <w:rPr>
          <w:rFonts w:ascii="Book Antiqua" w:hAnsi="Book Antiqua"/>
        </w:rPr>
        <w:t>very significant obstacles</w:t>
      </w:r>
      <w:r w:rsidR="002513AC">
        <w:rPr>
          <w:rFonts w:ascii="Book Antiqua" w:hAnsi="Book Antiqua"/>
        </w:rPr>
        <w:t>’ required for the purposes of 276ADE</w:t>
      </w:r>
      <w:r w:rsidR="001413AA">
        <w:rPr>
          <w:rFonts w:ascii="Book Antiqua" w:hAnsi="Book Antiqua"/>
        </w:rPr>
        <w:t>.</w:t>
      </w:r>
    </w:p>
    <w:p w14:paraId="6FE4654B" w14:textId="77777777" w:rsidR="00A96550" w:rsidRPr="00A96550" w:rsidRDefault="00A96550" w:rsidP="00A96550">
      <w:pPr>
        <w:pStyle w:val="ListParagraph"/>
        <w:rPr>
          <w:rFonts w:ascii="Book Antiqua" w:hAnsi="Book Antiqua"/>
        </w:rPr>
      </w:pPr>
    </w:p>
    <w:p w14:paraId="6EDE0E74" w14:textId="0E7D6EAC" w:rsidR="006D459C" w:rsidRDefault="001413AA" w:rsidP="00473405">
      <w:pPr>
        <w:pStyle w:val="ListParagraph"/>
        <w:numPr>
          <w:ilvl w:val="0"/>
          <w:numId w:val="1"/>
        </w:numPr>
        <w:jc w:val="both"/>
        <w:rPr>
          <w:rFonts w:ascii="Book Antiqua" w:hAnsi="Book Antiqua"/>
        </w:rPr>
      </w:pPr>
      <w:r>
        <w:rPr>
          <w:rFonts w:ascii="Book Antiqua" w:hAnsi="Book Antiqua"/>
        </w:rPr>
        <w:t xml:space="preserve">The appellant </w:t>
      </w:r>
      <w:r w:rsidR="0034500D">
        <w:rPr>
          <w:rFonts w:ascii="Book Antiqua" w:hAnsi="Book Antiqua"/>
        </w:rPr>
        <w:t xml:space="preserve">has </w:t>
      </w:r>
      <w:r>
        <w:rPr>
          <w:rFonts w:ascii="Book Antiqua" w:hAnsi="Book Antiqua"/>
        </w:rPr>
        <w:t xml:space="preserve">therefore </w:t>
      </w:r>
      <w:r w:rsidR="0034500D">
        <w:rPr>
          <w:rFonts w:ascii="Book Antiqua" w:hAnsi="Book Antiqua"/>
        </w:rPr>
        <w:t xml:space="preserve">been </w:t>
      </w:r>
      <w:r w:rsidR="006D459C">
        <w:rPr>
          <w:rFonts w:ascii="Book Antiqua" w:hAnsi="Book Antiqua"/>
        </w:rPr>
        <w:t xml:space="preserve">unable to meet the </w:t>
      </w:r>
      <w:r w:rsidR="0034500D">
        <w:rPr>
          <w:rFonts w:ascii="Book Antiqua" w:hAnsi="Book Antiqua"/>
        </w:rPr>
        <w:t xml:space="preserve">substantive </w:t>
      </w:r>
      <w:r w:rsidR="006D459C">
        <w:rPr>
          <w:rFonts w:ascii="Book Antiqua" w:hAnsi="Book Antiqua"/>
        </w:rPr>
        <w:t xml:space="preserve">requirements of the Rules </w:t>
      </w:r>
      <w:r w:rsidR="005F36E5">
        <w:rPr>
          <w:rFonts w:ascii="Book Antiqua" w:hAnsi="Book Antiqua"/>
        </w:rPr>
        <w:t xml:space="preserve">for a lengthy period </w:t>
      </w:r>
      <w:r w:rsidR="00640A8C">
        <w:rPr>
          <w:rFonts w:ascii="Book Antiqua" w:hAnsi="Book Antiqua"/>
        </w:rPr>
        <w:t xml:space="preserve">and </w:t>
      </w:r>
      <w:r w:rsidR="005F36E5">
        <w:rPr>
          <w:rFonts w:ascii="Book Antiqua" w:hAnsi="Book Antiqua"/>
        </w:rPr>
        <w:t>this continues.  T</w:t>
      </w:r>
      <w:r w:rsidR="006D459C">
        <w:rPr>
          <w:rFonts w:ascii="Book Antiqua" w:hAnsi="Book Antiqua"/>
        </w:rPr>
        <w:t xml:space="preserve">here is </w:t>
      </w:r>
      <w:r w:rsidR="005F36E5">
        <w:rPr>
          <w:rFonts w:ascii="Book Antiqua" w:hAnsi="Book Antiqua"/>
        </w:rPr>
        <w:t xml:space="preserve">therefore </w:t>
      </w:r>
      <w:r w:rsidR="006D459C">
        <w:rPr>
          <w:rFonts w:ascii="Book Antiqua" w:hAnsi="Book Antiqua"/>
        </w:rPr>
        <w:t xml:space="preserve">a prima facie strong public interest in removing </w:t>
      </w:r>
      <w:r>
        <w:rPr>
          <w:rFonts w:ascii="Book Antiqua" w:hAnsi="Book Antiqua"/>
        </w:rPr>
        <w:t xml:space="preserve">him </w:t>
      </w:r>
      <w:r w:rsidR="006D459C">
        <w:rPr>
          <w:rFonts w:ascii="Book Antiqua" w:hAnsi="Book Antiqua"/>
        </w:rPr>
        <w:t>in order to maintain immigration control</w:t>
      </w:r>
      <w:r w:rsidR="002A00F9">
        <w:rPr>
          <w:rFonts w:ascii="Book Antiqua" w:hAnsi="Book Antiqua"/>
        </w:rPr>
        <w:t xml:space="preserve">.  </w:t>
      </w:r>
      <w:r>
        <w:rPr>
          <w:rFonts w:ascii="Book Antiqua" w:hAnsi="Book Antiqua"/>
        </w:rPr>
        <w:t>Mr Youssefi</w:t>
      </w:r>
      <w:r w:rsidR="00640A8C">
        <w:rPr>
          <w:rFonts w:ascii="Book Antiqua" w:hAnsi="Book Antiqua"/>
        </w:rPr>
        <w:t>an</w:t>
      </w:r>
      <w:r>
        <w:rPr>
          <w:rFonts w:ascii="Book Antiqua" w:hAnsi="Book Antiqua"/>
        </w:rPr>
        <w:t xml:space="preserve"> argued </w:t>
      </w:r>
      <w:r w:rsidR="002A00F9">
        <w:rPr>
          <w:rFonts w:ascii="Book Antiqua" w:hAnsi="Book Antiqua"/>
        </w:rPr>
        <w:t xml:space="preserve">on the appellant’s behalf that this public interest must be </w:t>
      </w:r>
      <w:r w:rsidR="0019092C">
        <w:rPr>
          <w:rFonts w:ascii="Book Antiqua" w:hAnsi="Book Antiqua"/>
        </w:rPr>
        <w:t xml:space="preserve">assessed as having been </w:t>
      </w:r>
      <w:r w:rsidR="002A00F9">
        <w:rPr>
          <w:rFonts w:ascii="Book Antiqua" w:hAnsi="Book Antiqua"/>
        </w:rPr>
        <w:t>reduced</w:t>
      </w:r>
      <w:r w:rsidR="00FA3BCE">
        <w:rPr>
          <w:rFonts w:ascii="Book Antiqua" w:hAnsi="Book Antiqua"/>
        </w:rPr>
        <w:t xml:space="preserve"> by a number of matters to which I now turn.</w:t>
      </w:r>
    </w:p>
    <w:p w14:paraId="57DD71D3" w14:textId="77777777" w:rsidR="006D459C" w:rsidRPr="006D459C" w:rsidRDefault="006D459C" w:rsidP="006D459C">
      <w:pPr>
        <w:pStyle w:val="ListParagraph"/>
        <w:rPr>
          <w:rFonts w:ascii="Book Antiqua" w:hAnsi="Book Antiqua"/>
        </w:rPr>
      </w:pPr>
    </w:p>
    <w:p w14:paraId="68E1A509" w14:textId="5858BEFC" w:rsidR="009D35FC" w:rsidRDefault="000900BE" w:rsidP="00473405">
      <w:pPr>
        <w:pStyle w:val="ListParagraph"/>
        <w:numPr>
          <w:ilvl w:val="0"/>
          <w:numId w:val="1"/>
        </w:numPr>
        <w:jc w:val="both"/>
        <w:rPr>
          <w:rFonts w:ascii="Book Antiqua" w:hAnsi="Book Antiqua"/>
        </w:rPr>
      </w:pPr>
      <w:r>
        <w:rPr>
          <w:rFonts w:ascii="Book Antiqua" w:hAnsi="Book Antiqua"/>
        </w:rPr>
        <w:t>Fi</w:t>
      </w:r>
      <w:r w:rsidR="004F163B">
        <w:rPr>
          <w:rFonts w:ascii="Book Antiqua" w:hAnsi="Book Antiqua"/>
        </w:rPr>
        <w:t>rst, t</w:t>
      </w:r>
      <w:r>
        <w:rPr>
          <w:rFonts w:ascii="Book Antiqua" w:hAnsi="Book Antiqua"/>
        </w:rPr>
        <w:t>he appellant has resided in the UK for a lengthy continuous period in excess of 10 years</w:t>
      </w:r>
      <w:r w:rsidR="00C72569">
        <w:rPr>
          <w:rFonts w:ascii="Book Antiqua" w:hAnsi="Book Antiqua"/>
        </w:rPr>
        <w:t xml:space="preserve">, the majority of which </w:t>
      </w:r>
      <w:r w:rsidR="001413AA">
        <w:rPr>
          <w:rFonts w:ascii="Book Antiqua" w:hAnsi="Book Antiqua"/>
        </w:rPr>
        <w:t xml:space="preserve">(up to when he became ARE) </w:t>
      </w:r>
      <w:r w:rsidR="00C72569">
        <w:rPr>
          <w:rFonts w:ascii="Book Antiqua" w:hAnsi="Book Antiqua"/>
        </w:rPr>
        <w:t>was lawful</w:t>
      </w:r>
      <w:r w:rsidR="001413AA">
        <w:rPr>
          <w:rFonts w:ascii="Book Antiqua" w:hAnsi="Book Antiqua"/>
        </w:rPr>
        <w:t xml:space="preserve"> and </w:t>
      </w:r>
      <w:r w:rsidR="00640A8C">
        <w:rPr>
          <w:rFonts w:ascii="Book Antiqua" w:hAnsi="Book Antiqua"/>
        </w:rPr>
        <w:t xml:space="preserve">as a consequence he </w:t>
      </w:r>
      <w:r w:rsidR="001413AA">
        <w:rPr>
          <w:rFonts w:ascii="Book Antiqua" w:hAnsi="Book Antiqua"/>
        </w:rPr>
        <w:t>now has few ties to Bangladesh</w:t>
      </w:r>
      <w:r w:rsidR="00B83393">
        <w:rPr>
          <w:rFonts w:ascii="Book Antiqua" w:hAnsi="Book Antiqua"/>
        </w:rPr>
        <w:t xml:space="preserve">.  </w:t>
      </w:r>
      <w:r w:rsidR="001413AA">
        <w:rPr>
          <w:rFonts w:ascii="Book Antiqua" w:hAnsi="Book Antiqua"/>
        </w:rPr>
        <w:t>T</w:t>
      </w:r>
      <w:r w:rsidR="00B83393">
        <w:rPr>
          <w:rFonts w:ascii="Book Antiqua" w:hAnsi="Book Antiqua"/>
        </w:rPr>
        <w:t xml:space="preserve">he appellant is unable to meet the requirements of 276B </w:t>
      </w:r>
      <w:r w:rsidR="00FA1BC1">
        <w:rPr>
          <w:rFonts w:ascii="Book Antiqua" w:hAnsi="Book Antiqua"/>
        </w:rPr>
        <w:t xml:space="preserve">(or any other Rule) </w:t>
      </w:r>
      <w:r w:rsidR="00B83393">
        <w:rPr>
          <w:rFonts w:ascii="Book Antiqua" w:hAnsi="Book Antiqua"/>
        </w:rPr>
        <w:t>for reasons that have already been explained</w:t>
      </w:r>
      <w:r w:rsidR="009D35FC">
        <w:rPr>
          <w:rFonts w:ascii="Book Antiqua" w:hAnsi="Book Antiqua"/>
        </w:rPr>
        <w:t>.</w:t>
      </w:r>
      <w:r w:rsidR="00B625B7">
        <w:rPr>
          <w:rFonts w:ascii="Book Antiqua" w:hAnsi="Book Antiqua"/>
        </w:rPr>
        <w:t xml:space="preserve"> </w:t>
      </w:r>
      <w:r w:rsidR="001413AA">
        <w:rPr>
          <w:rFonts w:ascii="Book Antiqua" w:hAnsi="Book Antiqua"/>
        </w:rPr>
        <w:t>He spent the first 27 years</w:t>
      </w:r>
      <w:r w:rsidR="00B625B7">
        <w:rPr>
          <w:rFonts w:ascii="Book Antiqua" w:hAnsi="Book Antiqua"/>
        </w:rPr>
        <w:t xml:space="preserve"> in Bangladesh, where he was born and where he remains a citizen.</w:t>
      </w:r>
      <w:r w:rsidR="001413AA">
        <w:rPr>
          <w:rFonts w:ascii="Book Antiqua" w:hAnsi="Book Antiqua"/>
        </w:rPr>
        <w:t xml:space="preserve">  Although the appellant’s parents have </w:t>
      </w:r>
      <w:r w:rsidR="00640A8C">
        <w:rPr>
          <w:rFonts w:ascii="Book Antiqua" w:hAnsi="Book Antiqua"/>
        </w:rPr>
        <w:t xml:space="preserve">sadly </w:t>
      </w:r>
      <w:r w:rsidR="001413AA">
        <w:rPr>
          <w:rFonts w:ascii="Book Antiqua" w:hAnsi="Book Antiqua"/>
        </w:rPr>
        <w:t xml:space="preserve">both passed away, </w:t>
      </w:r>
      <w:r w:rsidR="00640A8C">
        <w:rPr>
          <w:rFonts w:ascii="Book Antiqua" w:hAnsi="Book Antiqua"/>
        </w:rPr>
        <w:t xml:space="preserve">he </w:t>
      </w:r>
      <w:r w:rsidR="001413AA">
        <w:rPr>
          <w:rFonts w:ascii="Book Antiqua" w:hAnsi="Book Antiqua"/>
        </w:rPr>
        <w:t xml:space="preserve">has siblings and other family contacts in Bangladesh.  He is educated to tertiary level and </w:t>
      </w:r>
      <w:r w:rsidR="00640A8C">
        <w:rPr>
          <w:rFonts w:ascii="Book Antiqua" w:hAnsi="Book Antiqua"/>
        </w:rPr>
        <w:t xml:space="preserve">given his family contacts, </w:t>
      </w:r>
      <w:r w:rsidR="001413AA">
        <w:rPr>
          <w:rFonts w:ascii="Book Antiqua" w:hAnsi="Book Antiqua"/>
        </w:rPr>
        <w:t xml:space="preserve">his employment prospects in Bangladesh should be </w:t>
      </w:r>
      <w:r w:rsidR="00640A8C">
        <w:rPr>
          <w:rFonts w:ascii="Book Antiqua" w:hAnsi="Book Antiqua"/>
        </w:rPr>
        <w:t>better than for most</w:t>
      </w:r>
      <w:r w:rsidR="001413AA">
        <w:rPr>
          <w:rFonts w:ascii="Book Antiqua" w:hAnsi="Book Antiqua"/>
        </w:rPr>
        <w:t xml:space="preserve">.  Whilst I accept the </w:t>
      </w:r>
      <w:r w:rsidR="005217B0">
        <w:rPr>
          <w:rFonts w:ascii="Book Antiqua" w:hAnsi="Book Antiqua"/>
        </w:rPr>
        <w:t xml:space="preserve">current </w:t>
      </w:r>
      <w:r w:rsidR="001413AA">
        <w:rPr>
          <w:rFonts w:ascii="Book Antiqua" w:hAnsi="Book Antiqua"/>
        </w:rPr>
        <w:t>pandemic</w:t>
      </w:r>
      <w:r w:rsidR="005217B0">
        <w:rPr>
          <w:rFonts w:ascii="Book Antiqua" w:hAnsi="Book Antiqua"/>
        </w:rPr>
        <w:t xml:space="preserve"> will make it more difficult for the appellant to start again in Bangladesh, he will have the support of family members and sufficient remaining ties to settle into life there.  The appellant has not been able to work in the UK for a lengthy period and has had to rely upon friends and family.  I note there are many letters written in support of the appellant from friends in the UK.  There is no reason to doubt their evidence that the appellant is a good friend who has done his best in difficult circumstances.  However, I am satisfied that despite the appellant’s lengthy residence in the UK he will be able to reasonably re-integrate to life and employment in Bangladesh where he continues to have ties.</w:t>
      </w:r>
    </w:p>
    <w:p w14:paraId="33853259" w14:textId="411ED31C" w:rsidR="009D35FC" w:rsidRPr="00753C84" w:rsidRDefault="009D35FC" w:rsidP="00753C84">
      <w:pPr>
        <w:rPr>
          <w:rFonts w:ascii="Book Antiqua" w:hAnsi="Book Antiqua"/>
        </w:rPr>
      </w:pPr>
    </w:p>
    <w:p w14:paraId="3F1B829F" w14:textId="335CFBF3" w:rsidR="00E70AD0" w:rsidRDefault="004B45CB" w:rsidP="001D5351">
      <w:pPr>
        <w:pStyle w:val="ListParagraph"/>
        <w:numPr>
          <w:ilvl w:val="0"/>
          <w:numId w:val="1"/>
        </w:numPr>
        <w:jc w:val="both"/>
        <w:rPr>
          <w:rFonts w:ascii="Book Antiqua" w:hAnsi="Book Antiqua"/>
        </w:rPr>
      </w:pPr>
      <w:r w:rsidRPr="001D5351">
        <w:rPr>
          <w:rFonts w:ascii="Book Antiqua" w:hAnsi="Book Antiqua"/>
        </w:rPr>
        <w:t xml:space="preserve">Second, </w:t>
      </w:r>
      <w:bookmarkStart w:id="11" w:name="para140"/>
      <w:r w:rsidR="006A79A8" w:rsidRPr="001D5351">
        <w:rPr>
          <w:rFonts w:ascii="Book Antiqua" w:hAnsi="Book Antiqua"/>
        </w:rPr>
        <w:t xml:space="preserve">this is </w:t>
      </w:r>
      <w:r w:rsidR="001D5351">
        <w:rPr>
          <w:rFonts w:ascii="Book Antiqua" w:hAnsi="Book Antiqua"/>
        </w:rPr>
        <w:t xml:space="preserve">said to be </w:t>
      </w:r>
      <w:r w:rsidR="00B012DF" w:rsidRPr="001D5351">
        <w:rPr>
          <w:rFonts w:ascii="Book Antiqua" w:hAnsi="Book Antiqua"/>
        </w:rPr>
        <w:t xml:space="preserve">a </w:t>
      </w:r>
      <w:r w:rsidR="006A79A8" w:rsidRPr="001D5351">
        <w:rPr>
          <w:rFonts w:ascii="Book Antiqua" w:hAnsi="Book Antiqua"/>
        </w:rPr>
        <w:t>‘</w:t>
      </w:r>
      <w:r w:rsidR="00B012DF" w:rsidRPr="001D5351">
        <w:rPr>
          <w:rFonts w:ascii="Book Antiqua" w:hAnsi="Book Antiqua"/>
        </w:rPr>
        <w:t>near miss</w:t>
      </w:r>
      <w:r w:rsidR="006A79A8" w:rsidRPr="001D5351">
        <w:rPr>
          <w:rFonts w:ascii="Book Antiqua" w:hAnsi="Book Antiqua"/>
        </w:rPr>
        <w:t>’</w:t>
      </w:r>
      <w:r w:rsidR="00B012DF" w:rsidRPr="001D5351">
        <w:rPr>
          <w:rFonts w:ascii="Book Antiqua" w:hAnsi="Book Antiqua"/>
        </w:rPr>
        <w:t xml:space="preserve"> case</w:t>
      </w:r>
      <w:r w:rsidR="00A96550">
        <w:rPr>
          <w:rFonts w:ascii="Book Antiqua" w:hAnsi="Book Antiqua"/>
        </w:rPr>
        <w:t xml:space="preserve"> with compelling and compassionate circumstances</w:t>
      </w:r>
      <w:r w:rsidR="006A79A8" w:rsidRPr="001D5351">
        <w:rPr>
          <w:rFonts w:ascii="Book Antiqua" w:hAnsi="Book Antiqua"/>
        </w:rPr>
        <w:t xml:space="preserve">.  </w:t>
      </w:r>
      <w:r w:rsidR="005365DB" w:rsidRPr="001D5351">
        <w:rPr>
          <w:rFonts w:ascii="Book Antiqua" w:hAnsi="Book Antiqua"/>
        </w:rPr>
        <w:t xml:space="preserve">For the avoidance of doubt </w:t>
      </w:r>
      <w:r w:rsidR="006A79A8" w:rsidRPr="001D5351">
        <w:rPr>
          <w:rFonts w:ascii="Book Antiqua" w:hAnsi="Book Antiqua"/>
        </w:rPr>
        <w:t xml:space="preserve">I accept </w:t>
      </w:r>
      <w:r w:rsidR="00D277C7">
        <w:rPr>
          <w:rFonts w:ascii="Book Antiqua" w:hAnsi="Book Antiqua"/>
        </w:rPr>
        <w:t xml:space="preserve">in principle </w:t>
      </w:r>
      <w:r w:rsidR="006A79A8" w:rsidRPr="001D5351">
        <w:rPr>
          <w:rFonts w:ascii="Book Antiqua" w:hAnsi="Book Antiqua"/>
        </w:rPr>
        <w:t>that this is not</w:t>
      </w:r>
      <w:r w:rsidR="00B012DF" w:rsidRPr="001D5351">
        <w:rPr>
          <w:rFonts w:ascii="Book Antiqua" w:hAnsi="Book Antiqua"/>
        </w:rPr>
        <w:t xml:space="preserve"> wholly irrelevant </w:t>
      </w:r>
      <w:r w:rsidR="005365DB" w:rsidRPr="001D5351">
        <w:rPr>
          <w:rFonts w:ascii="Book Antiqua" w:hAnsi="Book Antiqua"/>
        </w:rPr>
        <w:t>particularly where</w:t>
      </w:r>
      <w:r w:rsidR="00B012DF" w:rsidRPr="001D5351">
        <w:rPr>
          <w:rFonts w:ascii="Book Antiqua" w:hAnsi="Book Antiqua"/>
        </w:rPr>
        <w:t xml:space="preserve"> compelling circumstances may exist. This is because the detrimental impact on the public interest will be somewhat less than in a case where the gap between the applicant's position and the </w:t>
      </w:r>
      <w:r w:rsidR="00640A8C">
        <w:rPr>
          <w:rFonts w:ascii="Book Antiqua" w:hAnsi="Book Antiqua"/>
        </w:rPr>
        <w:t>R</w:t>
      </w:r>
      <w:r w:rsidR="00B012DF" w:rsidRPr="001D5351">
        <w:rPr>
          <w:rFonts w:ascii="Book Antiqua" w:hAnsi="Book Antiqua"/>
        </w:rPr>
        <w:t>ules is greater</w:t>
      </w:r>
      <w:r w:rsidR="001413AA">
        <w:rPr>
          <w:rFonts w:ascii="Book Antiqua" w:hAnsi="Book Antiqua"/>
        </w:rPr>
        <w:t xml:space="preserve"> -</w:t>
      </w:r>
      <w:r w:rsidR="00B012DF" w:rsidRPr="001D5351">
        <w:rPr>
          <w:rFonts w:ascii="Book Antiqua" w:hAnsi="Book Antiqua"/>
        </w:rPr>
        <w:t xml:space="preserve"> see</w:t>
      </w:r>
      <w:r w:rsidR="0087559D" w:rsidRPr="001D5351">
        <w:rPr>
          <w:rFonts w:ascii="Book Antiqua" w:hAnsi="Book Antiqua"/>
        </w:rPr>
        <w:t xml:space="preserve"> </w:t>
      </w:r>
      <w:r w:rsidR="0087559D" w:rsidRPr="001D5351">
        <w:rPr>
          <w:rFonts w:ascii="Book Antiqua" w:hAnsi="Book Antiqua"/>
          <w:u w:val="single"/>
        </w:rPr>
        <w:t>SS</w:t>
      </w:r>
      <w:r w:rsidR="0087559D" w:rsidRPr="001D5351">
        <w:rPr>
          <w:rFonts w:ascii="Book Antiqua" w:hAnsi="Book Antiqua"/>
        </w:rPr>
        <w:t xml:space="preserve"> (supra)</w:t>
      </w:r>
      <w:bookmarkEnd w:id="11"/>
      <w:r w:rsidR="002A79D9">
        <w:rPr>
          <w:rFonts w:ascii="Book Antiqua" w:hAnsi="Book Antiqua"/>
        </w:rPr>
        <w:t xml:space="preserve"> at [54] to [56]</w:t>
      </w:r>
      <w:r w:rsidR="00B012DF" w:rsidRPr="001D5351">
        <w:rPr>
          <w:rFonts w:ascii="Book Antiqua" w:hAnsi="Book Antiqua"/>
        </w:rPr>
        <w:t xml:space="preserve">. </w:t>
      </w:r>
    </w:p>
    <w:p w14:paraId="1D6EEB46" w14:textId="77777777" w:rsidR="00E70AD0" w:rsidRPr="00E70AD0" w:rsidRDefault="00E70AD0" w:rsidP="00E70AD0">
      <w:pPr>
        <w:pStyle w:val="ListParagraph"/>
        <w:rPr>
          <w:rFonts w:ascii="Book Antiqua" w:hAnsi="Book Antiqua"/>
          <w:lang w:val="en-US"/>
        </w:rPr>
      </w:pPr>
    </w:p>
    <w:p w14:paraId="1F4AB0C2" w14:textId="6683964D" w:rsidR="00813FF8" w:rsidRPr="00813FF8" w:rsidRDefault="00640A8C" w:rsidP="00640A8C">
      <w:pPr>
        <w:pStyle w:val="ListParagraph"/>
        <w:numPr>
          <w:ilvl w:val="0"/>
          <w:numId w:val="1"/>
        </w:numPr>
        <w:jc w:val="both"/>
        <w:rPr>
          <w:rFonts w:ascii="Book Antiqua" w:hAnsi="Book Antiqua"/>
        </w:rPr>
      </w:pPr>
      <w:r>
        <w:rPr>
          <w:rFonts w:ascii="Book Antiqua" w:hAnsi="Book Antiqua"/>
          <w:lang w:val="en-US"/>
        </w:rPr>
        <w:t xml:space="preserve">The </w:t>
      </w:r>
      <w:r w:rsidR="00905E26" w:rsidRPr="001D5351">
        <w:rPr>
          <w:rFonts w:ascii="Book Antiqua" w:hAnsi="Book Antiqua"/>
          <w:lang w:val="en-US"/>
        </w:rPr>
        <w:t>appellant</w:t>
      </w:r>
      <w:r>
        <w:rPr>
          <w:rFonts w:ascii="Book Antiqua" w:hAnsi="Book Antiqua"/>
          <w:lang w:val="en-US"/>
        </w:rPr>
        <w:t xml:space="preserve"> may well have been unlucky in the timing of the 6 December 2020 application.  As Mr Youssefian p</w:t>
      </w:r>
      <w:r w:rsidRPr="001D5351">
        <w:rPr>
          <w:rFonts w:ascii="Book Antiqua" w:hAnsi="Book Antiqua"/>
          <w:lang w:val="en-US"/>
        </w:rPr>
        <w:t xml:space="preserve">ointed out </w:t>
      </w:r>
      <w:r>
        <w:rPr>
          <w:rFonts w:ascii="Book Antiqua" w:hAnsi="Book Antiqua"/>
          <w:lang w:val="en-US"/>
        </w:rPr>
        <w:t xml:space="preserve">his </w:t>
      </w:r>
      <w:r w:rsidRPr="001D5351">
        <w:rPr>
          <w:rFonts w:ascii="Book Antiqua" w:hAnsi="Book Antiqua"/>
          <w:lang w:val="en-US"/>
        </w:rPr>
        <w:t xml:space="preserve">position would have been different if he had made his application a few days earlier on 23 November 2016.  </w:t>
      </w:r>
      <w:r>
        <w:rPr>
          <w:rFonts w:ascii="Book Antiqua" w:hAnsi="Book Antiqua"/>
          <w:lang w:val="en-US"/>
        </w:rPr>
        <w:t xml:space="preserve">He would have then benefitted from the 28-day regime.  </w:t>
      </w:r>
      <w:r w:rsidR="00D57430">
        <w:rPr>
          <w:rFonts w:ascii="Book Antiqua" w:hAnsi="Book Antiqua"/>
          <w:lang w:val="en-US"/>
        </w:rPr>
        <w:t>However</w:t>
      </w:r>
      <w:r w:rsidR="00524942">
        <w:rPr>
          <w:rFonts w:ascii="Book Antiqua" w:hAnsi="Book Antiqua"/>
          <w:lang w:val="en-US"/>
        </w:rPr>
        <w:t>,</w:t>
      </w:r>
      <w:r w:rsidR="00D57430">
        <w:rPr>
          <w:rFonts w:ascii="Book Antiqua" w:hAnsi="Book Antiqua"/>
          <w:lang w:val="en-US"/>
        </w:rPr>
        <w:t xml:space="preserve"> t</w:t>
      </w:r>
      <w:r>
        <w:rPr>
          <w:rFonts w:ascii="Book Antiqua" w:hAnsi="Book Antiqua"/>
          <w:lang w:val="en-US"/>
        </w:rPr>
        <w:t>his</w:t>
      </w:r>
      <w:r w:rsidRPr="001D5351">
        <w:rPr>
          <w:rFonts w:ascii="Book Antiqua" w:hAnsi="Book Antiqua"/>
          <w:lang w:val="en-US"/>
        </w:rPr>
        <w:t xml:space="preserve"> </w:t>
      </w:r>
      <w:r>
        <w:rPr>
          <w:rFonts w:ascii="Book Antiqua" w:hAnsi="Book Antiqua"/>
          <w:lang w:val="en-US"/>
        </w:rPr>
        <w:t>‘</w:t>
      </w:r>
      <w:r w:rsidRPr="001D5351">
        <w:rPr>
          <w:rFonts w:ascii="Book Antiqua" w:hAnsi="Book Antiqua"/>
          <w:lang w:val="en-US"/>
        </w:rPr>
        <w:t>near miss</w:t>
      </w:r>
      <w:r>
        <w:rPr>
          <w:rFonts w:ascii="Book Antiqua" w:hAnsi="Book Antiqua"/>
          <w:lang w:val="en-US"/>
        </w:rPr>
        <w:t>’ must be seen in the context of all the relevant circumstances</w:t>
      </w:r>
      <w:r w:rsidRPr="001D5351">
        <w:rPr>
          <w:rFonts w:ascii="Book Antiqua" w:hAnsi="Book Antiqua"/>
          <w:lang w:val="en-US"/>
        </w:rPr>
        <w:t>.</w:t>
      </w:r>
      <w:r>
        <w:rPr>
          <w:rFonts w:ascii="Book Antiqua" w:hAnsi="Book Antiqua"/>
          <w:lang w:val="en-US"/>
        </w:rPr>
        <w:t xml:space="preserve">  The application that was made at the time was bound to fail</w:t>
      </w:r>
      <w:r w:rsidR="005B4CA8">
        <w:rPr>
          <w:rFonts w:ascii="Book Antiqua" w:hAnsi="Book Antiqua"/>
          <w:lang w:val="en-US"/>
        </w:rPr>
        <w:t>, a</w:t>
      </w:r>
      <w:r>
        <w:rPr>
          <w:rFonts w:ascii="Book Antiqua" w:hAnsi="Book Antiqua"/>
          <w:lang w:val="en-US"/>
        </w:rPr>
        <w:t xml:space="preserve">s the appellant’s own chronology acknowledges.  </w:t>
      </w:r>
      <w:r w:rsidR="00813FF8">
        <w:rPr>
          <w:rFonts w:ascii="Book Antiqua" w:hAnsi="Book Antiqua"/>
          <w:lang w:val="en-US"/>
        </w:rPr>
        <w:t xml:space="preserve">In addition, </w:t>
      </w:r>
      <w:r w:rsidR="00D4701B">
        <w:rPr>
          <w:rFonts w:ascii="Book Antiqua" w:hAnsi="Book Antiqua"/>
          <w:lang w:val="en-US"/>
        </w:rPr>
        <w:t xml:space="preserve">at that time </w:t>
      </w:r>
      <w:r w:rsidR="00813FF8">
        <w:rPr>
          <w:rFonts w:ascii="Book Antiqua" w:hAnsi="Book Antiqua"/>
          <w:lang w:val="en-US"/>
        </w:rPr>
        <w:t xml:space="preserve">the 2016 FTT had as recently as March 2016 undertaken a full assessment of the appellant’s circumstances.  </w:t>
      </w:r>
      <w:r w:rsidR="00D4701B">
        <w:rPr>
          <w:rFonts w:ascii="Book Antiqua" w:hAnsi="Book Antiqua"/>
          <w:lang w:val="en-US"/>
        </w:rPr>
        <w:t>On the material available to me, t</w:t>
      </w:r>
      <w:r w:rsidR="00813FF8">
        <w:rPr>
          <w:rFonts w:ascii="Book Antiqua" w:hAnsi="Book Antiqua"/>
          <w:lang w:val="en-US"/>
        </w:rPr>
        <w:t xml:space="preserve">here was no material change in these circumstances by November 2016, far less any change capable of </w:t>
      </w:r>
      <w:r w:rsidR="00813FF8">
        <w:rPr>
          <w:rFonts w:ascii="Book Antiqua" w:hAnsi="Book Antiqua"/>
          <w:lang w:val="en-US"/>
        </w:rPr>
        <w:lastRenderedPageBreak/>
        <w:t>supporting a viable fresh human rights claim with reasonable prospects of success.</w:t>
      </w:r>
      <w:r w:rsidR="00D56B42">
        <w:rPr>
          <w:rFonts w:ascii="Book Antiqua" w:hAnsi="Book Antiqua"/>
          <w:lang w:val="en-US"/>
        </w:rPr>
        <w:t xml:space="preserve">  </w:t>
      </w:r>
      <w:r w:rsidR="00D56B42" w:rsidRPr="00D56B42">
        <w:rPr>
          <w:rFonts w:ascii="Book Antiqua" w:hAnsi="Book Antiqua"/>
          <w:lang w:val="en-US"/>
        </w:rPr>
        <w:t xml:space="preserve">I appreciate that changes to immigration law are notoriously fast changing and complex and PGA Solicitors may have been working under a misapprehension that the 28-day regime continued (as they noted within the 6 December 2016 covering letter that the application was being made within 28 days of ARE).  However, the undeniable fact remains that the appellant and his advisors appeared content for him to become an overstayer. </w:t>
      </w:r>
      <w:r w:rsidR="00255E1D">
        <w:rPr>
          <w:rFonts w:ascii="Book Antiqua" w:hAnsi="Book Antiqua"/>
          <w:lang w:val="en-US"/>
        </w:rPr>
        <w:t xml:space="preserve">  They </w:t>
      </w:r>
      <w:r w:rsidR="00FD4877">
        <w:rPr>
          <w:rFonts w:ascii="Book Antiqua" w:hAnsi="Book Antiqua"/>
          <w:lang w:val="en-US"/>
        </w:rPr>
        <w:t>would have known that the appellant  was soon to become ARE</w:t>
      </w:r>
      <w:r w:rsidR="00A15ABF">
        <w:rPr>
          <w:rFonts w:ascii="Book Antiqua" w:hAnsi="Book Antiqua"/>
          <w:lang w:val="en-US"/>
        </w:rPr>
        <w:t xml:space="preserve"> and risked breaching immigration laws by becoming an overstayer when the UT refused permission to appeal</w:t>
      </w:r>
      <w:r w:rsidR="00E84798">
        <w:rPr>
          <w:rFonts w:ascii="Book Antiqua" w:hAnsi="Book Antiqua"/>
          <w:lang w:val="en-US"/>
        </w:rPr>
        <w:t xml:space="preserve"> the 2016 FTT decision on 4 November 2016.</w:t>
      </w:r>
      <w:r w:rsidR="00D56B42" w:rsidRPr="00D56B42">
        <w:rPr>
          <w:rFonts w:ascii="Book Antiqua" w:hAnsi="Book Antiqua"/>
          <w:lang w:val="en-US"/>
        </w:rPr>
        <w:t xml:space="preserve"> The 28-day regime did not obviate overstaying but made it possible for that </w:t>
      </w:r>
      <w:r w:rsidR="00E84798">
        <w:rPr>
          <w:rFonts w:ascii="Book Antiqua" w:hAnsi="Book Antiqua"/>
          <w:lang w:val="en-US"/>
        </w:rPr>
        <w:t xml:space="preserve">particular </w:t>
      </w:r>
      <w:r w:rsidR="00D56B42" w:rsidRPr="00D56B42">
        <w:rPr>
          <w:rFonts w:ascii="Book Antiqua" w:hAnsi="Book Antiqua"/>
          <w:lang w:val="en-US"/>
        </w:rPr>
        <w:t>period of overstaying to be disregarded</w:t>
      </w:r>
      <w:r w:rsidR="00E84798">
        <w:rPr>
          <w:rFonts w:ascii="Book Antiqua" w:hAnsi="Book Antiqua"/>
          <w:lang w:val="en-US"/>
        </w:rPr>
        <w:t xml:space="preserve"> for the purposes of 276B</w:t>
      </w:r>
      <w:r w:rsidR="00D56B42" w:rsidRPr="00D56B42">
        <w:rPr>
          <w:rFonts w:ascii="Book Antiqua" w:hAnsi="Book Antiqua"/>
          <w:lang w:val="en-US"/>
        </w:rPr>
        <w:t>.  Given that the appellant had legal representatives at the time and presumably access to legal advice, it remains difficult to understand why the appellant did not make an in-time application for further leave before he became ARE, rather than becoming an overstayer, with all the risks and difficulties that inevitably entails.</w:t>
      </w:r>
    </w:p>
    <w:p w14:paraId="0F6BCA7C" w14:textId="77777777" w:rsidR="00813FF8" w:rsidRPr="00813FF8" w:rsidRDefault="00813FF8" w:rsidP="00813FF8">
      <w:pPr>
        <w:pStyle w:val="ListParagraph"/>
        <w:rPr>
          <w:rFonts w:ascii="Book Antiqua" w:hAnsi="Book Antiqua"/>
          <w:lang w:val="en-US"/>
        </w:rPr>
      </w:pPr>
    </w:p>
    <w:p w14:paraId="57419D94" w14:textId="5C2906E7" w:rsidR="002D570F" w:rsidRPr="002D570F" w:rsidRDefault="00813FF8" w:rsidP="00457C05">
      <w:pPr>
        <w:pStyle w:val="ListParagraph"/>
        <w:numPr>
          <w:ilvl w:val="0"/>
          <w:numId w:val="1"/>
        </w:numPr>
        <w:jc w:val="both"/>
        <w:rPr>
          <w:rFonts w:ascii="Book Antiqua" w:hAnsi="Book Antiqua"/>
        </w:rPr>
      </w:pPr>
      <w:r>
        <w:rPr>
          <w:rFonts w:ascii="Book Antiqua" w:hAnsi="Book Antiqua"/>
          <w:lang w:val="en-US"/>
        </w:rPr>
        <w:t xml:space="preserve">I have already noted </w:t>
      </w:r>
      <w:r w:rsidR="00524942">
        <w:rPr>
          <w:rFonts w:ascii="Book Antiqua" w:hAnsi="Book Antiqua"/>
          <w:lang w:val="en-US"/>
        </w:rPr>
        <w:t xml:space="preserve">that </w:t>
      </w:r>
      <w:r>
        <w:rPr>
          <w:rFonts w:ascii="Book Antiqua" w:hAnsi="Book Antiqua"/>
          <w:lang w:val="en-US"/>
        </w:rPr>
        <w:t>further applications in 2017 and 2018 contained</w:t>
      </w:r>
      <w:r w:rsidR="00640A8C">
        <w:rPr>
          <w:rFonts w:ascii="Book Antiqua" w:hAnsi="Book Antiqua"/>
          <w:lang w:val="en-US"/>
        </w:rPr>
        <w:t xml:space="preserve"> claim</w:t>
      </w:r>
      <w:r>
        <w:rPr>
          <w:rFonts w:ascii="Book Antiqua" w:hAnsi="Book Antiqua"/>
          <w:lang w:val="en-US"/>
        </w:rPr>
        <w:t>s</w:t>
      </w:r>
      <w:r w:rsidR="00640A8C">
        <w:rPr>
          <w:rFonts w:ascii="Book Antiqua" w:hAnsi="Book Antiqua"/>
          <w:lang w:val="en-US"/>
        </w:rPr>
        <w:t xml:space="preserve"> that the appellant would face very significant obstacles </w:t>
      </w:r>
      <w:r>
        <w:rPr>
          <w:rFonts w:ascii="Book Antiqua" w:hAnsi="Book Antiqua"/>
          <w:lang w:val="en-US"/>
        </w:rPr>
        <w:t xml:space="preserve">reintegrating to Bangladesh </w:t>
      </w:r>
      <w:r w:rsidR="00640A8C">
        <w:rPr>
          <w:rFonts w:ascii="Book Antiqua" w:hAnsi="Book Antiqua"/>
          <w:lang w:val="en-US"/>
        </w:rPr>
        <w:t>and a breach of Article 3</w:t>
      </w:r>
      <w:r>
        <w:rPr>
          <w:rFonts w:ascii="Book Antiqua" w:hAnsi="Book Antiqua"/>
          <w:lang w:val="en-US"/>
        </w:rPr>
        <w:t>, ECHR</w:t>
      </w:r>
      <w:r w:rsidR="00524942">
        <w:rPr>
          <w:rFonts w:ascii="Book Antiqua" w:hAnsi="Book Antiqua"/>
          <w:lang w:val="en-US"/>
        </w:rPr>
        <w:t xml:space="preserve"> but these</w:t>
      </w:r>
      <w:r w:rsidR="00640A8C">
        <w:rPr>
          <w:rFonts w:ascii="Book Antiqua" w:hAnsi="Book Antiqua"/>
          <w:lang w:val="en-US"/>
        </w:rPr>
        <w:t xml:space="preserve"> </w:t>
      </w:r>
      <w:r w:rsidR="00D33931">
        <w:rPr>
          <w:rFonts w:ascii="Book Antiqua" w:hAnsi="Book Antiqua"/>
          <w:lang w:val="en-US"/>
        </w:rPr>
        <w:t xml:space="preserve">have not been </w:t>
      </w:r>
      <w:r w:rsidR="00640A8C">
        <w:rPr>
          <w:rFonts w:ascii="Book Antiqua" w:hAnsi="Book Antiqua"/>
          <w:lang w:val="en-US"/>
        </w:rPr>
        <w:t xml:space="preserve">pursued.  </w:t>
      </w:r>
      <w:r w:rsidR="00D33931">
        <w:rPr>
          <w:rFonts w:ascii="Book Antiqua" w:hAnsi="Book Antiqua"/>
          <w:lang w:val="en-US"/>
        </w:rPr>
        <w:t>In addition, a</w:t>
      </w:r>
      <w:r w:rsidR="00640A8C">
        <w:rPr>
          <w:rFonts w:ascii="Book Antiqua" w:hAnsi="Book Antiqua"/>
          <w:lang w:val="en-US"/>
        </w:rPr>
        <w:t>t th</w:t>
      </w:r>
      <w:r w:rsidR="00D33931">
        <w:rPr>
          <w:rFonts w:ascii="Book Antiqua" w:hAnsi="Book Antiqua"/>
          <w:lang w:val="en-US"/>
        </w:rPr>
        <w:t xml:space="preserve">ose times </w:t>
      </w:r>
      <w:r w:rsidR="00640A8C">
        <w:rPr>
          <w:rFonts w:ascii="Book Antiqua" w:hAnsi="Book Antiqua"/>
          <w:lang w:val="en-US"/>
        </w:rPr>
        <w:t xml:space="preserve">the appellant’s private life in the UK could not be </w:t>
      </w:r>
      <w:r w:rsidR="009054E0">
        <w:rPr>
          <w:rFonts w:ascii="Book Antiqua" w:hAnsi="Book Antiqua"/>
          <w:lang w:val="en-US"/>
        </w:rPr>
        <w:t xml:space="preserve">classified </w:t>
      </w:r>
      <w:r w:rsidR="00AA59E1">
        <w:rPr>
          <w:rFonts w:ascii="Book Antiqua" w:hAnsi="Book Antiqua"/>
          <w:lang w:val="en-US"/>
        </w:rPr>
        <w:t xml:space="preserve">in a manner </w:t>
      </w:r>
      <w:r w:rsidR="00D33931">
        <w:rPr>
          <w:rFonts w:ascii="Book Antiqua" w:hAnsi="Book Antiqua"/>
          <w:lang w:val="en-US"/>
        </w:rPr>
        <w:t>otherwise than that set out within the 2016 FTT decision</w:t>
      </w:r>
      <w:r w:rsidR="00640A8C">
        <w:rPr>
          <w:rFonts w:ascii="Book Antiqua" w:hAnsi="Book Antiqua"/>
          <w:lang w:val="en-US"/>
        </w:rPr>
        <w:t xml:space="preserve">. </w:t>
      </w:r>
      <w:r w:rsidR="00D33931">
        <w:rPr>
          <w:rFonts w:ascii="Book Antiqua" w:hAnsi="Book Antiqua"/>
          <w:lang w:val="en-US"/>
        </w:rPr>
        <w:t xml:space="preserve"> I </w:t>
      </w:r>
      <w:r w:rsidR="007C2052">
        <w:rPr>
          <w:rFonts w:ascii="Book Antiqua" w:hAnsi="Book Antiqua"/>
          <w:lang w:val="en-US"/>
        </w:rPr>
        <w:t xml:space="preserve">also </w:t>
      </w:r>
      <w:r w:rsidR="00D33931">
        <w:rPr>
          <w:rFonts w:ascii="Book Antiqua" w:hAnsi="Book Antiqua"/>
          <w:lang w:val="en-US"/>
        </w:rPr>
        <w:t>note that a</w:t>
      </w:r>
      <w:r w:rsidR="00640A8C">
        <w:rPr>
          <w:rFonts w:ascii="Book Antiqua" w:hAnsi="Book Antiqua"/>
          <w:lang w:val="en-US"/>
        </w:rPr>
        <w:t xml:space="preserve"> further application based upon the same underlying facts </w:t>
      </w:r>
      <w:r w:rsidR="007C2052">
        <w:rPr>
          <w:rFonts w:ascii="Book Antiqua" w:hAnsi="Book Antiqua"/>
          <w:lang w:val="en-US"/>
        </w:rPr>
        <w:t>(</w:t>
      </w:r>
      <w:r w:rsidR="00640A8C">
        <w:rPr>
          <w:rFonts w:ascii="Book Antiqua" w:hAnsi="Book Antiqua"/>
          <w:lang w:val="en-US"/>
        </w:rPr>
        <w:t>but this time as a SET(O) application</w:t>
      </w:r>
      <w:r w:rsidR="007C2052">
        <w:rPr>
          <w:rFonts w:ascii="Book Antiqua" w:hAnsi="Book Antiqua"/>
          <w:lang w:val="en-US"/>
        </w:rPr>
        <w:t>)</w:t>
      </w:r>
      <w:r w:rsidR="00640A8C">
        <w:rPr>
          <w:rFonts w:ascii="Book Antiqua" w:hAnsi="Book Antiqua"/>
          <w:lang w:val="en-US"/>
        </w:rPr>
        <w:t xml:space="preserve"> was made on 2 January 2019.  Although this was refused by the respondent in April 2019</w:t>
      </w:r>
      <w:r w:rsidR="00D33931">
        <w:rPr>
          <w:rFonts w:ascii="Book Antiqua" w:hAnsi="Book Antiqua"/>
          <w:lang w:val="en-US"/>
        </w:rPr>
        <w:t>,</w:t>
      </w:r>
      <w:r w:rsidR="00640A8C">
        <w:rPr>
          <w:rFonts w:ascii="Book Antiqua" w:hAnsi="Book Antiqua"/>
          <w:lang w:val="en-US"/>
        </w:rPr>
        <w:t xml:space="preserve"> after judicial review proceedings </w:t>
      </w:r>
      <w:r w:rsidR="007C2052">
        <w:rPr>
          <w:rFonts w:ascii="Book Antiqua" w:hAnsi="Book Antiqua"/>
          <w:lang w:val="en-US"/>
        </w:rPr>
        <w:t xml:space="preserve">she </w:t>
      </w:r>
      <w:r w:rsidR="00640A8C">
        <w:rPr>
          <w:rFonts w:ascii="Book Antiqua" w:hAnsi="Book Antiqua"/>
          <w:lang w:val="en-US"/>
        </w:rPr>
        <w:t xml:space="preserve">agreed to reinstate the application in August 2019.  Shortly after this the appellant made the application based upon his 10 years of residence in the UK.  </w:t>
      </w:r>
    </w:p>
    <w:p w14:paraId="0B470CDD" w14:textId="77777777" w:rsidR="002D570F" w:rsidRPr="002D570F" w:rsidRDefault="002D570F" w:rsidP="002D570F">
      <w:pPr>
        <w:pStyle w:val="ListParagraph"/>
        <w:rPr>
          <w:rFonts w:ascii="Book Antiqua" w:hAnsi="Book Antiqua"/>
          <w:lang w:val="en-US"/>
        </w:rPr>
      </w:pPr>
    </w:p>
    <w:p w14:paraId="1AF4AC1C" w14:textId="65FBAB3A" w:rsidR="00B2368F" w:rsidRPr="00457C05" w:rsidRDefault="00640A8C" w:rsidP="00457C05">
      <w:pPr>
        <w:pStyle w:val="ListParagraph"/>
        <w:numPr>
          <w:ilvl w:val="0"/>
          <w:numId w:val="1"/>
        </w:numPr>
        <w:jc w:val="both"/>
        <w:rPr>
          <w:rFonts w:ascii="Book Antiqua" w:hAnsi="Book Antiqua"/>
        </w:rPr>
      </w:pPr>
      <w:r>
        <w:rPr>
          <w:rFonts w:ascii="Book Antiqua" w:hAnsi="Book Antiqua"/>
          <w:lang w:val="en-US"/>
        </w:rPr>
        <w:t xml:space="preserve">That </w:t>
      </w:r>
      <w:r w:rsidR="002D570F">
        <w:rPr>
          <w:rFonts w:ascii="Book Antiqua" w:hAnsi="Book Antiqua"/>
          <w:lang w:val="en-US"/>
        </w:rPr>
        <w:t>above</w:t>
      </w:r>
      <w:r w:rsidR="00317B10">
        <w:rPr>
          <w:rFonts w:ascii="Book Antiqua" w:hAnsi="Book Antiqua"/>
          <w:lang w:val="en-US"/>
        </w:rPr>
        <w:t xml:space="preserve"> </w:t>
      </w:r>
      <w:r w:rsidR="002D570F">
        <w:rPr>
          <w:rFonts w:ascii="Book Antiqua" w:hAnsi="Book Antiqua"/>
          <w:lang w:val="en-US"/>
        </w:rPr>
        <w:t xml:space="preserve">summary </w:t>
      </w:r>
      <w:r w:rsidR="00317B10">
        <w:rPr>
          <w:rFonts w:ascii="Book Antiqua" w:hAnsi="Book Antiqua"/>
          <w:lang w:val="en-US"/>
        </w:rPr>
        <w:t xml:space="preserve">of the </w:t>
      </w:r>
      <w:r>
        <w:rPr>
          <w:rFonts w:ascii="Book Antiqua" w:hAnsi="Book Antiqua"/>
          <w:lang w:val="en-US"/>
        </w:rPr>
        <w:t xml:space="preserve">chronology </w:t>
      </w:r>
      <w:r w:rsidR="002D570F">
        <w:rPr>
          <w:rFonts w:ascii="Book Antiqua" w:hAnsi="Book Antiqua"/>
          <w:lang w:val="en-US"/>
        </w:rPr>
        <w:t>and my findings in relation to key aspects of it</w:t>
      </w:r>
      <w:r w:rsidR="00AC538A">
        <w:rPr>
          <w:rFonts w:ascii="Book Antiqua" w:hAnsi="Book Antiqua"/>
          <w:lang w:val="en-US"/>
        </w:rPr>
        <w:t xml:space="preserve">, </w:t>
      </w:r>
      <w:r>
        <w:rPr>
          <w:rFonts w:ascii="Book Antiqua" w:hAnsi="Book Antiqua"/>
          <w:lang w:val="en-US"/>
        </w:rPr>
        <w:t>demonstrate that the appellant may have nearly missed the requirement to be met for his period of overstaying in November / December 2016 to be disregarded</w:t>
      </w:r>
      <w:r w:rsidR="00D33931">
        <w:rPr>
          <w:rFonts w:ascii="Book Antiqua" w:hAnsi="Book Antiqua"/>
          <w:lang w:val="en-US"/>
        </w:rPr>
        <w:t>, but he came nowhere</w:t>
      </w:r>
      <w:r>
        <w:rPr>
          <w:rFonts w:ascii="Book Antiqua" w:hAnsi="Book Antiqua"/>
          <w:lang w:val="en-US"/>
        </w:rPr>
        <w:t xml:space="preserve"> close to establishing that </w:t>
      </w:r>
      <w:r w:rsidR="00D33931">
        <w:rPr>
          <w:rFonts w:ascii="Book Antiqua" w:hAnsi="Book Antiqua"/>
          <w:lang w:val="en-US"/>
        </w:rPr>
        <w:t>he</w:t>
      </w:r>
      <w:r>
        <w:rPr>
          <w:rFonts w:ascii="Book Antiqua" w:hAnsi="Book Antiqua"/>
          <w:lang w:val="en-US"/>
        </w:rPr>
        <w:t xml:space="preserve"> could meet any substantive Rule </w:t>
      </w:r>
      <w:r w:rsidR="00D33931">
        <w:rPr>
          <w:rFonts w:ascii="Book Antiqua" w:hAnsi="Book Antiqua"/>
          <w:lang w:val="en-US"/>
        </w:rPr>
        <w:t xml:space="preserve">or had any </w:t>
      </w:r>
      <w:r w:rsidR="00E83C5B">
        <w:rPr>
          <w:rFonts w:ascii="Book Antiqua" w:hAnsi="Book Antiqua"/>
          <w:lang w:val="en-US"/>
        </w:rPr>
        <w:t xml:space="preserve">otherwise </w:t>
      </w:r>
      <w:r w:rsidR="00D33931">
        <w:rPr>
          <w:rFonts w:ascii="Book Antiqua" w:hAnsi="Book Antiqua"/>
          <w:lang w:val="en-US"/>
        </w:rPr>
        <w:t xml:space="preserve">firm basis to remain in the UK on human rights grounds.  </w:t>
      </w:r>
      <w:r w:rsidR="002A0F5B" w:rsidRPr="00D33931">
        <w:rPr>
          <w:rFonts w:ascii="Book Antiqua" w:hAnsi="Book Antiqua"/>
          <w:lang w:val="en-US"/>
        </w:rPr>
        <w:t>Th</w:t>
      </w:r>
      <w:r w:rsidR="00D33931">
        <w:rPr>
          <w:rFonts w:ascii="Book Antiqua" w:hAnsi="Book Antiqua"/>
          <w:lang w:val="en-US"/>
        </w:rPr>
        <w:t>at is so notwithstanding th</w:t>
      </w:r>
      <w:r w:rsidR="002A0F5B" w:rsidRPr="00D33931">
        <w:rPr>
          <w:rFonts w:ascii="Book Antiqua" w:hAnsi="Book Antiqua"/>
          <w:lang w:val="en-US"/>
        </w:rPr>
        <w:t>e</w:t>
      </w:r>
      <w:r w:rsidR="00A96550" w:rsidRPr="00D33931">
        <w:rPr>
          <w:rFonts w:ascii="Book Antiqua" w:hAnsi="Book Antiqua"/>
          <w:lang w:val="en-US"/>
        </w:rPr>
        <w:t xml:space="preserve"> extensive</w:t>
      </w:r>
      <w:r w:rsidR="002A0F5B" w:rsidRPr="00D33931">
        <w:rPr>
          <w:rFonts w:ascii="Book Antiqua" w:hAnsi="Book Antiqua"/>
          <w:lang w:val="en-US"/>
        </w:rPr>
        <w:t xml:space="preserve"> evidence before me </w:t>
      </w:r>
      <w:r w:rsidR="00D33931">
        <w:rPr>
          <w:rFonts w:ascii="Book Antiqua" w:hAnsi="Book Antiqua"/>
          <w:lang w:val="en-US"/>
        </w:rPr>
        <w:t xml:space="preserve">demonstrating </w:t>
      </w:r>
      <w:r w:rsidR="002A0F5B" w:rsidRPr="00D33931">
        <w:rPr>
          <w:rFonts w:ascii="Book Antiqua" w:hAnsi="Book Antiqua"/>
          <w:lang w:val="en-US"/>
        </w:rPr>
        <w:t xml:space="preserve">that the appellant </w:t>
      </w:r>
      <w:r w:rsidR="00D33931">
        <w:rPr>
          <w:rFonts w:ascii="Book Antiqua" w:hAnsi="Book Antiqua"/>
          <w:lang w:val="en-US"/>
        </w:rPr>
        <w:t>instructed</w:t>
      </w:r>
      <w:r w:rsidR="002A0F5B" w:rsidRPr="00D33931">
        <w:rPr>
          <w:rFonts w:ascii="Book Antiqua" w:hAnsi="Book Antiqua"/>
          <w:lang w:val="en-US"/>
        </w:rPr>
        <w:t xml:space="preserve"> legal representatives</w:t>
      </w:r>
      <w:r w:rsidR="006A7F22" w:rsidRPr="00D33931">
        <w:rPr>
          <w:rFonts w:ascii="Book Antiqua" w:hAnsi="Book Antiqua"/>
          <w:lang w:val="en-US"/>
        </w:rPr>
        <w:t xml:space="preserve"> at almost every stage of the many applications </w:t>
      </w:r>
      <w:r w:rsidR="00D33931">
        <w:rPr>
          <w:rFonts w:ascii="Book Antiqua" w:hAnsi="Book Antiqua"/>
          <w:lang w:val="en-US"/>
        </w:rPr>
        <w:t>he made</w:t>
      </w:r>
      <w:r w:rsidR="0027270C" w:rsidRPr="00D33931">
        <w:rPr>
          <w:rFonts w:ascii="Book Antiqua" w:hAnsi="Book Antiqua"/>
          <w:lang w:val="en-US"/>
        </w:rPr>
        <w:t>.</w:t>
      </w:r>
      <w:r w:rsidR="00A96550" w:rsidRPr="00D33931">
        <w:rPr>
          <w:rFonts w:ascii="Book Antiqua" w:hAnsi="Book Antiqua"/>
          <w:lang w:val="en-US"/>
        </w:rPr>
        <w:t xml:space="preserve"> </w:t>
      </w:r>
      <w:r w:rsidR="00D33931">
        <w:rPr>
          <w:rFonts w:ascii="Book Antiqua" w:hAnsi="Book Antiqua"/>
          <w:lang w:val="en-US"/>
        </w:rPr>
        <w:t xml:space="preserve"> </w:t>
      </w:r>
      <w:r w:rsidR="00E83C5B">
        <w:rPr>
          <w:rFonts w:ascii="Book Antiqua" w:hAnsi="Book Antiqua"/>
          <w:lang w:val="en-US"/>
        </w:rPr>
        <w:t xml:space="preserve"> </w:t>
      </w:r>
    </w:p>
    <w:p w14:paraId="377B6791" w14:textId="77777777" w:rsidR="00B2368F" w:rsidRPr="00B2368F" w:rsidRDefault="00B2368F" w:rsidP="00B2368F">
      <w:pPr>
        <w:pStyle w:val="ListParagraph"/>
        <w:rPr>
          <w:rFonts w:ascii="Book Antiqua" w:hAnsi="Book Antiqua"/>
          <w:lang w:val="en-US"/>
        </w:rPr>
      </w:pPr>
    </w:p>
    <w:p w14:paraId="54184682" w14:textId="4AE3D59E" w:rsidR="0001264F" w:rsidRPr="0001264F" w:rsidRDefault="00B2368F" w:rsidP="004E3382">
      <w:pPr>
        <w:pStyle w:val="ListParagraph"/>
        <w:numPr>
          <w:ilvl w:val="0"/>
          <w:numId w:val="1"/>
        </w:numPr>
        <w:jc w:val="both"/>
        <w:rPr>
          <w:rFonts w:ascii="Book Antiqua" w:hAnsi="Book Antiqua"/>
        </w:rPr>
      </w:pPr>
      <w:r>
        <w:rPr>
          <w:rFonts w:ascii="Book Antiqua" w:hAnsi="Book Antiqua"/>
          <w:lang w:val="en-US"/>
        </w:rPr>
        <w:t xml:space="preserve">I therefore do not accept the straightforward submission that the appellant </w:t>
      </w:r>
      <w:r w:rsidR="003016CA" w:rsidRPr="003016CA">
        <w:rPr>
          <w:rFonts w:ascii="Book Antiqua" w:hAnsi="Book Antiqua"/>
          <w:lang w:val="en-US"/>
        </w:rPr>
        <w:t>‘</w:t>
      </w:r>
      <w:r w:rsidRPr="003016CA">
        <w:rPr>
          <w:rFonts w:ascii="Book Antiqua" w:hAnsi="Book Antiqua"/>
          <w:lang w:val="en-US"/>
        </w:rPr>
        <w:t>inadvertently feel through the cracks</w:t>
      </w:r>
      <w:r w:rsidR="003016CA" w:rsidRPr="003016CA">
        <w:rPr>
          <w:rFonts w:ascii="Book Antiqua" w:hAnsi="Book Antiqua"/>
          <w:lang w:val="en-US"/>
        </w:rPr>
        <w:t>’</w:t>
      </w:r>
      <w:r>
        <w:rPr>
          <w:rFonts w:ascii="Book Antiqua" w:hAnsi="Book Antiqua"/>
          <w:lang w:val="en-US"/>
        </w:rPr>
        <w:t>.</w:t>
      </w:r>
      <w:r w:rsidR="00AC3F41">
        <w:rPr>
          <w:rFonts w:ascii="Book Antiqua" w:hAnsi="Book Antiqua"/>
          <w:lang w:val="en-US"/>
        </w:rPr>
        <w:t xml:space="preserve">  He may have been unlucky given the change in the legal framework relevant to disregarding overstaying in November / December 2016, but he clearly became an overstayer.  He did so in the knowledge that the 2016 FTT had recently concluded that he had no basis to remain in the UK pursuant to the Rules or on human rights grounds.  He failed to respond to the respondent’s relatively prompt and entirely reasonable requests for biometric information in February and March 2017 and delayed in seeking to correct his application from FLR(FP) to FLR(HRO).  </w:t>
      </w:r>
      <w:r w:rsidR="00457C05" w:rsidRPr="00457C05">
        <w:rPr>
          <w:rFonts w:ascii="Book Antiqua" w:hAnsi="Book Antiqua"/>
          <w:lang w:val="en-US"/>
        </w:rPr>
        <w:t>It follows that this is not a ‘near miss’ scenario involving compelling circumstances</w:t>
      </w:r>
      <w:r w:rsidR="004A1598">
        <w:rPr>
          <w:rFonts w:ascii="Book Antiqua" w:hAnsi="Book Antiqua"/>
          <w:lang w:val="en-US"/>
        </w:rPr>
        <w:t xml:space="preserve">, that are </w:t>
      </w:r>
      <w:r w:rsidR="004A1598">
        <w:rPr>
          <w:rFonts w:ascii="Book Antiqua" w:hAnsi="Book Antiqua"/>
          <w:lang w:val="en-US"/>
        </w:rPr>
        <w:lastRenderedPageBreak/>
        <w:t>capable of tipping the balance in the appellant’s favour</w:t>
      </w:r>
      <w:r w:rsidR="00457C05" w:rsidRPr="00457C05">
        <w:rPr>
          <w:rFonts w:ascii="Book Antiqua" w:hAnsi="Book Antiqua"/>
          <w:lang w:val="en-US"/>
        </w:rPr>
        <w:t xml:space="preserve">.  </w:t>
      </w:r>
      <w:r w:rsidR="00B8693A" w:rsidRPr="004E3382">
        <w:rPr>
          <w:rFonts w:ascii="Book Antiqua" w:hAnsi="Book Antiqua"/>
          <w:lang w:val="en-US"/>
        </w:rPr>
        <w:t xml:space="preserve">For the reasons I have provided above, </w:t>
      </w:r>
      <w:r w:rsidR="004A1598" w:rsidRPr="004E3382">
        <w:rPr>
          <w:rFonts w:ascii="Book Antiqua" w:hAnsi="Book Antiqua"/>
          <w:lang w:val="en-US"/>
        </w:rPr>
        <w:t xml:space="preserve">I would have reached the same conclusion even </w:t>
      </w:r>
      <w:r w:rsidR="00040F6B" w:rsidRPr="004E3382">
        <w:rPr>
          <w:rFonts w:ascii="Book Antiqua" w:hAnsi="Book Antiqua"/>
          <w:lang w:val="en-US"/>
        </w:rPr>
        <w:t xml:space="preserve">if I accepted the appellant’s evidence that he had no knowledge of the </w:t>
      </w:r>
      <w:r w:rsidR="00AC3F41" w:rsidRPr="004E3382">
        <w:rPr>
          <w:rFonts w:ascii="Book Antiqua" w:hAnsi="Book Antiqua"/>
          <w:lang w:val="en-US"/>
        </w:rPr>
        <w:t>29 June 2017 decision</w:t>
      </w:r>
      <w:r w:rsidR="0025331C" w:rsidRPr="004E3382">
        <w:rPr>
          <w:rFonts w:ascii="Book Antiqua" w:hAnsi="Book Antiqua"/>
          <w:lang w:val="en-US"/>
        </w:rPr>
        <w:t xml:space="preserve"> and it was not </w:t>
      </w:r>
      <w:r w:rsidR="004E3382" w:rsidRPr="004E3382">
        <w:rPr>
          <w:rFonts w:ascii="Book Antiqua" w:hAnsi="Book Antiqua"/>
          <w:lang w:val="en-US"/>
        </w:rPr>
        <w:t xml:space="preserve">properly </w:t>
      </w:r>
      <w:r w:rsidR="0025331C" w:rsidRPr="004E3382">
        <w:rPr>
          <w:rFonts w:ascii="Book Antiqua" w:hAnsi="Book Antiqua"/>
          <w:lang w:val="en-US"/>
        </w:rPr>
        <w:t>served</w:t>
      </w:r>
      <w:r w:rsidR="00AC3F41" w:rsidRPr="004E3382">
        <w:rPr>
          <w:rFonts w:ascii="Book Antiqua" w:hAnsi="Book Antiqua"/>
          <w:lang w:val="en-US"/>
        </w:rPr>
        <w:t xml:space="preserve">.  </w:t>
      </w:r>
      <w:r w:rsidR="00521D21">
        <w:rPr>
          <w:rFonts w:ascii="Book Antiqua" w:hAnsi="Book Antiqua"/>
          <w:lang w:val="en-US"/>
        </w:rPr>
        <w:t>In other words, even if I am wrong to make the findings I did regarding the 29 June 2017 letter</w:t>
      </w:r>
      <w:r w:rsidR="00EE7C7D">
        <w:rPr>
          <w:rFonts w:ascii="Book Antiqua" w:hAnsi="Book Antiqua"/>
          <w:lang w:val="en-US"/>
        </w:rPr>
        <w:t xml:space="preserve">, </w:t>
      </w:r>
      <w:r w:rsidR="00EE7C7D" w:rsidRPr="00EE7C7D">
        <w:rPr>
          <w:rFonts w:ascii="Book Antiqua" w:hAnsi="Book Antiqua"/>
          <w:lang w:val="en-US"/>
        </w:rPr>
        <w:t xml:space="preserve">I </w:t>
      </w:r>
      <w:r w:rsidR="00EE7C7D">
        <w:rPr>
          <w:rFonts w:ascii="Book Antiqua" w:hAnsi="Book Antiqua"/>
          <w:lang w:val="en-US"/>
        </w:rPr>
        <w:t>would have still concluded that the other aspects</w:t>
      </w:r>
      <w:r w:rsidR="00AD3A1B">
        <w:rPr>
          <w:rFonts w:ascii="Book Antiqua" w:hAnsi="Book Antiqua"/>
          <w:lang w:val="en-US"/>
        </w:rPr>
        <w:t xml:space="preserve"> of the appellant’s immigration</w:t>
      </w:r>
      <w:r w:rsidR="00EE7C7D" w:rsidRPr="00EE7C7D">
        <w:rPr>
          <w:rFonts w:ascii="Book Antiqua" w:hAnsi="Book Antiqua"/>
          <w:lang w:val="en-US"/>
        </w:rPr>
        <w:t xml:space="preserve"> history </w:t>
      </w:r>
      <w:r w:rsidR="00AD3A1B">
        <w:rPr>
          <w:rFonts w:ascii="Book Antiqua" w:hAnsi="Book Antiqua"/>
          <w:lang w:val="en-US"/>
        </w:rPr>
        <w:t xml:space="preserve">are such that the </w:t>
      </w:r>
      <w:r w:rsidR="00EE7C7D" w:rsidRPr="00EE7C7D">
        <w:rPr>
          <w:rFonts w:ascii="Book Antiqua" w:hAnsi="Book Antiqua"/>
          <w:lang w:val="en-US"/>
        </w:rPr>
        <w:t xml:space="preserve">asserted ‘near miss’ regarding 276B considered in context, </w:t>
      </w:r>
      <w:r w:rsidR="00DD2DC0">
        <w:rPr>
          <w:rFonts w:ascii="Book Antiqua" w:hAnsi="Book Antiqua"/>
          <w:lang w:val="en-US"/>
        </w:rPr>
        <w:t xml:space="preserve">are not capable of </w:t>
      </w:r>
      <w:r w:rsidR="00EE7C7D" w:rsidRPr="00EE7C7D">
        <w:rPr>
          <w:rFonts w:ascii="Book Antiqua" w:hAnsi="Book Antiqua"/>
          <w:lang w:val="en-US"/>
        </w:rPr>
        <w:t>giv</w:t>
      </w:r>
      <w:r w:rsidR="00DD2DC0">
        <w:rPr>
          <w:rFonts w:ascii="Book Antiqua" w:hAnsi="Book Antiqua"/>
          <w:lang w:val="en-US"/>
        </w:rPr>
        <w:t>ing</w:t>
      </w:r>
      <w:r w:rsidR="00EE7C7D" w:rsidRPr="00EE7C7D">
        <w:rPr>
          <w:rFonts w:ascii="Book Antiqua" w:hAnsi="Book Antiqua"/>
          <w:lang w:val="en-US"/>
        </w:rPr>
        <w:t xml:space="preserve"> rise to compelling and compassionate factors capable of reducing the prima facie strong public interest in maintaining immigration control in this case.</w:t>
      </w:r>
    </w:p>
    <w:p w14:paraId="4255DB0B" w14:textId="77777777" w:rsidR="0001264F" w:rsidRPr="0001264F" w:rsidRDefault="0001264F" w:rsidP="0001264F">
      <w:pPr>
        <w:pStyle w:val="ListParagraph"/>
        <w:rPr>
          <w:rFonts w:ascii="Book Antiqua" w:hAnsi="Book Antiqua"/>
          <w:lang w:val="en-US"/>
        </w:rPr>
      </w:pPr>
    </w:p>
    <w:p w14:paraId="7A3887EC" w14:textId="4D77419F" w:rsidR="00D91C23" w:rsidRPr="004E3382" w:rsidRDefault="00F32A18" w:rsidP="004E3382">
      <w:pPr>
        <w:pStyle w:val="ListParagraph"/>
        <w:numPr>
          <w:ilvl w:val="0"/>
          <w:numId w:val="1"/>
        </w:numPr>
        <w:jc w:val="both"/>
        <w:rPr>
          <w:rFonts w:ascii="Book Antiqua" w:hAnsi="Book Antiqua"/>
        </w:rPr>
      </w:pPr>
      <w:r>
        <w:rPr>
          <w:rFonts w:ascii="Book Antiqua" w:hAnsi="Book Antiqua"/>
          <w:lang w:val="en-US"/>
        </w:rPr>
        <w:t xml:space="preserve">My findings on the 29 June 2017 letter are such that </w:t>
      </w:r>
      <w:r w:rsidR="009E2671">
        <w:rPr>
          <w:rFonts w:ascii="Book Antiqua" w:hAnsi="Book Antiqua"/>
          <w:lang w:val="en-US"/>
        </w:rPr>
        <w:t>the appellant cannot properly ca</w:t>
      </w:r>
      <w:r w:rsidR="007462C2">
        <w:rPr>
          <w:rFonts w:ascii="Book Antiqua" w:hAnsi="Book Antiqua"/>
          <w:lang w:val="en-US"/>
        </w:rPr>
        <w:t>te</w:t>
      </w:r>
      <w:r w:rsidR="009E2671">
        <w:rPr>
          <w:rFonts w:ascii="Book Antiqua" w:hAnsi="Book Antiqua"/>
          <w:lang w:val="en-US"/>
        </w:rPr>
        <w:t xml:space="preserve">gorise his failure to meet the requirements of 276B as a </w:t>
      </w:r>
      <w:r w:rsidR="007462C2">
        <w:rPr>
          <w:rFonts w:ascii="Book Antiqua" w:hAnsi="Book Antiqua"/>
          <w:lang w:val="en-US"/>
        </w:rPr>
        <w:t>‘</w:t>
      </w:r>
      <w:r w:rsidR="009E2671">
        <w:rPr>
          <w:rFonts w:ascii="Book Antiqua" w:hAnsi="Book Antiqua"/>
          <w:lang w:val="en-US"/>
        </w:rPr>
        <w:t>near miss</w:t>
      </w:r>
      <w:r w:rsidR="007462C2">
        <w:rPr>
          <w:rFonts w:ascii="Book Antiqua" w:hAnsi="Book Antiqua"/>
          <w:lang w:val="en-US"/>
        </w:rPr>
        <w:t>’</w:t>
      </w:r>
      <w:r w:rsidR="009E2671">
        <w:rPr>
          <w:rFonts w:ascii="Book Antiqua" w:hAnsi="Book Antiqua"/>
          <w:lang w:val="en-US"/>
        </w:rPr>
        <w:t xml:space="preserve">.  Even if there was a </w:t>
      </w:r>
      <w:r w:rsidR="007462C2">
        <w:rPr>
          <w:rFonts w:ascii="Book Antiqua" w:hAnsi="Book Antiqua"/>
          <w:lang w:val="en-US"/>
        </w:rPr>
        <w:t>‘</w:t>
      </w:r>
      <w:r w:rsidR="009E2671">
        <w:rPr>
          <w:rFonts w:ascii="Book Antiqua" w:hAnsi="Book Antiqua"/>
          <w:lang w:val="en-US"/>
        </w:rPr>
        <w:t>near miss</w:t>
      </w:r>
      <w:r w:rsidR="007462C2">
        <w:rPr>
          <w:rFonts w:ascii="Book Antiqua" w:hAnsi="Book Antiqua"/>
          <w:lang w:val="en-US"/>
        </w:rPr>
        <w:t>’</w:t>
      </w:r>
      <w:r w:rsidR="009E2671">
        <w:rPr>
          <w:rFonts w:ascii="Book Antiqua" w:hAnsi="Book Antiqua"/>
          <w:lang w:val="en-US"/>
        </w:rPr>
        <w:t xml:space="preserve"> </w:t>
      </w:r>
      <w:r w:rsidR="007462C2">
        <w:rPr>
          <w:rFonts w:ascii="Book Antiqua" w:hAnsi="Book Antiqua"/>
          <w:lang w:val="en-US"/>
        </w:rPr>
        <w:t xml:space="preserve">regarding the period of overstaying </w:t>
      </w:r>
      <w:r w:rsidR="009E2671">
        <w:rPr>
          <w:rFonts w:ascii="Book Antiqua" w:hAnsi="Book Antiqua"/>
          <w:lang w:val="en-US"/>
        </w:rPr>
        <w:t>in November – December 2016</w:t>
      </w:r>
      <w:r w:rsidR="00A20FC3">
        <w:rPr>
          <w:rFonts w:ascii="Book Antiqua" w:hAnsi="Book Antiqua"/>
          <w:lang w:val="en-US"/>
        </w:rPr>
        <w:t xml:space="preserve">, there was further overstaying beyond the requisite period to be disregarded between 29 June 2017 and </w:t>
      </w:r>
      <w:r w:rsidR="00AC3F41" w:rsidRPr="004E3382">
        <w:rPr>
          <w:rFonts w:ascii="Book Antiqua" w:hAnsi="Book Antiqua"/>
          <w:lang w:val="en-US"/>
        </w:rPr>
        <w:t>17 July 2017</w:t>
      </w:r>
      <w:r w:rsidR="00104DF0">
        <w:rPr>
          <w:rFonts w:ascii="Book Antiqua" w:hAnsi="Book Antiqua"/>
          <w:lang w:val="en-US"/>
        </w:rPr>
        <w:t>, which increases the gulf between the appellant</w:t>
      </w:r>
      <w:r w:rsidR="00B84D9E">
        <w:rPr>
          <w:rFonts w:ascii="Book Antiqua" w:hAnsi="Book Antiqua"/>
          <w:lang w:val="en-US"/>
        </w:rPr>
        <w:t xml:space="preserve">’s circumstances and </w:t>
      </w:r>
      <w:r w:rsidR="00E12A2C">
        <w:rPr>
          <w:rFonts w:ascii="Book Antiqua" w:hAnsi="Book Antiqua"/>
          <w:lang w:val="en-US"/>
        </w:rPr>
        <w:t>his</w:t>
      </w:r>
      <w:r w:rsidR="00B84D9E">
        <w:rPr>
          <w:rFonts w:ascii="Book Antiqua" w:hAnsi="Book Antiqua"/>
          <w:lang w:val="en-US"/>
        </w:rPr>
        <w:t xml:space="preserve"> corresponding ability to demonstrate continuous lawful residence for a 10 year period.</w:t>
      </w:r>
      <w:r w:rsidR="00AC3F41" w:rsidRPr="004E3382">
        <w:rPr>
          <w:rFonts w:ascii="Book Antiqua" w:hAnsi="Book Antiqua"/>
          <w:lang w:val="en-US"/>
        </w:rPr>
        <w:t xml:space="preserve">  </w:t>
      </w:r>
    </w:p>
    <w:p w14:paraId="2E8A82E3" w14:textId="77777777" w:rsidR="00FF49BB" w:rsidRPr="00D33931" w:rsidRDefault="00FF49BB" w:rsidP="00D33931">
      <w:pPr>
        <w:rPr>
          <w:rFonts w:ascii="Book Antiqua" w:hAnsi="Book Antiqua"/>
          <w:lang w:val="en-US"/>
        </w:rPr>
      </w:pPr>
    </w:p>
    <w:p w14:paraId="5025CAF9" w14:textId="03CB5D09" w:rsidR="004F163B" w:rsidRDefault="004F163B" w:rsidP="00FF49BB">
      <w:pPr>
        <w:pStyle w:val="ListParagraph"/>
        <w:numPr>
          <w:ilvl w:val="0"/>
          <w:numId w:val="1"/>
        </w:numPr>
        <w:jc w:val="both"/>
        <w:rPr>
          <w:rFonts w:ascii="Book Antiqua" w:hAnsi="Book Antiqua"/>
          <w:lang w:val="en-US"/>
        </w:rPr>
      </w:pPr>
      <w:r>
        <w:rPr>
          <w:rFonts w:ascii="Book Antiqua" w:hAnsi="Book Antiqua"/>
          <w:lang w:val="en-US"/>
        </w:rPr>
        <w:t xml:space="preserve">The third point relied upon by Mr Youssefian to support his submission that the weight to be attached to the public interest should be reduced relates to the </w:t>
      </w:r>
      <w:r w:rsidR="00D47911">
        <w:rPr>
          <w:rFonts w:ascii="Book Antiqua" w:hAnsi="Book Antiqua"/>
          <w:lang w:val="en-US"/>
        </w:rPr>
        <w:t xml:space="preserve">alleged </w:t>
      </w:r>
      <w:r>
        <w:rPr>
          <w:rFonts w:ascii="Book Antiqua" w:hAnsi="Book Antiqua"/>
          <w:lang w:val="en-US"/>
        </w:rPr>
        <w:t xml:space="preserve">delay on the part of </w:t>
      </w:r>
      <w:r w:rsidR="00D47911">
        <w:rPr>
          <w:rFonts w:ascii="Book Antiqua" w:hAnsi="Book Antiqua"/>
          <w:lang w:val="en-US"/>
        </w:rPr>
        <w:t xml:space="preserve">the respondent </w:t>
      </w:r>
      <w:r w:rsidR="00E26786">
        <w:rPr>
          <w:rFonts w:ascii="Book Antiqua" w:hAnsi="Book Antiqua"/>
          <w:lang w:val="en-US"/>
        </w:rPr>
        <w:t xml:space="preserve">in making a decision on the appellant’s applications.  </w:t>
      </w:r>
      <w:r>
        <w:rPr>
          <w:rFonts w:ascii="Book Antiqua" w:hAnsi="Book Antiqua"/>
          <w:lang w:val="en-US"/>
        </w:rPr>
        <w:t>T</w:t>
      </w:r>
      <w:r w:rsidR="00E26786">
        <w:rPr>
          <w:rFonts w:ascii="Book Antiqua" w:hAnsi="Book Antiqua"/>
          <w:lang w:val="en-US"/>
        </w:rPr>
        <w:t xml:space="preserve">he submission that </w:t>
      </w:r>
      <w:r w:rsidR="00D5276A">
        <w:rPr>
          <w:rFonts w:ascii="Book Antiqua" w:hAnsi="Book Antiqua"/>
          <w:lang w:val="en-US"/>
        </w:rPr>
        <w:t>it took the respondent close to four years to determine the 6 December 2016 submission</w:t>
      </w:r>
      <w:r w:rsidR="00A43A0A">
        <w:rPr>
          <w:rFonts w:ascii="Book Antiqua" w:hAnsi="Book Antiqua"/>
          <w:lang w:val="en-US"/>
        </w:rPr>
        <w:t xml:space="preserve"> fails to take into account that </w:t>
      </w:r>
      <w:r w:rsidR="00A1401E">
        <w:rPr>
          <w:rFonts w:ascii="Book Antiqua" w:hAnsi="Book Antiqua"/>
          <w:lang w:val="en-US"/>
        </w:rPr>
        <w:t xml:space="preserve">this application was </w:t>
      </w:r>
      <w:r w:rsidR="005217B0">
        <w:rPr>
          <w:rFonts w:ascii="Book Antiqua" w:hAnsi="Book Antiqua"/>
          <w:lang w:val="en-US"/>
        </w:rPr>
        <w:t>bound to fail (as acknowledged in the appellant’s chronology)</w:t>
      </w:r>
      <w:r w:rsidR="00E47579">
        <w:rPr>
          <w:rFonts w:ascii="Book Antiqua" w:hAnsi="Book Antiqua"/>
          <w:lang w:val="en-US"/>
        </w:rPr>
        <w:t>, and then the appellant changed the nature of his application</w:t>
      </w:r>
      <w:r w:rsidR="004A4112">
        <w:rPr>
          <w:rFonts w:ascii="Book Antiqua" w:hAnsi="Book Antiqua"/>
          <w:lang w:val="en-US"/>
        </w:rPr>
        <w:t xml:space="preserve"> on </w:t>
      </w:r>
      <w:r>
        <w:rPr>
          <w:rFonts w:ascii="Book Antiqua" w:hAnsi="Book Antiqua"/>
          <w:lang w:val="en-US"/>
        </w:rPr>
        <w:t>three</w:t>
      </w:r>
      <w:r w:rsidR="004A4112">
        <w:rPr>
          <w:rFonts w:ascii="Book Antiqua" w:hAnsi="Book Antiqua"/>
          <w:lang w:val="en-US"/>
        </w:rPr>
        <w:t xml:space="preserve"> occasions.  The delay in this case is not solely attributable to the respondent</w:t>
      </w:r>
      <w:r w:rsidR="001814FA">
        <w:rPr>
          <w:rFonts w:ascii="Book Antiqua" w:hAnsi="Book Antiqua"/>
          <w:lang w:val="en-US"/>
        </w:rPr>
        <w:t xml:space="preserve">.  </w:t>
      </w:r>
      <w:r w:rsidR="005217B0">
        <w:rPr>
          <w:rFonts w:ascii="Book Antiqua" w:hAnsi="Book Antiqua"/>
          <w:lang w:val="en-US"/>
        </w:rPr>
        <w:t>Mr Y</w:t>
      </w:r>
      <w:r>
        <w:rPr>
          <w:rFonts w:ascii="Book Antiqua" w:hAnsi="Book Antiqua"/>
          <w:lang w:val="en-US"/>
        </w:rPr>
        <w:t>oussefian</w:t>
      </w:r>
      <w:r w:rsidR="005217B0">
        <w:rPr>
          <w:rFonts w:ascii="Book Antiqua" w:hAnsi="Book Antiqua"/>
          <w:lang w:val="en-US"/>
        </w:rPr>
        <w:t xml:space="preserve"> accepted that this is not a case wherein the appellant was simply waiting for a response to an application for some four years.</w:t>
      </w:r>
      <w:r w:rsidR="001171AE">
        <w:rPr>
          <w:rFonts w:ascii="Book Antiqua" w:hAnsi="Book Antiqua"/>
          <w:lang w:val="en-US"/>
        </w:rPr>
        <w:t xml:space="preserve">  </w:t>
      </w:r>
    </w:p>
    <w:p w14:paraId="54E8936A" w14:textId="77777777" w:rsidR="004F163B" w:rsidRPr="004F163B" w:rsidRDefault="004F163B" w:rsidP="004F163B">
      <w:pPr>
        <w:pStyle w:val="ListParagraph"/>
        <w:rPr>
          <w:rFonts w:ascii="Book Antiqua" w:hAnsi="Book Antiqua"/>
          <w:lang w:val="en-US"/>
        </w:rPr>
      </w:pPr>
    </w:p>
    <w:p w14:paraId="175773DD" w14:textId="43D7D5D5" w:rsidR="0080796E" w:rsidRDefault="004F163B" w:rsidP="00FF49BB">
      <w:pPr>
        <w:pStyle w:val="ListParagraph"/>
        <w:numPr>
          <w:ilvl w:val="0"/>
          <w:numId w:val="1"/>
        </w:numPr>
        <w:jc w:val="both"/>
        <w:rPr>
          <w:rFonts w:ascii="Book Antiqua" w:hAnsi="Book Antiqua"/>
          <w:lang w:val="en-US"/>
        </w:rPr>
      </w:pPr>
      <w:r>
        <w:rPr>
          <w:rFonts w:ascii="Book Antiqua" w:hAnsi="Book Antiqua"/>
          <w:lang w:val="en-US"/>
        </w:rPr>
        <w:t xml:space="preserve">I do not accept that </w:t>
      </w:r>
      <w:r w:rsidRPr="004F163B">
        <w:rPr>
          <w:rFonts w:ascii="Book Antiqua" w:hAnsi="Book Antiqua"/>
          <w:lang w:val="en-US"/>
        </w:rPr>
        <w:t xml:space="preserve">McCombe LJ’s observations during the course of his minority judgment in </w:t>
      </w:r>
      <w:r w:rsidRPr="004F163B">
        <w:rPr>
          <w:rFonts w:ascii="Book Antiqua" w:hAnsi="Book Antiqua"/>
          <w:u w:val="single"/>
          <w:lang w:val="en-US"/>
        </w:rPr>
        <w:t>Hoque</w:t>
      </w:r>
      <w:bookmarkStart w:id="12" w:name="para95"/>
      <w:r w:rsidRPr="004F163B">
        <w:rPr>
          <w:rFonts w:ascii="Book Antiqua" w:hAnsi="Book Antiqua"/>
          <w:lang w:val="en-US"/>
        </w:rPr>
        <w:t xml:space="preserve"> </w:t>
      </w:r>
      <w:r>
        <w:rPr>
          <w:rFonts w:ascii="Book Antiqua" w:hAnsi="Book Antiqua"/>
          <w:lang w:val="en-US"/>
        </w:rPr>
        <w:t xml:space="preserve">materially </w:t>
      </w:r>
      <w:r w:rsidRPr="004F163B">
        <w:rPr>
          <w:rFonts w:ascii="Book Antiqua" w:hAnsi="Book Antiqua"/>
          <w:lang w:val="en-US"/>
        </w:rPr>
        <w:t xml:space="preserve">assist the appellant, in the light of the majority judgments.  </w:t>
      </w:r>
      <w:r w:rsidR="0080796E">
        <w:rPr>
          <w:rFonts w:ascii="Book Antiqua" w:hAnsi="Book Antiqua"/>
          <w:lang w:val="en-US"/>
        </w:rPr>
        <w:t>I nonetheless note, as did McCombe LJ, that if</w:t>
      </w:r>
      <w:r>
        <w:rPr>
          <w:rFonts w:ascii="Book Antiqua" w:hAnsi="Book Antiqua"/>
          <w:lang w:val="en-US"/>
        </w:rPr>
        <w:t xml:space="preserve"> th</w:t>
      </w:r>
      <w:r w:rsidR="0080796E">
        <w:rPr>
          <w:rFonts w:ascii="Book Antiqua" w:hAnsi="Book Antiqua"/>
          <w:lang w:val="en-US"/>
        </w:rPr>
        <w:t>is appellant’s</w:t>
      </w:r>
      <w:r>
        <w:rPr>
          <w:rFonts w:ascii="Book Antiqua" w:hAnsi="Book Antiqua"/>
          <w:lang w:val="en-US"/>
        </w:rPr>
        <w:t xml:space="preserve"> applications had been dealt with more promptly by the respondent, </w:t>
      </w:r>
      <w:r w:rsidR="0080796E">
        <w:rPr>
          <w:rFonts w:ascii="Book Antiqua" w:hAnsi="Book Antiqua"/>
          <w:lang w:val="en-US"/>
        </w:rPr>
        <w:t xml:space="preserve">he may not have come </w:t>
      </w:r>
      <w:r>
        <w:rPr>
          <w:rFonts w:ascii="Book Antiqua" w:hAnsi="Book Antiqua"/>
          <w:lang w:val="en-US"/>
        </w:rPr>
        <w:t>as close as he did to meeting the requirements of 276B</w:t>
      </w:r>
      <w:r w:rsidR="0080796E">
        <w:rPr>
          <w:rFonts w:ascii="Book Antiqua" w:hAnsi="Book Antiqua"/>
          <w:lang w:val="en-US"/>
        </w:rPr>
        <w:t xml:space="preserve">.  </w:t>
      </w:r>
      <w:r w:rsidR="0080796E" w:rsidRPr="0080796E">
        <w:rPr>
          <w:rFonts w:ascii="Book Antiqua" w:hAnsi="Book Antiqua"/>
          <w:lang w:val="en-US"/>
        </w:rPr>
        <w:t>I</w:t>
      </w:r>
      <w:r w:rsidR="0080796E">
        <w:rPr>
          <w:rFonts w:ascii="Book Antiqua" w:hAnsi="Book Antiqua"/>
          <w:lang w:val="en-US"/>
        </w:rPr>
        <w:t xml:space="preserve"> am unable to see how this assists the appellant in an Article 8 claim wherein there is shared responsibility for the delays and where the very </w:t>
      </w:r>
      <w:r w:rsidR="0080796E" w:rsidRPr="0080796E">
        <w:rPr>
          <w:rFonts w:ascii="Book Antiqua" w:hAnsi="Book Antiqua"/>
          <w:lang w:val="en-US"/>
        </w:rPr>
        <w:t xml:space="preserve">delay </w:t>
      </w:r>
      <w:r w:rsidR="0080796E">
        <w:rPr>
          <w:rFonts w:ascii="Book Antiqua" w:hAnsi="Book Antiqua"/>
          <w:lang w:val="en-US"/>
        </w:rPr>
        <w:t xml:space="preserve">predicated the </w:t>
      </w:r>
      <w:r w:rsidR="00F909B6">
        <w:rPr>
          <w:rFonts w:ascii="Book Antiqua" w:hAnsi="Book Antiqua"/>
          <w:lang w:val="en-US"/>
        </w:rPr>
        <w:t xml:space="preserve">alleged </w:t>
      </w:r>
      <w:r w:rsidR="0080796E">
        <w:rPr>
          <w:rFonts w:ascii="Book Antiqua" w:hAnsi="Book Antiqua"/>
          <w:lang w:val="en-US"/>
        </w:rPr>
        <w:t>‘near miss’ regarding the long residence pursuant to 276B</w:t>
      </w:r>
      <w:r w:rsidR="0080796E" w:rsidRPr="0080796E">
        <w:rPr>
          <w:rFonts w:ascii="Book Antiqua" w:hAnsi="Book Antiqua"/>
          <w:lang w:val="en-US"/>
        </w:rPr>
        <w:t>.</w:t>
      </w:r>
    </w:p>
    <w:p w14:paraId="1104B456" w14:textId="77777777" w:rsidR="0080796E" w:rsidRPr="0080796E" w:rsidRDefault="0080796E" w:rsidP="0080796E">
      <w:pPr>
        <w:pStyle w:val="ListParagraph"/>
        <w:rPr>
          <w:rFonts w:ascii="Book Antiqua" w:hAnsi="Book Antiqua"/>
        </w:rPr>
      </w:pPr>
    </w:p>
    <w:p w14:paraId="5FF3D0A7" w14:textId="24B997AF" w:rsidR="00D5276A" w:rsidRDefault="004F163B" w:rsidP="00FF49BB">
      <w:pPr>
        <w:pStyle w:val="ListParagraph"/>
        <w:numPr>
          <w:ilvl w:val="0"/>
          <w:numId w:val="1"/>
        </w:numPr>
        <w:jc w:val="both"/>
        <w:rPr>
          <w:rFonts w:ascii="Book Antiqua" w:hAnsi="Book Antiqua"/>
          <w:lang w:val="en-US"/>
        </w:rPr>
      </w:pPr>
      <w:r w:rsidRPr="004F163B">
        <w:rPr>
          <w:rFonts w:ascii="Book Antiqua" w:hAnsi="Book Antiqua"/>
        </w:rPr>
        <w:t xml:space="preserve">It should also be noted that at [95] McCombe LJ agreed with the conclusion reached by Dingemans LJ in respect of the Article 8 arguments in each of the cases. He observed that whilst the result in one case seemed particularly harsh, the room for success in </w:t>
      </w:r>
      <w:r w:rsidR="003E5C8F">
        <w:rPr>
          <w:rFonts w:ascii="Book Antiqua" w:hAnsi="Book Antiqua"/>
        </w:rPr>
        <w:t xml:space="preserve">such </w:t>
      </w:r>
      <w:r w:rsidRPr="004F163B">
        <w:rPr>
          <w:rFonts w:ascii="Book Antiqua" w:hAnsi="Book Antiqua"/>
        </w:rPr>
        <w:t>Article 8 cases had become “</w:t>
      </w:r>
      <w:r w:rsidRPr="0080796E">
        <w:rPr>
          <w:rFonts w:ascii="Book Antiqua" w:hAnsi="Book Antiqua"/>
          <w:i/>
          <w:iCs/>
        </w:rPr>
        <w:t>very slender indeed</w:t>
      </w:r>
      <w:r w:rsidRPr="004F163B">
        <w:rPr>
          <w:rFonts w:ascii="Book Antiqua" w:hAnsi="Book Antiqua"/>
        </w:rPr>
        <w:t>”.</w:t>
      </w:r>
      <w:bookmarkEnd w:id="12"/>
      <w:r w:rsidR="0080796E">
        <w:rPr>
          <w:rFonts w:ascii="Book Antiqua" w:hAnsi="Book Antiqua"/>
        </w:rPr>
        <w:t xml:space="preserve">  </w:t>
      </w:r>
      <w:r w:rsidR="005217B0">
        <w:rPr>
          <w:rFonts w:ascii="Book Antiqua" w:hAnsi="Book Antiqua"/>
          <w:lang w:val="en-US"/>
        </w:rPr>
        <w:t>In all the circumstances, t</w:t>
      </w:r>
      <w:r w:rsidR="001171AE">
        <w:rPr>
          <w:rFonts w:ascii="Book Antiqua" w:hAnsi="Book Antiqua"/>
          <w:lang w:val="en-US"/>
        </w:rPr>
        <w:t xml:space="preserve">his is not one of those cases where the respondent’s delay can be properly said to </w:t>
      </w:r>
      <w:r w:rsidR="001E0FB2">
        <w:rPr>
          <w:rFonts w:ascii="Book Antiqua" w:hAnsi="Book Antiqua"/>
          <w:lang w:val="en-US"/>
        </w:rPr>
        <w:t xml:space="preserve">undermine the strong public interest in removal – see </w:t>
      </w:r>
      <w:r w:rsidR="001E0FB2" w:rsidRPr="007D4150">
        <w:rPr>
          <w:rFonts w:ascii="Book Antiqua" w:hAnsi="Book Antiqua"/>
          <w:u w:val="single"/>
          <w:lang w:val="en-US"/>
        </w:rPr>
        <w:t>EB (Kosovo) v SSHD</w:t>
      </w:r>
      <w:r w:rsidR="001E0FB2">
        <w:rPr>
          <w:rFonts w:ascii="Book Antiqua" w:hAnsi="Book Antiqua"/>
          <w:lang w:val="en-US"/>
        </w:rPr>
        <w:t xml:space="preserve"> [2008] UKHL 41.</w:t>
      </w:r>
      <w:r w:rsidR="00B3688C">
        <w:rPr>
          <w:rFonts w:ascii="Book Antiqua" w:hAnsi="Book Antiqua"/>
          <w:lang w:val="en-US"/>
        </w:rPr>
        <w:t xml:space="preserve"> </w:t>
      </w:r>
    </w:p>
    <w:p w14:paraId="27988989" w14:textId="77777777" w:rsidR="00D5276A" w:rsidRPr="00D5276A" w:rsidRDefault="00D5276A" w:rsidP="00D5276A">
      <w:pPr>
        <w:pStyle w:val="ListParagraph"/>
        <w:rPr>
          <w:rFonts w:ascii="Book Antiqua" w:hAnsi="Book Antiqua"/>
          <w:lang w:val="en-US"/>
        </w:rPr>
      </w:pPr>
    </w:p>
    <w:p w14:paraId="3A21BC4E" w14:textId="374D9069" w:rsidR="00FF49BB" w:rsidRPr="0080796E" w:rsidRDefault="00B44A5B" w:rsidP="0080796E">
      <w:pPr>
        <w:pStyle w:val="ListParagraph"/>
        <w:numPr>
          <w:ilvl w:val="0"/>
          <w:numId w:val="1"/>
        </w:numPr>
        <w:jc w:val="both"/>
        <w:rPr>
          <w:rFonts w:ascii="Book Antiqua" w:hAnsi="Book Antiqua"/>
          <w:lang w:val="en-US"/>
        </w:rPr>
      </w:pPr>
      <w:r>
        <w:rPr>
          <w:rFonts w:ascii="Book Antiqua" w:hAnsi="Book Antiqua"/>
          <w:lang w:val="en-US"/>
        </w:rPr>
        <w:t xml:space="preserve">I entirely reject the </w:t>
      </w:r>
      <w:r w:rsidR="004F163B">
        <w:rPr>
          <w:rFonts w:ascii="Book Antiqua" w:hAnsi="Book Antiqua"/>
          <w:lang w:val="en-US"/>
        </w:rPr>
        <w:t xml:space="preserve">fourth </w:t>
      </w:r>
      <w:r>
        <w:rPr>
          <w:rFonts w:ascii="Book Antiqua" w:hAnsi="Book Antiqua"/>
          <w:lang w:val="en-US"/>
        </w:rPr>
        <w:t>submission that</w:t>
      </w:r>
      <w:r w:rsidR="003B5E84">
        <w:rPr>
          <w:rFonts w:ascii="Book Antiqua" w:hAnsi="Book Antiqua"/>
          <w:lang w:val="en-US"/>
        </w:rPr>
        <w:t xml:space="preserve"> a less stringent approach should be taken to the public interest in this case</w:t>
      </w:r>
      <w:r w:rsidR="00CD7A16">
        <w:rPr>
          <w:rFonts w:ascii="Book Antiqua" w:hAnsi="Book Antiqua"/>
          <w:lang w:val="en-US"/>
        </w:rPr>
        <w:t xml:space="preserve"> on the basis tha</w:t>
      </w:r>
      <w:r w:rsidR="00BC089D">
        <w:rPr>
          <w:rFonts w:ascii="Book Antiqua" w:hAnsi="Book Antiqua"/>
          <w:lang w:val="en-US"/>
        </w:rPr>
        <w:t>t the appellant</w:t>
      </w:r>
      <w:r w:rsidR="00E97093">
        <w:rPr>
          <w:rFonts w:ascii="Book Antiqua" w:hAnsi="Book Antiqua"/>
          <w:lang w:val="en-US"/>
        </w:rPr>
        <w:t xml:space="preserve"> was</w:t>
      </w:r>
      <w:r w:rsidR="00BC089D">
        <w:rPr>
          <w:rFonts w:ascii="Book Antiqua" w:hAnsi="Book Antiqua"/>
          <w:lang w:val="en-US"/>
        </w:rPr>
        <w:t>,</w:t>
      </w:r>
      <w:r w:rsidR="00BC089D" w:rsidRPr="00BC089D">
        <w:rPr>
          <w:rFonts w:ascii="Book Antiqua" w:hAnsi="Book Antiqua"/>
          <w:lang w:val="en-US"/>
        </w:rPr>
        <w:t xml:space="preserve"> to use the wording of Mr Youssefian’s skeleton argument</w:t>
      </w:r>
      <w:r w:rsidR="00BC089D">
        <w:rPr>
          <w:rFonts w:ascii="Book Antiqua" w:hAnsi="Book Antiqua"/>
          <w:lang w:val="en-US"/>
        </w:rPr>
        <w:t>,</w:t>
      </w:r>
      <w:r w:rsidR="00CD7A16">
        <w:rPr>
          <w:rFonts w:ascii="Book Antiqua" w:hAnsi="Book Antiqua"/>
          <w:lang w:val="en-US"/>
        </w:rPr>
        <w:t xml:space="preserve"> </w:t>
      </w:r>
      <w:r w:rsidR="00BC089D">
        <w:rPr>
          <w:rFonts w:ascii="Book Antiqua" w:hAnsi="Book Antiqua"/>
          <w:lang w:val="en-US"/>
        </w:rPr>
        <w:t>“</w:t>
      </w:r>
      <w:r w:rsidR="00CD7A16" w:rsidRPr="00BC089D">
        <w:rPr>
          <w:rFonts w:ascii="Book Antiqua" w:hAnsi="Book Antiqua"/>
          <w:i/>
          <w:iCs/>
          <w:lang w:val="en-US"/>
        </w:rPr>
        <w:t xml:space="preserve">under </w:t>
      </w:r>
      <w:r w:rsidR="00BC089D" w:rsidRPr="00BC089D">
        <w:rPr>
          <w:rFonts w:ascii="Book Antiqua" w:hAnsi="Book Antiqua"/>
          <w:i/>
          <w:iCs/>
          <w:lang w:val="en-US"/>
        </w:rPr>
        <w:t xml:space="preserve">a reasonable misapprehension that </w:t>
      </w:r>
      <w:r w:rsidR="002E331B" w:rsidRPr="00BC089D">
        <w:rPr>
          <w:rFonts w:ascii="Book Antiqua" w:hAnsi="Book Antiqua"/>
          <w:i/>
          <w:iCs/>
          <w:lang w:val="en-US"/>
        </w:rPr>
        <w:t>his life in the UK would take a more permanent form</w:t>
      </w:r>
      <w:r w:rsidR="00C436DF" w:rsidRPr="00BC089D">
        <w:rPr>
          <w:rFonts w:ascii="Book Antiqua" w:hAnsi="Book Antiqua"/>
          <w:i/>
          <w:iCs/>
          <w:lang w:val="en-US"/>
        </w:rPr>
        <w:t xml:space="preserve"> </w:t>
      </w:r>
      <w:r w:rsidR="00232DF0" w:rsidRPr="00BC089D">
        <w:rPr>
          <w:rFonts w:ascii="Book Antiqua" w:hAnsi="Book Antiqua"/>
          <w:i/>
          <w:iCs/>
          <w:lang w:val="en-US"/>
        </w:rPr>
        <w:t>as he inched closer</w:t>
      </w:r>
      <w:r w:rsidR="00232DF0">
        <w:rPr>
          <w:rFonts w:ascii="Book Antiqua" w:hAnsi="Book Antiqua"/>
          <w:lang w:val="en-US"/>
        </w:rPr>
        <w:t>” to accruing the 10 year residence in the UK.</w:t>
      </w:r>
      <w:r w:rsidR="00E97093">
        <w:rPr>
          <w:rFonts w:ascii="Book Antiqua" w:hAnsi="Book Antiqua"/>
          <w:lang w:val="en-US"/>
        </w:rPr>
        <w:t xml:space="preserve">  The reliance upon [53] of </w:t>
      </w:r>
      <w:r w:rsidR="00E97093" w:rsidRPr="00E97093">
        <w:rPr>
          <w:rFonts w:ascii="Book Antiqua" w:hAnsi="Book Antiqua"/>
          <w:u w:val="single"/>
          <w:lang w:val="en-US"/>
        </w:rPr>
        <w:t>Agyarko v SSHD</w:t>
      </w:r>
      <w:r w:rsidR="00E97093">
        <w:rPr>
          <w:rFonts w:ascii="Book Antiqua" w:hAnsi="Book Antiqua"/>
          <w:lang w:val="en-US"/>
        </w:rPr>
        <w:t xml:space="preserve"> [2017] UKSC 11 is misplaced.</w:t>
      </w:r>
      <w:r w:rsidR="006575C3">
        <w:rPr>
          <w:rFonts w:ascii="Book Antiqua" w:hAnsi="Book Antiqua"/>
          <w:lang w:val="en-US"/>
        </w:rPr>
        <w:t xml:space="preserve">  That case concerned assumptions to be made on the basis of well-established family life in the UK</w:t>
      </w:r>
      <w:r w:rsidR="008B7EB6">
        <w:rPr>
          <w:rFonts w:ascii="Book Antiqua" w:hAnsi="Book Antiqua"/>
          <w:lang w:val="en-US"/>
        </w:rPr>
        <w:t xml:space="preserve"> as opposed </w:t>
      </w:r>
      <w:r w:rsidR="004F163B">
        <w:rPr>
          <w:rFonts w:ascii="Book Antiqua" w:hAnsi="Book Antiqua"/>
          <w:lang w:val="en-US"/>
        </w:rPr>
        <w:t xml:space="preserve">to </w:t>
      </w:r>
      <w:r w:rsidR="008B7EB6">
        <w:rPr>
          <w:rFonts w:ascii="Book Antiqua" w:hAnsi="Book Antiqua"/>
          <w:lang w:val="en-US"/>
        </w:rPr>
        <w:t xml:space="preserve">weak private life </w:t>
      </w:r>
      <w:r w:rsidR="003B7220">
        <w:rPr>
          <w:rFonts w:ascii="Book Antiqua" w:hAnsi="Book Antiqua"/>
          <w:lang w:val="en-US"/>
        </w:rPr>
        <w:t>and repeated applications on this basis.</w:t>
      </w:r>
    </w:p>
    <w:p w14:paraId="437D7E2A" w14:textId="77777777" w:rsidR="005351CD" w:rsidRPr="005351CD" w:rsidRDefault="005351CD" w:rsidP="005351CD">
      <w:pPr>
        <w:jc w:val="both"/>
        <w:rPr>
          <w:rFonts w:ascii="Book Antiqua" w:hAnsi="Book Antiqua"/>
          <w:lang w:val="en-US"/>
        </w:rPr>
      </w:pPr>
    </w:p>
    <w:p w14:paraId="11A81ED1" w14:textId="172E91EF" w:rsidR="001D5351" w:rsidRPr="00D45BEE" w:rsidRDefault="0080796E" w:rsidP="00D45BEE">
      <w:pPr>
        <w:pStyle w:val="ListParagraph"/>
        <w:numPr>
          <w:ilvl w:val="0"/>
          <w:numId w:val="1"/>
        </w:numPr>
        <w:jc w:val="both"/>
        <w:rPr>
          <w:rFonts w:ascii="Book Antiqua" w:hAnsi="Book Antiqua"/>
          <w:lang w:val="en-US"/>
        </w:rPr>
      </w:pPr>
      <w:r>
        <w:rPr>
          <w:rFonts w:ascii="Book Antiqua" w:hAnsi="Book Antiqua"/>
          <w:lang w:val="en-US"/>
        </w:rPr>
        <w:t>Finally</w:t>
      </w:r>
      <w:r w:rsidR="00967469">
        <w:rPr>
          <w:rFonts w:ascii="Book Antiqua" w:hAnsi="Book Antiqua"/>
          <w:lang w:val="en-US"/>
        </w:rPr>
        <w:t xml:space="preserve">, </w:t>
      </w:r>
      <w:r w:rsidR="001D5351" w:rsidRPr="00D45BEE">
        <w:rPr>
          <w:rFonts w:ascii="Book Antiqua" w:hAnsi="Book Antiqua"/>
        </w:rPr>
        <w:t>the appellant speaks English and has not claimed public funds but these are neutral factors.</w:t>
      </w:r>
    </w:p>
    <w:p w14:paraId="6E5231D1" w14:textId="77777777" w:rsidR="003A47DC" w:rsidRPr="00D45BEE" w:rsidRDefault="003A47DC" w:rsidP="00D45BEE">
      <w:pPr>
        <w:rPr>
          <w:rFonts w:ascii="Book Antiqua" w:hAnsi="Book Antiqua"/>
          <w:lang w:val="en-US"/>
        </w:rPr>
      </w:pPr>
    </w:p>
    <w:p w14:paraId="4F68AD08" w14:textId="0BD4B50B" w:rsidR="00753C84" w:rsidRPr="00E85212" w:rsidRDefault="003A47DC" w:rsidP="00E85212">
      <w:pPr>
        <w:pStyle w:val="ListParagraph"/>
        <w:numPr>
          <w:ilvl w:val="0"/>
          <w:numId w:val="1"/>
        </w:numPr>
        <w:jc w:val="both"/>
        <w:rPr>
          <w:rFonts w:ascii="Book Antiqua" w:hAnsi="Book Antiqua"/>
          <w:lang w:val="en-US"/>
        </w:rPr>
      </w:pPr>
      <w:r>
        <w:rPr>
          <w:rFonts w:ascii="Book Antiqua" w:hAnsi="Book Antiqua"/>
          <w:lang w:val="en-US"/>
        </w:rPr>
        <w:t xml:space="preserve">Having considered all matters relevant to the public interest cumulatively </w:t>
      </w:r>
      <w:r w:rsidR="001052A3">
        <w:rPr>
          <w:rFonts w:ascii="Book Antiqua" w:hAnsi="Book Antiqua"/>
          <w:lang w:val="en-US"/>
        </w:rPr>
        <w:t>I am satisfied that the public interest in this appellant’s removal remains strong.</w:t>
      </w:r>
      <w:r w:rsidR="00E85212">
        <w:rPr>
          <w:rFonts w:ascii="Book Antiqua" w:hAnsi="Book Antiqua"/>
          <w:lang w:val="en-US"/>
        </w:rPr>
        <w:t xml:space="preserve">  </w:t>
      </w:r>
      <w:r w:rsidR="009D35FC" w:rsidRPr="00E85212">
        <w:rPr>
          <w:rFonts w:ascii="Book Antiqua" w:hAnsi="Book Antiqua"/>
        </w:rPr>
        <w:t>I now balance the strong public interest in removing the appellant against</w:t>
      </w:r>
      <w:r w:rsidR="00F563E1" w:rsidRPr="00E85212">
        <w:rPr>
          <w:rFonts w:ascii="Book Antiqua" w:hAnsi="Book Antiqua"/>
        </w:rPr>
        <w:t xml:space="preserve"> his private life.  </w:t>
      </w:r>
      <w:bookmarkStart w:id="13" w:name="para123"/>
    </w:p>
    <w:p w14:paraId="7DC2F241" w14:textId="77777777" w:rsidR="00753C84" w:rsidRPr="00753C84" w:rsidRDefault="00753C84" w:rsidP="00753C84">
      <w:pPr>
        <w:pStyle w:val="ListParagraph"/>
        <w:rPr>
          <w:rFonts w:ascii="Book Antiqua" w:hAnsi="Book Antiqua"/>
        </w:rPr>
      </w:pPr>
    </w:p>
    <w:p w14:paraId="5E975975" w14:textId="6C91E97B" w:rsidR="00260FCF" w:rsidRDefault="0060336F" w:rsidP="00A0153B">
      <w:pPr>
        <w:pStyle w:val="ListParagraph"/>
        <w:numPr>
          <w:ilvl w:val="0"/>
          <w:numId w:val="1"/>
        </w:numPr>
        <w:jc w:val="both"/>
        <w:rPr>
          <w:rFonts w:ascii="Book Antiqua" w:hAnsi="Book Antiqua"/>
        </w:rPr>
      </w:pPr>
      <w:r w:rsidRPr="00513A31">
        <w:rPr>
          <w:rFonts w:ascii="Book Antiqua" w:hAnsi="Book Antiqua"/>
        </w:rPr>
        <w:t>The appellant’</w:t>
      </w:r>
      <w:r w:rsidR="00C94948" w:rsidRPr="00513A31">
        <w:rPr>
          <w:rFonts w:ascii="Book Antiqua" w:hAnsi="Book Antiqua"/>
        </w:rPr>
        <w:t>s immigration status had been precarious (for the purposes of s</w:t>
      </w:r>
      <w:r w:rsidR="00411AD3" w:rsidRPr="00513A31">
        <w:rPr>
          <w:rFonts w:ascii="Book Antiqua" w:hAnsi="Book Antiqua"/>
        </w:rPr>
        <w:t xml:space="preserve">. </w:t>
      </w:r>
      <w:r w:rsidR="00C94948" w:rsidRPr="00513A31">
        <w:rPr>
          <w:rFonts w:ascii="Book Antiqua" w:hAnsi="Book Antiqua"/>
        </w:rPr>
        <w:t>117B</w:t>
      </w:r>
      <w:r w:rsidR="007B0873" w:rsidRPr="00513A31">
        <w:rPr>
          <w:rFonts w:ascii="Book Antiqua" w:hAnsi="Book Antiqua"/>
        </w:rPr>
        <w:t>)</w:t>
      </w:r>
      <w:r w:rsidR="0080796E">
        <w:rPr>
          <w:rFonts w:ascii="Book Antiqua" w:hAnsi="Book Antiqua"/>
        </w:rPr>
        <w:t xml:space="preserve"> for the first two stages of his immigration history</w:t>
      </w:r>
      <w:r w:rsidR="00411AD3" w:rsidRPr="00513A31">
        <w:rPr>
          <w:rFonts w:ascii="Book Antiqua" w:hAnsi="Book Antiqua"/>
        </w:rPr>
        <w:t xml:space="preserve">. </w:t>
      </w:r>
      <w:r w:rsidR="005217B0">
        <w:rPr>
          <w:rFonts w:ascii="Book Antiqua" w:hAnsi="Book Antiqua"/>
        </w:rPr>
        <w:t xml:space="preserve">  To the appellant’s credit he </w:t>
      </w:r>
      <w:r w:rsidR="0080796E">
        <w:rPr>
          <w:rFonts w:ascii="Book Antiqua" w:hAnsi="Book Antiqua"/>
        </w:rPr>
        <w:t xml:space="preserve">completed an MBA in 2012.  Since that time he has not been in a position to work or study.  </w:t>
      </w:r>
      <w:r w:rsidR="005217B0">
        <w:rPr>
          <w:rFonts w:ascii="Book Antiqua" w:hAnsi="Book Antiqua"/>
        </w:rPr>
        <w:t xml:space="preserve"> </w:t>
      </w:r>
      <w:r w:rsidR="00411AD3" w:rsidRPr="00513A31">
        <w:rPr>
          <w:rFonts w:ascii="Book Antiqua" w:hAnsi="Book Antiqua"/>
        </w:rPr>
        <w:t xml:space="preserve"> </w:t>
      </w:r>
      <w:r w:rsidR="00B2368F">
        <w:rPr>
          <w:rFonts w:ascii="Book Antiqua" w:hAnsi="Book Antiqua"/>
        </w:rPr>
        <w:t xml:space="preserve">He has been an overstayer and unlawfully in the UK since November 2016, albeit </w:t>
      </w:r>
      <w:r w:rsidR="007B0873" w:rsidRPr="00513A31">
        <w:rPr>
          <w:rFonts w:ascii="Book Antiqua" w:hAnsi="Book Antiqua"/>
        </w:rPr>
        <w:t xml:space="preserve">he </w:t>
      </w:r>
      <w:r w:rsidR="00B2368F">
        <w:rPr>
          <w:rFonts w:ascii="Book Antiqua" w:hAnsi="Book Antiqua"/>
        </w:rPr>
        <w:t>has been</w:t>
      </w:r>
      <w:r w:rsidR="007B0873" w:rsidRPr="00513A31">
        <w:rPr>
          <w:rFonts w:ascii="Book Antiqua" w:hAnsi="Book Antiqua"/>
        </w:rPr>
        <w:t xml:space="preserve"> diligent in making applications in support of his many </w:t>
      </w:r>
      <w:r w:rsidR="00B2368F">
        <w:rPr>
          <w:rFonts w:ascii="Book Antiqua" w:hAnsi="Book Antiqua"/>
        </w:rPr>
        <w:t>attempts to regularise his immigration status</w:t>
      </w:r>
      <w:r w:rsidR="00ED7FBC" w:rsidRPr="00513A31">
        <w:rPr>
          <w:rFonts w:ascii="Book Antiqua" w:hAnsi="Book Antiqua"/>
        </w:rPr>
        <w:t xml:space="preserve">.  </w:t>
      </w:r>
    </w:p>
    <w:p w14:paraId="6F4FD4DD" w14:textId="77777777" w:rsidR="00260FCF" w:rsidRPr="00260FCF" w:rsidRDefault="00260FCF" w:rsidP="00260FCF">
      <w:pPr>
        <w:pStyle w:val="ListParagraph"/>
        <w:rPr>
          <w:rFonts w:ascii="Book Antiqua" w:hAnsi="Book Antiqua"/>
        </w:rPr>
      </w:pPr>
    </w:p>
    <w:p w14:paraId="71D8CE2C" w14:textId="22CF0846" w:rsidR="00DC4B32" w:rsidRPr="007D258D" w:rsidRDefault="009F72D2" w:rsidP="007D258D">
      <w:pPr>
        <w:pStyle w:val="ListParagraph"/>
        <w:numPr>
          <w:ilvl w:val="0"/>
          <w:numId w:val="1"/>
        </w:numPr>
        <w:jc w:val="both"/>
        <w:rPr>
          <w:rFonts w:ascii="Book Antiqua" w:hAnsi="Book Antiqua"/>
        </w:rPr>
      </w:pPr>
      <w:r>
        <w:rPr>
          <w:rFonts w:ascii="Book Antiqua" w:hAnsi="Book Antiqua"/>
        </w:rPr>
        <w:t xml:space="preserve">Although the appellant’s private life has been formed </w:t>
      </w:r>
      <w:r w:rsidR="00CF15AE">
        <w:rPr>
          <w:rFonts w:ascii="Book Antiqua" w:hAnsi="Book Antiqua"/>
        </w:rPr>
        <w:t xml:space="preserve">when the appellant’s immigration status has been precarious and then unlawful, </w:t>
      </w:r>
      <w:r w:rsidR="00ED7FBC" w:rsidRPr="00513A31">
        <w:rPr>
          <w:rFonts w:ascii="Book Antiqua" w:hAnsi="Book Antiqua"/>
        </w:rPr>
        <w:t xml:space="preserve">I am prepared to attach some weight to </w:t>
      </w:r>
      <w:r w:rsidR="00CF15AE">
        <w:rPr>
          <w:rFonts w:ascii="Book Antiqua" w:hAnsi="Book Antiqua"/>
        </w:rPr>
        <w:t xml:space="preserve">it </w:t>
      </w:r>
      <w:r w:rsidR="00513A31" w:rsidRPr="00513A31">
        <w:rPr>
          <w:rFonts w:ascii="Book Antiqua" w:hAnsi="Book Antiqua"/>
        </w:rPr>
        <w:t xml:space="preserve">given the flexible approach endorsed in </w:t>
      </w:r>
      <w:r w:rsidR="00513A31" w:rsidRPr="00513A31">
        <w:rPr>
          <w:rFonts w:ascii="Book Antiqua" w:hAnsi="Book Antiqua"/>
          <w:u w:val="single"/>
        </w:rPr>
        <w:t>Rhuppiah</w:t>
      </w:r>
      <w:r w:rsidR="00513A31" w:rsidRPr="00513A31">
        <w:rPr>
          <w:rFonts w:ascii="Book Antiqua" w:hAnsi="Book Antiqua"/>
        </w:rPr>
        <w:t>.</w:t>
      </w:r>
      <w:r w:rsidR="00C94948" w:rsidRPr="00513A31">
        <w:rPr>
          <w:rFonts w:ascii="Book Antiqua" w:hAnsi="Book Antiqua"/>
        </w:rPr>
        <w:t xml:space="preserve">  </w:t>
      </w:r>
      <w:r w:rsidR="00513A31">
        <w:rPr>
          <w:rFonts w:ascii="Book Antiqua" w:hAnsi="Book Antiqua"/>
        </w:rPr>
        <w:t xml:space="preserve">Although the appellant has lived in the UK for </w:t>
      </w:r>
      <w:r w:rsidR="00B2368F">
        <w:rPr>
          <w:rFonts w:ascii="Book Antiqua" w:hAnsi="Book Antiqua"/>
        </w:rPr>
        <w:t xml:space="preserve">a relatively lengthy period of </w:t>
      </w:r>
      <w:r w:rsidR="00513A31">
        <w:rPr>
          <w:rFonts w:ascii="Book Antiqua" w:hAnsi="Book Antiqua"/>
        </w:rPr>
        <w:t>over 10 years, he lived in Bangladesh for</w:t>
      </w:r>
      <w:r w:rsidR="00A9470C">
        <w:rPr>
          <w:rFonts w:ascii="Book Antiqua" w:hAnsi="Book Antiqua"/>
        </w:rPr>
        <w:t xml:space="preserve"> </w:t>
      </w:r>
      <w:r w:rsidR="00B2368F">
        <w:rPr>
          <w:rFonts w:ascii="Book Antiqua" w:hAnsi="Book Antiqua"/>
        </w:rPr>
        <w:t>27 years and continues to have close family members there</w:t>
      </w:r>
      <w:r w:rsidR="00513A31">
        <w:rPr>
          <w:rFonts w:ascii="Book Antiqua" w:hAnsi="Book Antiqua"/>
        </w:rPr>
        <w:t>.</w:t>
      </w:r>
      <w:r w:rsidR="00513A31" w:rsidRPr="009A72DC">
        <w:t xml:space="preserve"> </w:t>
      </w:r>
      <w:r w:rsidR="00B2368F">
        <w:t xml:space="preserve"> </w:t>
      </w:r>
      <w:r w:rsidR="00513A31" w:rsidRPr="009A72DC">
        <w:rPr>
          <w:rFonts w:ascii="Book Antiqua" w:hAnsi="Book Antiqua"/>
        </w:rPr>
        <w:t xml:space="preserve">He </w:t>
      </w:r>
      <w:r w:rsidR="00513A31">
        <w:rPr>
          <w:rFonts w:ascii="Book Antiqua" w:hAnsi="Book Antiqua"/>
        </w:rPr>
        <w:t>has not</w:t>
      </w:r>
      <w:r w:rsidR="00513A31" w:rsidRPr="009A72DC">
        <w:rPr>
          <w:rFonts w:ascii="Book Antiqua" w:hAnsi="Book Antiqua"/>
        </w:rPr>
        <w:t xml:space="preserve"> re</w:t>
      </w:r>
      <w:r w:rsidR="00513A31">
        <w:rPr>
          <w:rFonts w:ascii="Book Antiqua" w:hAnsi="Book Antiqua"/>
        </w:rPr>
        <w:t>lied upon</w:t>
      </w:r>
      <w:r w:rsidR="00513A31" w:rsidRPr="009A72DC">
        <w:rPr>
          <w:rFonts w:ascii="Book Antiqua" w:hAnsi="Book Antiqua"/>
        </w:rPr>
        <w:t xml:space="preserve"> any relevant </w:t>
      </w:r>
      <w:r w:rsidR="0080796E">
        <w:rPr>
          <w:rFonts w:ascii="Book Antiqua" w:hAnsi="Book Antiqua"/>
        </w:rPr>
        <w:t xml:space="preserve">family </w:t>
      </w:r>
      <w:r w:rsidR="00513A31" w:rsidRPr="009A72DC">
        <w:rPr>
          <w:rFonts w:ascii="Book Antiqua" w:hAnsi="Book Antiqua"/>
        </w:rPr>
        <w:t xml:space="preserve">relationships in the UK. </w:t>
      </w:r>
      <w:r w:rsidR="00B2368F">
        <w:rPr>
          <w:rFonts w:ascii="Book Antiqua" w:hAnsi="Book Antiqua"/>
        </w:rPr>
        <w:t xml:space="preserve">  He has demonstrated that he has made friendships in and has bonds with the UK but he continues to have close ties to Bangladesh and after initial difficulties, no doubt made more challenging by the pandemic, will be able to re-integrate and settle there.   The appellant is in reasonable health and remains relatively young with a good educational background.</w:t>
      </w:r>
      <w:r w:rsidR="007D258D">
        <w:rPr>
          <w:rFonts w:ascii="Book Antiqua" w:hAnsi="Book Antiqua"/>
        </w:rPr>
        <w:t xml:space="preserve">  </w:t>
      </w:r>
      <w:r w:rsidR="00260FCF" w:rsidRPr="007D258D">
        <w:rPr>
          <w:rFonts w:ascii="Book Antiqua" w:hAnsi="Book Antiqua"/>
        </w:rPr>
        <w:t>Mr Y</w:t>
      </w:r>
      <w:r w:rsidR="00B2368F" w:rsidRPr="007D258D">
        <w:rPr>
          <w:rFonts w:ascii="Book Antiqua" w:hAnsi="Book Antiqua"/>
        </w:rPr>
        <w:t>oussefian</w:t>
      </w:r>
      <w:r w:rsidR="00260FCF" w:rsidRPr="007D258D">
        <w:rPr>
          <w:rFonts w:ascii="Book Antiqua" w:hAnsi="Book Antiqua"/>
        </w:rPr>
        <w:t xml:space="preserve"> acknowledged that the </w:t>
      </w:r>
      <w:r w:rsidR="00B2368F" w:rsidRPr="007D258D">
        <w:rPr>
          <w:rFonts w:ascii="Book Antiqua" w:hAnsi="Book Antiqua"/>
        </w:rPr>
        <w:t xml:space="preserve">2016 </w:t>
      </w:r>
      <w:r w:rsidR="00260FCF" w:rsidRPr="007D258D">
        <w:rPr>
          <w:rFonts w:ascii="Book Antiqua" w:hAnsi="Book Antiqua"/>
        </w:rPr>
        <w:t xml:space="preserve">FTT </w:t>
      </w:r>
      <w:r w:rsidR="005E137D" w:rsidRPr="007D258D">
        <w:rPr>
          <w:rFonts w:ascii="Book Antiqua" w:hAnsi="Book Antiqua"/>
        </w:rPr>
        <w:t>decision was</w:t>
      </w:r>
      <w:r w:rsidR="00260FCF" w:rsidRPr="007D258D">
        <w:rPr>
          <w:rFonts w:ascii="Book Antiqua" w:hAnsi="Book Antiqua"/>
        </w:rPr>
        <w:t xml:space="preserve"> a starting point for my consideration of the appellant’s circumstances but</w:t>
      </w:r>
      <w:r w:rsidR="007D258D">
        <w:rPr>
          <w:rFonts w:ascii="Book Antiqua" w:hAnsi="Book Antiqua"/>
        </w:rPr>
        <w:t xml:space="preserve"> submitted that</w:t>
      </w:r>
      <w:r w:rsidR="00260FCF" w:rsidRPr="007D258D">
        <w:rPr>
          <w:rFonts w:ascii="Book Antiqua" w:hAnsi="Book Antiqua"/>
        </w:rPr>
        <w:t xml:space="preserve"> m</w:t>
      </w:r>
      <w:r w:rsidR="00B2368F" w:rsidRPr="007D258D">
        <w:rPr>
          <w:rFonts w:ascii="Book Antiqua" w:hAnsi="Book Antiqua"/>
        </w:rPr>
        <w:t>atters</w:t>
      </w:r>
      <w:r w:rsidR="00260FCF" w:rsidRPr="007D258D">
        <w:rPr>
          <w:rFonts w:ascii="Book Antiqua" w:hAnsi="Book Antiqua"/>
        </w:rPr>
        <w:t xml:space="preserve"> had moved on since then.  Having carefully examined all the evidence relied upon by the appellant before me I agree with </w:t>
      </w:r>
      <w:r w:rsidR="00B2368F" w:rsidRPr="007D258D">
        <w:rPr>
          <w:rFonts w:ascii="Book Antiqua" w:hAnsi="Book Antiqua"/>
        </w:rPr>
        <w:t xml:space="preserve">the 2016 FTT’s </w:t>
      </w:r>
      <w:r w:rsidR="00260FCF" w:rsidRPr="007D258D">
        <w:rPr>
          <w:rFonts w:ascii="Book Antiqua" w:hAnsi="Book Antiqua"/>
        </w:rPr>
        <w:t xml:space="preserve">description of the appellant’s private life in the UK at [20].  </w:t>
      </w:r>
      <w:r w:rsidR="00513A31" w:rsidRPr="007D258D">
        <w:rPr>
          <w:rFonts w:ascii="Book Antiqua" w:hAnsi="Book Antiqua"/>
        </w:rPr>
        <w:t xml:space="preserve">The appellant has not </w:t>
      </w:r>
      <w:r w:rsidR="00C94948" w:rsidRPr="007D258D">
        <w:rPr>
          <w:rFonts w:ascii="Book Antiqua" w:hAnsi="Book Antiqua"/>
        </w:rPr>
        <w:t xml:space="preserve">relied on any features of </w:t>
      </w:r>
      <w:r w:rsidR="00513A31" w:rsidRPr="007D258D">
        <w:rPr>
          <w:rFonts w:ascii="Book Antiqua" w:hAnsi="Book Antiqua"/>
        </w:rPr>
        <w:t>his</w:t>
      </w:r>
      <w:r w:rsidR="00C94948" w:rsidRPr="007D258D">
        <w:rPr>
          <w:rFonts w:ascii="Book Antiqua" w:hAnsi="Book Antiqua"/>
        </w:rPr>
        <w:t xml:space="preserve"> private life </w:t>
      </w:r>
      <w:r w:rsidR="00513A31" w:rsidRPr="007D258D">
        <w:rPr>
          <w:rFonts w:ascii="Book Antiqua" w:hAnsi="Book Antiqua"/>
        </w:rPr>
        <w:t xml:space="preserve">per se </w:t>
      </w:r>
      <w:r w:rsidR="00C94948" w:rsidRPr="007D258D">
        <w:rPr>
          <w:rFonts w:ascii="Book Antiqua" w:hAnsi="Book Antiqua"/>
        </w:rPr>
        <w:t xml:space="preserve">which </w:t>
      </w:r>
      <w:r w:rsidR="00F154AA" w:rsidRPr="007D258D">
        <w:rPr>
          <w:rFonts w:ascii="Book Antiqua" w:hAnsi="Book Antiqua"/>
        </w:rPr>
        <w:t>can be said to be very compelling</w:t>
      </w:r>
      <w:r w:rsidR="00C94948" w:rsidRPr="007D258D">
        <w:rPr>
          <w:rFonts w:ascii="Book Antiqua" w:hAnsi="Book Antiqua"/>
        </w:rPr>
        <w:t xml:space="preserve">. </w:t>
      </w:r>
      <w:r w:rsidR="00A0153B" w:rsidRPr="007D258D">
        <w:rPr>
          <w:rFonts w:ascii="Book Antiqua" w:hAnsi="Book Antiqua"/>
        </w:rPr>
        <w:t xml:space="preserve"> Indeed</w:t>
      </w:r>
      <w:r w:rsidR="004247F4">
        <w:rPr>
          <w:rFonts w:ascii="Book Antiqua" w:hAnsi="Book Antiqua"/>
        </w:rPr>
        <w:t>,</w:t>
      </w:r>
      <w:r w:rsidR="00A0153B" w:rsidRPr="007D258D">
        <w:rPr>
          <w:rFonts w:ascii="Book Antiqua" w:hAnsi="Book Antiqua"/>
        </w:rPr>
        <w:t xml:space="preserve"> it is difficult to see why he has pursued such an uncertain existence </w:t>
      </w:r>
      <w:r w:rsidR="004247F4">
        <w:rPr>
          <w:rFonts w:ascii="Book Antiqua" w:hAnsi="Book Antiqua"/>
        </w:rPr>
        <w:t xml:space="preserve">in the UK </w:t>
      </w:r>
      <w:r w:rsidR="00A0153B" w:rsidRPr="007D258D">
        <w:rPr>
          <w:rFonts w:ascii="Book Antiqua" w:hAnsi="Book Antiqua"/>
        </w:rPr>
        <w:t>for such a lengthy period</w:t>
      </w:r>
      <w:r w:rsidR="004247F4">
        <w:rPr>
          <w:rFonts w:ascii="Book Antiqua" w:hAnsi="Book Antiqua"/>
        </w:rPr>
        <w:t xml:space="preserve"> when his private life is </w:t>
      </w:r>
      <w:r w:rsidR="00F90C02">
        <w:rPr>
          <w:rFonts w:ascii="Book Antiqua" w:hAnsi="Book Antiqua"/>
        </w:rPr>
        <w:t xml:space="preserve">so </w:t>
      </w:r>
      <w:r w:rsidR="00752226">
        <w:rPr>
          <w:rFonts w:ascii="Book Antiqua" w:hAnsi="Book Antiqua"/>
        </w:rPr>
        <w:t>weak</w:t>
      </w:r>
      <w:r w:rsidR="00C66D78" w:rsidRPr="007D258D">
        <w:rPr>
          <w:rFonts w:ascii="Book Antiqua" w:hAnsi="Book Antiqua"/>
        </w:rPr>
        <w:t>.  H</w:t>
      </w:r>
      <w:r w:rsidR="00F90C02">
        <w:rPr>
          <w:rFonts w:ascii="Book Antiqua" w:hAnsi="Book Antiqua"/>
        </w:rPr>
        <w:t xml:space="preserve">e has been unable to access any </w:t>
      </w:r>
      <w:r w:rsidR="00406C34">
        <w:rPr>
          <w:rFonts w:ascii="Book Antiqua" w:hAnsi="Book Antiqua"/>
        </w:rPr>
        <w:t xml:space="preserve">employment or studies in the UK for a lengthy period and his ties </w:t>
      </w:r>
      <w:r w:rsidR="003F5D59">
        <w:rPr>
          <w:rFonts w:ascii="Book Antiqua" w:hAnsi="Book Antiqua"/>
        </w:rPr>
        <w:t>to the UK beyond the length of his residence and friends are weak</w:t>
      </w:r>
      <w:r w:rsidR="007F4815" w:rsidRPr="007D258D">
        <w:rPr>
          <w:rFonts w:ascii="Book Antiqua" w:hAnsi="Book Antiqua"/>
        </w:rPr>
        <w:t>.</w:t>
      </w:r>
      <w:r w:rsidR="00260FCF" w:rsidRPr="007D258D">
        <w:rPr>
          <w:rFonts w:ascii="Book Antiqua" w:hAnsi="Book Antiqua"/>
        </w:rPr>
        <w:t xml:space="preserve"> </w:t>
      </w:r>
      <w:r w:rsidR="007F4815" w:rsidRPr="007D258D">
        <w:rPr>
          <w:rFonts w:ascii="Book Antiqua" w:hAnsi="Book Antiqua"/>
        </w:rPr>
        <w:t xml:space="preserve">  </w:t>
      </w:r>
    </w:p>
    <w:p w14:paraId="3C11714A" w14:textId="77777777" w:rsidR="00FF49BB" w:rsidRPr="00FF49BB" w:rsidRDefault="00FF49BB" w:rsidP="00FF49BB">
      <w:pPr>
        <w:jc w:val="both"/>
        <w:rPr>
          <w:rFonts w:ascii="Book Antiqua" w:hAnsi="Book Antiqua"/>
          <w:lang w:val="en-US"/>
        </w:rPr>
      </w:pPr>
    </w:p>
    <w:p w14:paraId="6D128495" w14:textId="1CD20D1B" w:rsidR="003436EA" w:rsidRPr="00067F9C" w:rsidRDefault="009A72DC" w:rsidP="00067F9C">
      <w:pPr>
        <w:pStyle w:val="ListParagraph"/>
        <w:numPr>
          <w:ilvl w:val="0"/>
          <w:numId w:val="1"/>
        </w:numPr>
        <w:jc w:val="both"/>
        <w:rPr>
          <w:rFonts w:ascii="Book Antiqua" w:hAnsi="Book Antiqua"/>
        </w:rPr>
      </w:pPr>
      <w:r w:rsidRPr="009A72DC">
        <w:rPr>
          <w:rFonts w:ascii="Book Antiqua" w:hAnsi="Book Antiqua"/>
        </w:rPr>
        <w:lastRenderedPageBreak/>
        <w:t xml:space="preserve">There </w:t>
      </w:r>
      <w:r w:rsidR="00DC4B32">
        <w:rPr>
          <w:rFonts w:ascii="Book Antiqua" w:hAnsi="Book Antiqua"/>
        </w:rPr>
        <w:t xml:space="preserve">is insufficient </w:t>
      </w:r>
      <w:r w:rsidRPr="009A72DC">
        <w:rPr>
          <w:rFonts w:ascii="Book Antiqua" w:hAnsi="Book Antiqua"/>
        </w:rPr>
        <w:t>material to</w:t>
      </w:r>
      <w:r w:rsidR="006E40E2">
        <w:rPr>
          <w:rFonts w:ascii="Book Antiqua" w:hAnsi="Book Antiqua"/>
        </w:rPr>
        <w:t xml:space="preserve"> demonstrate</w:t>
      </w:r>
      <w:r w:rsidRPr="009A72DC">
        <w:rPr>
          <w:rFonts w:ascii="Book Antiqua" w:hAnsi="Book Antiqua"/>
        </w:rPr>
        <w:t xml:space="preserve"> that the </w:t>
      </w:r>
      <w:r w:rsidR="006E40E2">
        <w:rPr>
          <w:rFonts w:ascii="Book Antiqua" w:hAnsi="Book Antiqua"/>
        </w:rPr>
        <w:t xml:space="preserve">strong </w:t>
      </w:r>
      <w:r w:rsidRPr="009A72DC">
        <w:rPr>
          <w:rFonts w:ascii="Book Antiqua" w:hAnsi="Book Antiqua"/>
        </w:rPr>
        <w:t xml:space="preserve">public interest in </w:t>
      </w:r>
      <w:r w:rsidRPr="000C6160">
        <w:rPr>
          <w:rFonts w:ascii="Book Antiqua" w:hAnsi="Book Antiqua"/>
        </w:rPr>
        <w:t xml:space="preserve">the maintenance of effective immigration controls </w:t>
      </w:r>
      <w:r w:rsidR="006E40E2" w:rsidRPr="000C6160">
        <w:rPr>
          <w:rFonts w:ascii="Book Antiqua" w:hAnsi="Book Antiqua"/>
        </w:rPr>
        <w:t>i</w:t>
      </w:r>
      <w:r w:rsidRPr="000C6160">
        <w:rPr>
          <w:rFonts w:ascii="Book Antiqua" w:hAnsi="Book Antiqua"/>
        </w:rPr>
        <w:t xml:space="preserve">s outweighed by </w:t>
      </w:r>
      <w:r w:rsidR="00DC4B32" w:rsidRPr="000C6160">
        <w:rPr>
          <w:rFonts w:ascii="Book Antiqua" w:hAnsi="Book Antiqua"/>
        </w:rPr>
        <w:t>the appellant’s</w:t>
      </w:r>
      <w:r w:rsidRPr="000C6160">
        <w:rPr>
          <w:rFonts w:ascii="Book Antiqua" w:hAnsi="Book Antiqua"/>
        </w:rPr>
        <w:t xml:space="preserve"> private life protected under </w:t>
      </w:r>
      <w:r w:rsidR="00DC4B32" w:rsidRPr="000C6160">
        <w:rPr>
          <w:rFonts w:ascii="Book Antiqua" w:hAnsi="Book Antiqua"/>
        </w:rPr>
        <w:t>A</w:t>
      </w:r>
      <w:r w:rsidRPr="000C6160">
        <w:rPr>
          <w:rFonts w:ascii="Book Antiqua" w:hAnsi="Book Antiqua"/>
        </w:rPr>
        <w:t>rticle 8</w:t>
      </w:r>
      <w:r w:rsidR="00B2368F" w:rsidRPr="000C6160">
        <w:rPr>
          <w:rFonts w:ascii="Book Antiqua" w:hAnsi="Book Antiqua"/>
        </w:rPr>
        <w:t xml:space="preserve">, </w:t>
      </w:r>
      <w:r w:rsidRPr="000C6160">
        <w:rPr>
          <w:rFonts w:ascii="Book Antiqua" w:hAnsi="Book Antiqua"/>
        </w:rPr>
        <w:t>ECHR.</w:t>
      </w:r>
      <w:bookmarkStart w:id="14" w:name="para139"/>
      <w:bookmarkEnd w:id="13"/>
      <w:r w:rsidR="00473405" w:rsidRPr="000C6160">
        <w:rPr>
          <w:rFonts w:ascii="Book Antiqua" w:hAnsi="Book Antiqua"/>
        </w:rPr>
        <w:t xml:space="preserve"> </w:t>
      </w:r>
      <w:bookmarkEnd w:id="14"/>
      <w:r w:rsidR="000C6160" w:rsidRPr="000C6160">
        <w:rPr>
          <w:rFonts w:ascii="Book Antiqua" w:hAnsi="Book Antiqua"/>
        </w:rPr>
        <w:t xml:space="preserve">  In short, on my findings the appellant’s private life is too weak and the public interest too strong to support any other conclusion.</w:t>
      </w:r>
      <w:r w:rsidR="00067F9C">
        <w:rPr>
          <w:rFonts w:ascii="Book Antiqua" w:hAnsi="Book Antiqua"/>
        </w:rPr>
        <w:t xml:space="preserve">  </w:t>
      </w:r>
      <w:r w:rsidR="000C6160" w:rsidRPr="00067F9C">
        <w:rPr>
          <w:rFonts w:ascii="Book Antiqua" w:hAnsi="Book Antiqua"/>
          <w:lang w:val="en-US"/>
        </w:rPr>
        <w:t xml:space="preserve">For the avoidance of doubt, this is a conclusion I would </w:t>
      </w:r>
      <w:r w:rsidR="00067F9C">
        <w:rPr>
          <w:rFonts w:ascii="Book Antiqua" w:hAnsi="Book Antiqua"/>
          <w:lang w:val="en-US"/>
        </w:rPr>
        <w:t xml:space="preserve">have </w:t>
      </w:r>
      <w:r w:rsidR="000C6160" w:rsidRPr="00067F9C">
        <w:rPr>
          <w:rFonts w:ascii="Book Antiqua" w:hAnsi="Book Antiqua"/>
          <w:lang w:val="en-US"/>
        </w:rPr>
        <w:t>reach</w:t>
      </w:r>
      <w:r w:rsidR="00067F9C">
        <w:rPr>
          <w:rFonts w:ascii="Book Antiqua" w:hAnsi="Book Antiqua"/>
          <w:lang w:val="en-US"/>
        </w:rPr>
        <w:t>ed</w:t>
      </w:r>
      <w:r w:rsidR="000C6160" w:rsidRPr="00067F9C">
        <w:rPr>
          <w:rFonts w:ascii="Book Antiqua" w:hAnsi="Book Antiqua"/>
          <w:lang w:val="en-US"/>
        </w:rPr>
        <w:t xml:space="preserve"> even assuming that for whatever reason, the</w:t>
      </w:r>
      <w:r w:rsidR="000C6160" w:rsidRPr="00067F9C">
        <w:rPr>
          <w:rFonts w:ascii="Book Antiqua" w:hAnsi="Book Antiqua"/>
        </w:rPr>
        <w:t xml:space="preserve"> appellant did not actually receive and</w:t>
      </w:r>
      <w:r w:rsidR="00067F9C">
        <w:rPr>
          <w:rFonts w:ascii="Book Antiqua" w:hAnsi="Book Antiqua"/>
        </w:rPr>
        <w:t xml:space="preserve"> / or</w:t>
      </w:r>
      <w:r w:rsidR="000C6160" w:rsidRPr="00067F9C">
        <w:rPr>
          <w:rFonts w:ascii="Book Antiqua" w:hAnsi="Book Antiqua"/>
        </w:rPr>
        <w:t xml:space="preserve"> digest the contents of the 29 June 2017 letter.  In such an eventuality his private life remains weak for the reasons I have already outlined and the public interest in removal remains strong for all the other reasons I have outlined, viewed cumulatively. </w:t>
      </w:r>
    </w:p>
    <w:p w14:paraId="517CCAF3" w14:textId="77777777" w:rsidR="007E0DE4" w:rsidRPr="000C6160" w:rsidRDefault="007E0DE4" w:rsidP="007E0DE4">
      <w:pPr>
        <w:spacing w:before="240"/>
        <w:jc w:val="both"/>
        <w:rPr>
          <w:rFonts w:ascii="Book Antiqua" w:hAnsi="Book Antiqua" w:cs="Arial"/>
          <w:b/>
        </w:rPr>
      </w:pPr>
      <w:r w:rsidRPr="000C6160">
        <w:rPr>
          <w:rFonts w:ascii="Book Antiqua" w:hAnsi="Book Antiqua" w:cs="Arial"/>
          <w:b/>
        </w:rPr>
        <w:t>Decision</w:t>
      </w:r>
    </w:p>
    <w:p w14:paraId="62CD0B35" w14:textId="04EB0BB6" w:rsidR="00847421" w:rsidRPr="006E40E2" w:rsidRDefault="006E40E2" w:rsidP="006E40E2">
      <w:pPr>
        <w:pStyle w:val="ListParagraph"/>
        <w:numPr>
          <w:ilvl w:val="0"/>
          <w:numId w:val="1"/>
        </w:numPr>
        <w:spacing w:before="240"/>
        <w:jc w:val="both"/>
        <w:rPr>
          <w:rFonts w:ascii="Book Antiqua" w:hAnsi="Book Antiqua" w:cs="Arial"/>
        </w:rPr>
      </w:pPr>
      <w:r>
        <w:rPr>
          <w:rFonts w:ascii="Book Antiqua" w:hAnsi="Book Antiqua" w:cs="Arial"/>
        </w:rPr>
        <w:t>I dismiss t</w:t>
      </w:r>
      <w:r w:rsidR="00B739A5" w:rsidRPr="006E40E2">
        <w:rPr>
          <w:rFonts w:ascii="Book Antiqua" w:hAnsi="Book Antiqua" w:cs="Arial"/>
        </w:rPr>
        <w:t>he</w:t>
      </w:r>
      <w:r w:rsidR="00847421" w:rsidRPr="006E40E2">
        <w:rPr>
          <w:rFonts w:ascii="Book Antiqua" w:hAnsi="Book Antiqua" w:cs="Arial"/>
        </w:rPr>
        <w:t xml:space="preserve"> </w:t>
      </w:r>
      <w:r w:rsidR="008B28EA" w:rsidRPr="006E40E2">
        <w:rPr>
          <w:rFonts w:ascii="Book Antiqua" w:hAnsi="Book Antiqua" w:cs="Arial"/>
        </w:rPr>
        <w:t>appeal</w:t>
      </w:r>
      <w:r>
        <w:rPr>
          <w:rFonts w:ascii="Book Antiqua" w:hAnsi="Book Antiqua" w:cs="Arial"/>
        </w:rPr>
        <w:t xml:space="preserve"> on human rights grounds.</w:t>
      </w:r>
      <w:r w:rsidR="008B28EA" w:rsidRPr="006E40E2">
        <w:rPr>
          <w:rFonts w:ascii="Book Antiqua" w:hAnsi="Book Antiqua" w:cs="Arial"/>
        </w:rPr>
        <w:t xml:space="preserve"> </w:t>
      </w:r>
    </w:p>
    <w:p w14:paraId="16E930CB" w14:textId="535E4D25" w:rsidR="006517D5" w:rsidRDefault="006517D5" w:rsidP="006517D5">
      <w:pPr>
        <w:pStyle w:val="ListParagraph"/>
        <w:tabs>
          <w:tab w:val="left" w:pos="2520"/>
        </w:tabs>
        <w:jc w:val="both"/>
        <w:rPr>
          <w:rFonts w:ascii="Book Antiqua" w:hAnsi="Book Antiqua" w:cs="Arial"/>
        </w:rPr>
      </w:pPr>
    </w:p>
    <w:p w14:paraId="63C26BEA" w14:textId="294118AF" w:rsidR="006A50B7" w:rsidRPr="0090684D" w:rsidRDefault="00F5544B" w:rsidP="006517D5">
      <w:pPr>
        <w:pStyle w:val="ListParagraph"/>
        <w:tabs>
          <w:tab w:val="left" w:pos="2520"/>
        </w:tabs>
        <w:jc w:val="both"/>
        <w:rPr>
          <w:rFonts w:ascii="Book Antiqua" w:hAnsi="Book Antiqua" w:cs="Arial"/>
        </w:rPr>
      </w:pPr>
      <w:r>
        <w:rPr>
          <w:noProof/>
        </w:rPr>
        <w:drawing>
          <wp:anchor distT="0" distB="0" distL="114300" distR="114300" simplePos="0" relativeHeight="251658240" behindDoc="1" locked="0" layoutInCell="1" allowOverlap="1" wp14:anchorId="719FA2F5" wp14:editId="3EE68C93">
            <wp:simplePos x="0" y="0"/>
            <wp:positionH relativeFrom="column">
              <wp:posOffset>4221480</wp:posOffset>
            </wp:positionH>
            <wp:positionV relativeFrom="paragraph">
              <wp:posOffset>3810</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2DE978" w14:textId="2A3B434B" w:rsidR="0020384A" w:rsidRPr="0090684D" w:rsidRDefault="0020384A" w:rsidP="0020384A">
      <w:pPr>
        <w:tabs>
          <w:tab w:val="left" w:pos="2520"/>
        </w:tabs>
        <w:jc w:val="both"/>
        <w:rPr>
          <w:rFonts w:ascii="Book Antiqua" w:hAnsi="Book Antiqua" w:cs="Arial"/>
        </w:rPr>
      </w:pPr>
      <w:r w:rsidRPr="0090684D">
        <w:rPr>
          <w:rFonts w:ascii="Book Antiqua" w:hAnsi="Book Antiqua" w:cs="Arial"/>
        </w:rPr>
        <w:t>Signed:</w:t>
      </w:r>
      <w:r w:rsidR="006517D5" w:rsidRPr="0090684D">
        <w:rPr>
          <w:rFonts w:ascii="Book Antiqua" w:hAnsi="Book Antiqua" w:cs="Arial"/>
        </w:rPr>
        <w:t xml:space="preserve">  </w:t>
      </w:r>
      <w:r w:rsidR="00A97E1E" w:rsidRPr="00B2368F">
        <w:rPr>
          <w:rFonts w:ascii="Lucida Handwriting" w:hAnsi="Lucida Handwriting" w:cs="Arial"/>
          <w:bCs/>
          <w:sz w:val="20"/>
          <w:szCs w:val="20"/>
        </w:rPr>
        <w:t xml:space="preserve">Ms </w:t>
      </w:r>
      <w:r w:rsidRPr="00B2368F">
        <w:rPr>
          <w:rFonts w:ascii="Lucida Handwriting" w:hAnsi="Lucida Handwriting" w:cs="Arial"/>
          <w:bCs/>
          <w:sz w:val="20"/>
          <w:szCs w:val="20"/>
        </w:rPr>
        <w:t>M</w:t>
      </w:r>
      <w:r w:rsidR="001344DC" w:rsidRPr="00B2368F">
        <w:rPr>
          <w:rFonts w:ascii="Lucida Handwriting" w:hAnsi="Lucida Handwriting" w:cs="Arial"/>
          <w:bCs/>
          <w:sz w:val="20"/>
          <w:szCs w:val="20"/>
        </w:rPr>
        <w:t>elanie</w:t>
      </w:r>
      <w:r w:rsidRPr="00B2368F">
        <w:rPr>
          <w:rFonts w:ascii="Lucida Handwriting" w:hAnsi="Lucida Handwriting" w:cs="Arial"/>
          <w:bCs/>
          <w:sz w:val="20"/>
          <w:szCs w:val="20"/>
        </w:rPr>
        <w:t xml:space="preserve"> Plimmer</w:t>
      </w:r>
      <w:r w:rsidRPr="00B2368F">
        <w:rPr>
          <w:rFonts w:ascii="Book Antiqua" w:hAnsi="Book Antiqua" w:cs="Arial"/>
          <w:b/>
          <w:sz w:val="20"/>
          <w:szCs w:val="20"/>
        </w:rPr>
        <w:tab/>
      </w:r>
      <w:r w:rsidRPr="00B2368F">
        <w:rPr>
          <w:rFonts w:ascii="Book Antiqua" w:hAnsi="Book Antiqua" w:cs="Arial"/>
          <w:b/>
          <w:sz w:val="20"/>
          <w:szCs w:val="20"/>
        </w:rPr>
        <w:tab/>
      </w:r>
      <w:r w:rsidRPr="00B2368F">
        <w:rPr>
          <w:rFonts w:ascii="Book Antiqua" w:hAnsi="Book Antiqua" w:cs="Arial"/>
          <w:b/>
          <w:sz w:val="20"/>
          <w:szCs w:val="20"/>
        </w:rPr>
        <w:tab/>
      </w:r>
      <w:r w:rsidRPr="00B2368F">
        <w:rPr>
          <w:rFonts w:ascii="Book Antiqua" w:hAnsi="Book Antiqua" w:cs="Arial"/>
          <w:b/>
          <w:sz w:val="20"/>
          <w:szCs w:val="20"/>
        </w:rPr>
        <w:tab/>
      </w:r>
      <w:r w:rsidRPr="00B2368F">
        <w:rPr>
          <w:rFonts w:ascii="Book Antiqua" w:hAnsi="Book Antiqua" w:cs="Arial"/>
          <w:b/>
          <w:sz w:val="20"/>
          <w:szCs w:val="20"/>
        </w:rPr>
        <w:tab/>
      </w:r>
      <w:r w:rsidRPr="00B2368F">
        <w:rPr>
          <w:rFonts w:ascii="Book Antiqua" w:hAnsi="Book Antiqua" w:cs="Arial"/>
          <w:b/>
          <w:sz w:val="20"/>
          <w:szCs w:val="20"/>
        </w:rPr>
        <w:tab/>
      </w:r>
      <w:r w:rsidRPr="0090684D">
        <w:rPr>
          <w:rFonts w:ascii="Book Antiqua" w:hAnsi="Book Antiqua" w:cs="Arial"/>
          <w:b/>
        </w:rPr>
        <w:tab/>
      </w:r>
    </w:p>
    <w:p w14:paraId="72627FAD" w14:textId="6128EACF" w:rsidR="0020384A" w:rsidRPr="0090684D" w:rsidRDefault="0020384A" w:rsidP="0020384A">
      <w:pPr>
        <w:tabs>
          <w:tab w:val="left" w:pos="2520"/>
        </w:tabs>
        <w:jc w:val="both"/>
        <w:rPr>
          <w:rFonts w:ascii="Book Antiqua" w:hAnsi="Book Antiqua" w:cs="Arial"/>
          <w:bCs/>
        </w:rPr>
      </w:pPr>
      <w:r w:rsidRPr="0090684D">
        <w:rPr>
          <w:rFonts w:ascii="Book Antiqua" w:hAnsi="Book Antiqua" w:cs="Arial"/>
          <w:bCs/>
        </w:rPr>
        <w:t>Judge of the Upper Tribunal</w:t>
      </w:r>
    </w:p>
    <w:p w14:paraId="47C8FD05" w14:textId="54610672" w:rsidR="0020384A" w:rsidRPr="0090684D" w:rsidRDefault="0020384A" w:rsidP="0020384A">
      <w:pPr>
        <w:tabs>
          <w:tab w:val="left" w:pos="2520"/>
        </w:tabs>
        <w:jc w:val="both"/>
        <w:rPr>
          <w:rFonts w:ascii="Book Antiqua" w:hAnsi="Book Antiqua" w:cs="Arial"/>
        </w:rPr>
      </w:pPr>
    </w:p>
    <w:p w14:paraId="74648FB8" w14:textId="25E9BE55" w:rsidR="00422026" w:rsidRPr="001344DC" w:rsidRDefault="0020384A" w:rsidP="0020384A">
      <w:pPr>
        <w:tabs>
          <w:tab w:val="left" w:pos="2520"/>
        </w:tabs>
        <w:jc w:val="both"/>
        <w:rPr>
          <w:rFonts w:ascii="Book Antiqua" w:hAnsi="Book Antiqua" w:cs="Arial"/>
          <w:bCs/>
        </w:rPr>
      </w:pPr>
      <w:r w:rsidRPr="0090684D">
        <w:rPr>
          <w:rFonts w:ascii="Book Antiqua" w:hAnsi="Book Antiqua" w:cs="Arial"/>
        </w:rPr>
        <w:t>Date</w:t>
      </w:r>
      <w:r w:rsidR="006A50B7">
        <w:rPr>
          <w:rFonts w:ascii="Book Antiqua" w:hAnsi="Book Antiqua" w:cs="Arial"/>
        </w:rPr>
        <w:t>d</w:t>
      </w:r>
      <w:r w:rsidRPr="0090684D">
        <w:rPr>
          <w:rFonts w:ascii="Book Antiqua" w:hAnsi="Book Antiqua" w:cs="Arial"/>
        </w:rPr>
        <w:t>:</w:t>
      </w:r>
      <w:r w:rsidR="006A50B7">
        <w:rPr>
          <w:rFonts w:ascii="Book Antiqua" w:hAnsi="Book Antiqua" w:cs="Arial"/>
          <w:bCs/>
        </w:rPr>
        <w:t xml:space="preserve"> </w:t>
      </w:r>
      <w:r w:rsidR="00B2368F">
        <w:rPr>
          <w:rFonts w:ascii="Book Antiqua" w:hAnsi="Book Antiqua" w:cs="Arial"/>
          <w:bCs/>
        </w:rPr>
        <w:t>2</w:t>
      </w:r>
      <w:r w:rsidR="009054E0">
        <w:rPr>
          <w:rFonts w:ascii="Book Antiqua" w:hAnsi="Book Antiqua" w:cs="Arial"/>
          <w:bCs/>
        </w:rPr>
        <w:t>2</w:t>
      </w:r>
      <w:r w:rsidR="008B28EA">
        <w:rPr>
          <w:rFonts w:ascii="Book Antiqua" w:hAnsi="Book Antiqua" w:cs="Arial"/>
          <w:bCs/>
        </w:rPr>
        <w:t xml:space="preserve"> Novem</w:t>
      </w:r>
      <w:r w:rsidR="001433F6">
        <w:rPr>
          <w:rFonts w:ascii="Book Antiqua" w:hAnsi="Book Antiqua" w:cs="Arial"/>
          <w:bCs/>
        </w:rPr>
        <w:t>ber</w:t>
      </w:r>
      <w:r w:rsidR="0033168C" w:rsidRPr="001344DC">
        <w:rPr>
          <w:rFonts w:ascii="Book Antiqua" w:hAnsi="Book Antiqua" w:cs="Arial"/>
          <w:bCs/>
        </w:rPr>
        <w:t xml:space="preserve"> </w:t>
      </w:r>
      <w:r w:rsidR="001D75A6" w:rsidRPr="001344DC">
        <w:rPr>
          <w:rFonts w:ascii="Book Antiqua" w:hAnsi="Book Antiqua" w:cs="Arial"/>
          <w:bCs/>
        </w:rPr>
        <w:t>20</w:t>
      </w:r>
      <w:r w:rsidR="00C06052" w:rsidRPr="001344DC">
        <w:rPr>
          <w:rFonts w:ascii="Book Antiqua" w:hAnsi="Book Antiqua" w:cs="Arial"/>
          <w:bCs/>
        </w:rPr>
        <w:t>20</w:t>
      </w:r>
    </w:p>
    <w:sectPr w:rsidR="00422026" w:rsidRPr="001344DC" w:rsidSect="007A1200">
      <w:headerReference w:type="default" r:id="rId12"/>
      <w:footerReference w:type="even" r:id="rId13"/>
      <w:footerReference w:type="default" r:id="rId14"/>
      <w:footerReference w:type="first" r:id="rId15"/>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7BE9A" w14:textId="77777777" w:rsidR="004F51E4" w:rsidRDefault="004F51E4">
      <w:r>
        <w:separator/>
      </w:r>
    </w:p>
  </w:endnote>
  <w:endnote w:type="continuationSeparator" w:id="0">
    <w:p w14:paraId="0FB33286" w14:textId="77777777" w:rsidR="004F51E4" w:rsidRDefault="004F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Arial Unicode MS"/>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F27A5" w14:textId="77777777" w:rsidR="00B32FEA" w:rsidRDefault="00B32FEA" w:rsidP="002038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80E4EC" w14:textId="77777777" w:rsidR="00B32FEA" w:rsidRDefault="00B32FEA" w:rsidP="002038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297238"/>
      <w:docPartObj>
        <w:docPartGallery w:val="Page Numbers (Bottom of Page)"/>
        <w:docPartUnique/>
      </w:docPartObj>
    </w:sdtPr>
    <w:sdtEndPr>
      <w:rPr>
        <w:rFonts w:ascii="Book Antiqua" w:hAnsi="Book Antiqua"/>
        <w:noProof/>
      </w:rPr>
    </w:sdtEndPr>
    <w:sdtContent>
      <w:p w14:paraId="25EA3144" w14:textId="150D2392" w:rsidR="0050463F" w:rsidRPr="007A1200" w:rsidRDefault="0050463F">
        <w:pPr>
          <w:pStyle w:val="Footer"/>
          <w:jc w:val="center"/>
          <w:rPr>
            <w:rFonts w:ascii="Book Antiqua" w:hAnsi="Book Antiqua"/>
          </w:rPr>
        </w:pPr>
        <w:r w:rsidRPr="007A1200">
          <w:rPr>
            <w:rFonts w:ascii="Book Antiqua" w:hAnsi="Book Antiqua"/>
          </w:rPr>
          <w:fldChar w:fldCharType="begin"/>
        </w:r>
        <w:r w:rsidRPr="007A1200">
          <w:rPr>
            <w:rFonts w:ascii="Book Antiqua" w:hAnsi="Book Antiqua"/>
          </w:rPr>
          <w:instrText xml:space="preserve"> PAGE   \* MERGEFORMAT </w:instrText>
        </w:r>
        <w:r w:rsidRPr="007A1200">
          <w:rPr>
            <w:rFonts w:ascii="Book Antiqua" w:hAnsi="Book Antiqua"/>
          </w:rPr>
          <w:fldChar w:fldCharType="separate"/>
        </w:r>
        <w:r w:rsidRPr="007A1200">
          <w:rPr>
            <w:rFonts w:ascii="Book Antiqua" w:hAnsi="Book Antiqua"/>
            <w:noProof/>
          </w:rPr>
          <w:t>2</w:t>
        </w:r>
        <w:r w:rsidRPr="007A1200">
          <w:rPr>
            <w:rFonts w:ascii="Book Antiqua" w:hAnsi="Book Antiqua"/>
            <w:noProof/>
          </w:rPr>
          <w:fldChar w:fldCharType="end"/>
        </w:r>
      </w:p>
    </w:sdtContent>
  </w:sdt>
  <w:p w14:paraId="2550C3B8" w14:textId="77777777" w:rsidR="00B32FEA" w:rsidRDefault="00B32FEA" w:rsidP="0020384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97C76" w14:textId="7B9CEAB9" w:rsidR="0050463F" w:rsidRPr="007A1200" w:rsidRDefault="0050463F" w:rsidP="0050463F">
    <w:pPr>
      <w:pStyle w:val="Footer"/>
      <w:jc w:val="center"/>
      <w:rPr>
        <w:rFonts w:ascii="Book Antiqua" w:hAnsi="Book Antiqua"/>
        <w:b/>
      </w:rPr>
    </w:pPr>
    <w:r w:rsidRPr="007A1200">
      <w:rPr>
        <w:rFonts w:ascii="Book Antiqua" w:hAnsi="Book Antiqua"/>
        <w:b/>
      </w:rPr>
      <w:t>©CROWN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3E9EE" w14:textId="77777777" w:rsidR="004F51E4" w:rsidRDefault="004F51E4">
      <w:r>
        <w:separator/>
      </w:r>
    </w:p>
  </w:footnote>
  <w:footnote w:type="continuationSeparator" w:id="0">
    <w:p w14:paraId="4642B9FA" w14:textId="77777777" w:rsidR="004F51E4" w:rsidRDefault="004F5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9CCE" w14:textId="1F222EDA" w:rsidR="0050463F" w:rsidRDefault="007A1200" w:rsidP="0050463F">
    <w:pPr>
      <w:pStyle w:val="Header"/>
      <w:jc w:val="right"/>
      <w:rPr>
        <w:rFonts w:ascii="Book Antiqua" w:hAnsi="Book Antiqua"/>
        <w:sz w:val="16"/>
        <w:szCs w:val="16"/>
      </w:rPr>
    </w:pPr>
    <w:r>
      <w:rPr>
        <w:rFonts w:ascii="Book Antiqua" w:hAnsi="Book Antiqua"/>
        <w:sz w:val="16"/>
        <w:szCs w:val="16"/>
      </w:rPr>
      <w:t xml:space="preserve">Appeal Number: </w:t>
    </w:r>
    <w:r w:rsidR="0050463F" w:rsidRPr="007A1200">
      <w:rPr>
        <w:rFonts w:ascii="Book Antiqua" w:hAnsi="Book Antiqua"/>
        <w:sz w:val="16"/>
        <w:szCs w:val="16"/>
      </w:rPr>
      <w:t>HU/18277/2019</w:t>
    </w:r>
  </w:p>
  <w:p w14:paraId="7D6C2CDF" w14:textId="77777777" w:rsidR="007A1200" w:rsidRPr="007A1200" w:rsidRDefault="007A1200" w:rsidP="0050463F">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153F"/>
    <w:multiLevelType w:val="hybridMultilevel"/>
    <w:tmpl w:val="344A571C"/>
    <w:lvl w:ilvl="0" w:tplc="814243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F426CB"/>
    <w:multiLevelType w:val="hybridMultilevel"/>
    <w:tmpl w:val="28C0A39C"/>
    <w:lvl w:ilvl="0" w:tplc="21729E94">
      <w:start w:val="1"/>
      <w:numFmt w:val="lowerRoman"/>
      <w:lvlText w:val="(%1)"/>
      <w:lvlJc w:val="left"/>
      <w:pPr>
        <w:ind w:left="2320" w:hanging="720"/>
      </w:pPr>
      <w:rPr>
        <w:rFonts w:hint="default"/>
      </w:rPr>
    </w:lvl>
    <w:lvl w:ilvl="1" w:tplc="08090019" w:tentative="1">
      <w:start w:val="1"/>
      <w:numFmt w:val="lowerLetter"/>
      <w:lvlText w:val="%2."/>
      <w:lvlJc w:val="left"/>
      <w:pPr>
        <w:ind w:left="2680" w:hanging="360"/>
      </w:pPr>
    </w:lvl>
    <w:lvl w:ilvl="2" w:tplc="0809001B" w:tentative="1">
      <w:start w:val="1"/>
      <w:numFmt w:val="lowerRoman"/>
      <w:lvlText w:val="%3."/>
      <w:lvlJc w:val="right"/>
      <w:pPr>
        <w:ind w:left="3400" w:hanging="180"/>
      </w:pPr>
    </w:lvl>
    <w:lvl w:ilvl="3" w:tplc="0809000F" w:tentative="1">
      <w:start w:val="1"/>
      <w:numFmt w:val="decimal"/>
      <w:lvlText w:val="%4."/>
      <w:lvlJc w:val="left"/>
      <w:pPr>
        <w:ind w:left="4120" w:hanging="360"/>
      </w:pPr>
    </w:lvl>
    <w:lvl w:ilvl="4" w:tplc="08090019" w:tentative="1">
      <w:start w:val="1"/>
      <w:numFmt w:val="lowerLetter"/>
      <w:lvlText w:val="%5."/>
      <w:lvlJc w:val="left"/>
      <w:pPr>
        <w:ind w:left="4840" w:hanging="360"/>
      </w:pPr>
    </w:lvl>
    <w:lvl w:ilvl="5" w:tplc="0809001B" w:tentative="1">
      <w:start w:val="1"/>
      <w:numFmt w:val="lowerRoman"/>
      <w:lvlText w:val="%6."/>
      <w:lvlJc w:val="right"/>
      <w:pPr>
        <w:ind w:left="5560" w:hanging="180"/>
      </w:pPr>
    </w:lvl>
    <w:lvl w:ilvl="6" w:tplc="0809000F" w:tentative="1">
      <w:start w:val="1"/>
      <w:numFmt w:val="decimal"/>
      <w:lvlText w:val="%7."/>
      <w:lvlJc w:val="left"/>
      <w:pPr>
        <w:ind w:left="6280" w:hanging="360"/>
      </w:pPr>
    </w:lvl>
    <w:lvl w:ilvl="7" w:tplc="08090019" w:tentative="1">
      <w:start w:val="1"/>
      <w:numFmt w:val="lowerLetter"/>
      <w:lvlText w:val="%8."/>
      <w:lvlJc w:val="left"/>
      <w:pPr>
        <w:ind w:left="7000" w:hanging="360"/>
      </w:pPr>
    </w:lvl>
    <w:lvl w:ilvl="8" w:tplc="0809001B" w:tentative="1">
      <w:start w:val="1"/>
      <w:numFmt w:val="lowerRoman"/>
      <w:lvlText w:val="%9."/>
      <w:lvlJc w:val="right"/>
      <w:pPr>
        <w:ind w:left="7720" w:hanging="180"/>
      </w:pPr>
    </w:lvl>
  </w:abstractNum>
  <w:abstractNum w:abstractNumId="2" w15:restartNumberingAfterBreak="0">
    <w:nsid w:val="24091E21"/>
    <w:multiLevelType w:val="multilevel"/>
    <w:tmpl w:val="FF3E7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55B01"/>
    <w:multiLevelType w:val="hybridMultilevel"/>
    <w:tmpl w:val="57524E60"/>
    <w:lvl w:ilvl="0" w:tplc="33022FBC">
      <w:start w:val="1"/>
      <w:numFmt w:val="decimal"/>
      <w:lvlText w:val="%1."/>
      <w:lvlJc w:val="left"/>
      <w:pPr>
        <w:ind w:left="1280" w:hanging="5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DD"/>
    <w:rsid w:val="000003D7"/>
    <w:rsid w:val="00000895"/>
    <w:rsid w:val="00001D5A"/>
    <w:rsid w:val="00002CDC"/>
    <w:rsid w:val="000047D5"/>
    <w:rsid w:val="00007D1A"/>
    <w:rsid w:val="0001264F"/>
    <w:rsid w:val="000135BF"/>
    <w:rsid w:val="0001377E"/>
    <w:rsid w:val="0001754F"/>
    <w:rsid w:val="00020E4A"/>
    <w:rsid w:val="000228CD"/>
    <w:rsid w:val="00023F86"/>
    <w:rsid w:val="00024627"/>
    <w:rsid w:val="0002677B"/>
    <w:rsid w:val="00031C92"/>
    <w:rsid w:val="000323E2"/>
    <w:rsid w:val="00033538"/>
    <w:rsid w:val="00033706"/>
    <w:rsid w:val="00040F6B"/>
    <w:rsid w:val="00042BCA"/>
    <w:rsid w:val="0004580F"/>
    <w:rsid w:val="0004753E"/>
    <w:rsid w:val="00047830"/>
    <w:rsid w:val="00051E69"/>
    <w:rsid w:val="00065F17"/>
    <w:rsid w:val="00067F9C"/>
    <w:rsid w:val="00074E3A"/>
    <w:rsid w:val="00080DE1"/>
    <w:rsid w:val="00084E08"/>
    <w:rsid w:val="00085956"/>
    <w:rsid w:val="00087B51"/>
    <w:rsid w:val="000900BE"/>
    <w:rsid w:val="00090DE5"/>
    <w:rsid w:val="000A0620"/>
    <w:rsid w:val="000A2E4A"/>
    <w:rsid w:val="000A304D"/>
    <w:rsid w:val="000A3088"/>
    <w:rsid w:val="000A32DC"/>
    <w:rsid w:val="000A3CC6"/>
    <w:rsid w:val="000A7A02"/>
    <w:rsid w:val="000B5658"/>
    <w:rsid w:val="000C06D9"/>
    <w:rsid w:val="000C6160"/>
    <w:rsid w:val="000D0B91"/>
    <w:rsid w:val="000D0ED2"/>
    <w:rsid w:val="000D234A"/>
    <w:rsid w:val="000D2888"/>
    <w:rsid w:val="000D40E7"/>
    <w:rsid w:val="000D6A19"/>
    <w:rsid w:val="000E0A02"/>
    <w:rsid w:val="000E2451"/>
    <w:rsid w:val="000E268F"/>
    <w:rsid w:val="000E2987"/>
    <w:rsid w:val="000E2F77"/>
    <w:rsid w:val="000E455A"/>
    <w:rsid w:val="000E4816"/>
    <w:rsid w:val="000E78FD"/>
    <w:rsid w:val="000E7CF8"/>
    <w:rsid w:val="000F224F"/>
    <w:rsid w:val="000F31CA"/>
    <w:rsid w:val="000F7DC5"/>
    <w:rsid w:val="00102762"/>
    <w:rsid w:val="00103708"/>
    <w:rsid w:val="00104DF0"/>
    <w:rsid w:val="001052A3"/>
    <w:rsid w:val="00106437"/>
    <w:rsid w:val="001109F8"/>
    <w:rsid w:val="001123AF"/>
    <w:rsid w:val="001125C9"/>
    <w:rsid w:val="0011364C"/>
    <w:rsid w:val="001171AE"/>
    <w:rsid w:val="001172B1"/>
    <w:rsid w:val="00117B45"/>
    <w:rsid w:val="00120D9D"/>
    <w:rsid w:val="0012758A"/>
    <w:rsid w:val="00127610"/>
    <w:rsid w:val="00127ED1"/>
    <w:rsid w:val="001302B0"/>
    <w:rsid w:val="00130D28"/>
    <w:rsid w:val="0013374D"/>
    <w:rsid w:val="001344DC"/>
    <w:rsid w:val="00135AAC"/>
    <w:rsid w:val="00137D37"/>
    <w:rsid w:val="00140DC0"/>
    <w:rsid w:val="001413AA"/>
    <w:rsid w:val="0014153D"/>
    <w:rsid w:val="00142873"/>
    <w:rsid w:val="001433F6"/>
    <w:rsid w:val="00143EE8"/>
    <w:rsid w:val="0014504D"/>
    <w:rsid w:val="001460A2"/>
    <w:rsid w:val="00147148"/>
    <w:rsid w:val="00153D1B"/>
    <w:rsid w:val="00154117"/>
    <w:rsid w:val="0015604D"/>
    <w:rsid w:val="00156145"/>
    <w:rsid w:val="00162BFC"/>
    <w:rsid w:val="00163576"/>
    <w:rsid w:val="00165F7B"/>
    <w:rsid w:val="001663CB"/>
    <w:rsid w:val="00167135"/>
    <w:rsid w:val="001706E4"/>
    <w:rsid w:val="001814FA"/>
    <w:rsid w:val="0018391A"/>
    <w:rsid w:val="0018419F"/>
    <w:rsid w:val="00184F1A"/>
    <w:rsid w:val="00185AC2"/>
    <w:rsid w:val="001872F0"/>
    <w:rsid w:val="0019092C"/>
    <w:rsid w:val="0019496C"/>
    <w:rsid w:val="00194B97"/>
    <w:rsid w:val="00195771"/>
    <w:rsid w:val="0019610B"/>
    <w:rsid w:val="00197445"/>
    <w:rsid w:val="00197912"/>
    <w:rsid w:val="001A0250"/>
    <w:rsid w:val="001A02F4"/>
    <w:rsid w:val="001A0D58"/>
    <w:rsid w:val="001A147E"/>
    <w:rsid w:val="001A5E83"/>
    <w:rsid w:val="001A7F10"/>
    <w:rsid w:val="001B22D7"/>
    <w:rsid w:val="001B2B86"/>
    <w:rsid w:val="001B3250"/>
    <w:rsid w:val="001B3766"/>
    <w:rsid w:val="001B3F5F"/>
    <w:rsid w:val="001B50F6"/>
    <w:rsid w:val="001B55EB"/>
    <w:rsid w:val="001B6831"/>
    <w:rsid w:val="001B7541"/>
    <w:rsid w:val="001C19C5"/>
    <w:rsid w:val="001C5366"/>
    <w:rsid w:val="001C706D"/>
    <w:rsid w:val="001C75B6"/>
    <w:rsid w:val="001C771E"/>
    <w:rsid w:val="001C7D61"/>
    <w:rsid w:val="001D1DFC"/>
    <w:rsid w:val="001D5351"/>
    <w:rsid w:val="001D75A6"/>
    <w:rsid w:val="001D7B83"/>
    <w:rsid w:val="001E0FB2"/>
    <w:rsid w:val="001E2144"/>
    <w:rsid w:val="001E6493"/>
    <w:rsid w:val="001E6BD7"/>
    <w:rsid w:val="001F1282"/>
    <w:rsid w:val="001F2802"/>
    <w:rsid w:val="001F412A"/>
    <w:rsid w:val="001F448D"/>
    <w:rsid w:val="001F5340"/>
    <w:rsid w:val="001F71FC"/>
    <w:rsid w:val="001F77D1"/>
    <w:rsid w:val="001F784E"/>
    <w:rsid w:val="002029FE"/>
    <w:rsid w:val="002032B1"/>
    <w:rsid w:val="0020384A"/>
    <w:rsid w:val="00205158"/>
    <w:rsid w:val="0020569D"/>
    <w:rsid w:val="00206217"/>
    <w:rsid w:val="00207D8D"/>
    <w:rsid w:val="0021261F"/>
    <w:rsid w:val="0021265F"/>
    <w:rsid w:val="0022299D"/>
    <w:rsid w:val="002250BF"/>
    <w:rsid w:val="0022719C"/>
    <w:rsid w:val="00232DF0"/>
    <w:rsid w:val="00236513"/>
    <w:rsid w:val="00240493"/>
    <w:rsid w:val="0024127C"/>
    <w:rsid w:val="00251276"/>
    <w:rsid w:val="00251334"/>
    <w:rsid w:val="002513AC"/>
    <w:rsid w:val="0025290D"/>
    <w:rsid w:val="0025331C"/>
    <w:rsid w:val="00254206"/>
    <w:rsid w:val="00255D52"/>
    <w:rsid w:val="00255E1D"/>
    <w:rsid w:val="00260DB5"/>
    <w:rsid w:val="00260FCF"/>
    <w:rsid w:val="00262198"/>
    <w:rsid w:val="0026467C"/>
    <w:rsid w:val="002662C3"/>
    <w:rsid w:val="0026655A"/>
    <w:rsid w:val="00267DC8"/>
    <w:rsid w:val="00271CF1"/>
    <w:rsid w:val="00272306"/>
    <w:rsid w:val="0027270C"/>
    <w:rsid w:val="00273BA0"/>
    <w:rsid w:val="00274C70"/>
    <w:rsid w:val="002759ED"/>
    <w:rsid w:val="00275F4D"/>
    <w:rsid w:val="00276B14"/>
    <w:rsid w:val="00276C2E"/>
    <w:rsid w:val="0028037F"/>
    <w:rsid w:val="0028121D"/>
    <w:rsid w:val="002814C3"/>
    <w:rsid w:val="00282E68"/>
    <w:rsid w:val="00284BF6"/>
    <w:rsid w:val="00286828"/>
    <w:rsid w:val="00287BFB"/>
    <w:rsid w:val="00290461"/>
    <w:rsid w:val="002946BC"/>
    <w:rsid w:val="0029537A"/>
    <w:rsid w:val="00296703"/>
    <w:rsid w:val="002A00F9"/>
    <w:rsid w:val="002A0F48"/>
    <w:rsid w:val="002A0F5B"/>
    <w:rsid w:val="002A2838"/>
    <w:rsid w:val="002A30BC"/>
    <w:rsid w:val="002A334C"/>
    <w:rsid w:val="002A79D9"/>
    <w:rsid w:val="002B40DA"/>
    <w:rsid w:val="002B721B"/>
    <w:rsid w:val="002C04D0"/>
    <w:rsid w:val="002C1D78"/>
    <w:rsid w:val="002C2605"/>
    <w:rsid w:val="002C287B"/>
    <w:rsid w:val="002C289B"/>
    <w:rsid w:val="002D0FAA"/>
    <w:rsid w:val="002D1159"/>
    <w:rsid w:val="002D1C79"/>
    <w:rsid w:val="002D4D8B"/>
    <w:rsid w:val="002D4E06"/>
    <w:rsid w:val="002D5624"/>
    <w:rsid w:val="002D570F"/>
    <w:rsid w:val="002E331B"/>
    <w:rsid w:val="002E3DA8"/>
    <w:rsid w:val="002E4EED"/>
    <w:rsid w:val="002E5B3C"/>
    <w:rsid w:val="002F1BE4"/>
    <w:rsid w:val="002F2A2E"/>
    <w:rsid w:val="002F2C43"/>
    <w:rsid w:val="002F2CED"/>
    <w:rsid w:val="002F3695"/>
    <w:rsid w:val="002F3D38"/>
    <w:rsid w:val="002F40D5"/>
    <w:rsid w:val="002F774F"/>
    <w:rsid w:val="003016CA"/>
    <w:rsid w:val="00302067"/>
    <w:rsid w:val="00302D70"/>
    <w:rsid w:val="00306A04"/>
    <w:rsid w:val="00306C20"/>
    <w:rsid w:val="00312D7B"/>
    <w:rsid w:val="00315D2B"/>
    <w:rsid w:val="003167B8"/>
    <w:rsid w:val="00317B10"/>
    <w:rsid w:val="00321880"/>
    <w:rsid w:val="00322FFB"/>
    <w:rsid w:val="00326537"/>
    <w:rsid w:val="00330857"/>
    <w:rsid w:val="003308E5"/>
    <w:rsid w:val="0033168C"/>
    <w:rsid w:val="0033189E"/>
    <w:rsid w:val="003323A8"/>
    <w:rsid w:val="0033328F"/>
    <w:rsid w:val="003373DB"/>
    <w:rsid w:val="00341B61"/>
    <w:rsid w:val="003434CF"/>
    <w:rsid w:val="003436EA"/>
    <w:rsid w:val="00344960"/>
    <w:rsid w:val="0034500D"/>
    <w:rsid w:val="00346086"/>
    <w:rsid w:val="003477F2"/>
    <w:rsid w:val="00351F03"/>
    <w:rsid w:val="0035435C"/>
    <w:rsid w:val="00363638"/>
    <w:rsid w:val="003645AB"/>
    <w:rsid w:val="003656B7"/>
    <w:rsid w:val="00365D4D"/>
    <w:rsid w:val="00366E27"/>
    <w:rsid w:val="00372989"/>
    <w:rsid w:val="003740D1"/>
    <w:rsid w:val="00375ECA"/>
    <w:rsid w:val="00376707"/>
    <w:rsid w:val="00376CE1"/>
    <w:rsid w:val="003777F7"/>
    <w:rsid w:val="00377A63"/>
    <w:rsid w:val="00377C1F"/>
    <w:rsid w:val="00385D28"/>
    <w:rsid w:val="003866F6"/>
    <w:rsid w:val="00386E50"/>
    <w:rsid w:val="00387285"/>
    <w:rsid w:val="003904D4"/>
    <w:rsid w:val="003929CB"/>
    <w:rsid w:val="00397B57"/>
    <w:rsid w:val="003A093B"/>
    <w:rsid w:val="003A0B95"/>
    <w:rsid w:val="003A1628"/>
    <w:rsid w:val="003A3B33"/>
    <w:rsid w:val="003A3C66"/>
    <w:rsid w:val="003A3E7E"/>
    <w:rsid w:val="003A47DC"/>
    <w:rsid w:val="003A5B43"/>
    <w:rsid w:val="003A7B04"/>
    <w:rsid w:val="003A7D11"/>
    <w:rsid w:val="003B0506"/>
    <w:rsid w:val="003B0E6B"/>
    <w:rsid w:val="003B275C"/>
    <w:rsid w:val="003B41F7"/>
    <w:rsid w:val="003B5E84"/>
    <w:rsid w:val="003B67F7"/>
    <w:rsid w:val="003B6A3F"/>
    <w:rsid w:val="003B7220"/>
    <w:rsid w:val="003C2560"/>
    <w:rsid w:val="003C37F7"/>
    <w:rsid w:val="003C5A1E"/>
    <w:rsid w:val="003C6FA3"/>
    <w:rsid w:val="003C7466"/>
    <w:rsid w:val="003C7761"/>
    <w:rsid w:val="003D144A"/>
    <w:rsid w:val="003D2B15"/>
    <w:rsid w:val="003D2E7D"/>
    <w:rsid w:val="003D6ED4"/>
    <w:rsid w:val="003E059A"/>
    <w:rsid w:val="003E180F"/>
    <w:rsid w:val="003E37CA"/>
    <w:rsid w:val="003E4C58"/>
    <w:rsid w:val="003E5C8F"/>
    <w:rsid w:val="003E7C2B"/>
    <w:rsid w:val="003F1502"/>
    <w:rsid w:val="003F1E9F"/>
    <w:rsid w:val="003F5D59"/>
    <w:rsid w:val="003F5DA2"/>
    <w:rsid w:val="003F651F"/>
    <w:rsid w:val="003F66F2"/>
    <w:rsid w:val="00400F54"/>
    <w:rsid w:val="00403E81"/>
    <w:rsid w:val="00406C34"/>
    <w:rsid w:val="00411AD3"/>
    <w:rsid w:val="0041505E"/>
    <w:rsid w:val="0041525C"/>
    <w:rsid w:val="004166E3"/>
    <w:rsid w:val="004212F8"/>
    <w:rsid w:val="00422026"/>
    <w:rsid w:val="0042282A"/>
    <w:rsid w:val="004236E7"/>
    <w:rsid w:val="004247F4"/>
    <w:rsid w:val="00424E90"/>
    <w:rsid w:val="00426CB4"/>
    <w:rsid w:val="00426D78"/>
    <w:rsid w:val="0042784F"/>
    <w:rsid w:val="004303D6"/>
    <w:rsid w:val="004324A8"/>
    <w:rsid w:val="0043495E"/>
    <w:rsid w:val="00437A3E"/>
    <w:rsid w:val="00440CD6"/>
    <w:rsid w:val="00441EE9"/>
    <w:rsid w:val="004450BD"/>
    <w:rsid w:val="004465BE"/>
    <w:rsid w:val="00447F62"/>
    <w:rsid w:val="00451711"/>
    <w:rsid w:val="00452A4F"/>
    <w:rsid w:val="00453F30"/>
    <w:rsid w:val="0045429B"/>
    <w:rsid w:val="00457BFE"/>
    <w:rsid w:val="00457C05"/>
    <w:rsid w:val="00461433"/>
    <w:rsid w:val="00462D78"/>
    <w:rsid w:val="004635D4"/>
    <w:rsid w:val="00464C1B"/>
    <w:rsid w:val="0046546A"/>
    <w:rsid w:val="004658AE"/>
    <w:rsid w:val="00465C94"/>
    <w:rsid w:val="004707A9"/>
    <w:rsid w:val="00470FCB"/>
    <w:rsid w:val="00473405"/>
    <w:rsid w:val="00473C8C"/>
    <w:rsid w:val="00475102"/>
    <w:rsid w:val="00481719"/>
    <w:rsid w:val="0048718C"/>
    <w:rsid w:val="00491A04"/>
    <w:rsid w:val="00493D11"/>
    <w:rsid w:val="004949F7"/>
    <w:rsid w:val="004A00BA"/>
    <w:rsid w:val="004A0D4B"/>
    <w:rsid w:val="004A1598"/>
    <w:rsid w:val="004A4112"/>
    <w:rsid w:val="004A4C25"/>
    <w:rsid w:val="004A4CE9"/>
    <w:rsid w:val="004A52BD"/>
    <w:rsid w:val="004A6AA0"/>
    <w:rsid w:val="004A719C"/>
    <w:rsid w:val="004A7425"/>
    <w:rsid w:val="004A776E"/>
    <w:rsid w:val="004A7EE9"/>
    <w:rsid w:val="004B1039"/>
    <w:rsid w:val="004B3016"/>
    <w:rsid w:val="004B3C4D"/>
    <w:rsid w:val="004B456A"/>
    <w:rsid w:val="004B45CB"/>
    <w:rsid w:val="004B4CF6"/>
    <w:rsid w:val="004B6B5F"/>
    <w:rsid w:val="004C20BA"/>
    <w:rsid w:val="004C2F8B"/>
    <w:rsid w:val="004C6BC5"/>
    <w:rsid w:val="004D1C82"/>
    <w:rsid w:val="004D7D34"/>
    <w:rsid w:val="004E0AB3"/>
    <w:rsid w:val="004E3382"/>
    <w:rsid w:val="004E5DCC"/>
    <w:rsid w:val="004F163B"/>
    <w:rsid w:val="004F21F8"/>
    <w:rsid w:val="004F31A7"/>
    <w:rsid w:val="004F51E4"/>
    <w:rsid w:val="004F7148"/>
    <w:rsid w:val="004F79E6"/>
    <w:rsid w:val="004F7EED"/>
    <w:rsid w:val="00501309"/>
    <w:rsid w:val="00502410"/>
    <w:rsid w:val="005042B3"/>
    <w:rsid w:val="0050463F"/>
    <w:rsid w:val="00504A81"/>
    <w:rsid w:val="00506634"/>
    <w:rsid w:val="00507903"/>
    <w:rsid w:val="00512344"/>
    <w:rsid w:val="00513778"/>
    <w:rsid w:val="00513A31"/>
    <w:rsid w:val="00514018"/>
    <w:rsid w:val="005143E8"/>
    <w:rsid w:val="00515436"/>
    <w:rsid w:val="0051747A"/>
    <w:rsid w:val="005215A2"/>
    <w:rsid w:val="005217B0"/>
    <w:rsid w:val="005219A3"/>
    <w:rsid w:val="00521D21"/>
    <w:rsid w:val="00522C7F"/>
    <w:rsid w:val="00524512"/>
    <w:rsid w:val="00524942"/>
    <w:rsid w:val="00526B14"/>
    <w:rsid w:val="0053154D"/>
    <w:rsid w:val="005351CD"/>
    <w:rsid w:val="0053596F"/>
    <w:rsid w:val="005365DB"/>
    <w:rsid w:val="005367E2"/>
    <w:rsid w:val="00537FCC"/>
    <w:rsid w:val="005404B1"/>
    <w:rsid w:val="00540973"/>
    <w:rsid w:val="005420C0"/>
    <w:rsid w:val="00542848"/>
    <w:rsid w:val="005431CB"/>
    <w:rsid w:val="00544DCB"/>
    <w:rsid w:val="00544E34"/>
    <w:rsid w:val="005452E5"/>
    <w:rsid w:val="005465A6"/>
    <w:rsid w:val="00546779"/>
    <w:rsid w:val="00547ACD"/>
    <w:rsid w:val="00555316"/>
    <w:rsid w:val="005562D8"/>
    <w:rsid w:val="005564F7"/>
    <w:rsid w:val="00557E35"/>
    <w:rsid w:val="005602C0"/>
    <w:rsid w:val="00562E8E"/>
    <w:rsid w:val="005721C7"/>
    <w:rsid w:val="00577EA7"/>
    <w:rsid w:val="005814D0"/>
    <w:rsid w:val="00586CA2"/>
    <w:rsid w:val="005871AE"/>
    <w:rsid w:val="0059480A"/>
    <w:rsid w:val="005A17E7"/>
    <w:rsid w:val="005A4C7A"/>
    <w:rsid w:val="005B1137"/>
    <w:rsid w:val="005B48C8"/>
    <w:rsid w:val="005B4CA8"/>
    <w:rsid w:val="005B4EA6"/>
    <w:rsid w:val="005C06FA"/>
    <w:rsid w:val="005C1B11"/>
    <w:rsid w:val="005C1BA9"/>
    <w:rsid w:val="005C2200"/>
    <w:rsid w:val="005C411F"/>
    <w:rsid w:val="005C58EA"/>
    <w:rsid w:val="005D0356"/>
    <w:rsid w:val="005D23E1"/>
    <w:rsid w:val="005D3ECF"/>
    <w:rsid w:val="005D5307"/>
    <w:rsid w:val="005D580D"/>
    <w:rsid w:val="005E137D"/>
    <w:rsid w:val="005E2BB8"/>
    <w:rsid w:val="005E3FDB"/>
    <w:rsid w:val="005E590D"/>
    <w:rsid w:val="005E5CC5"/>
    <w:rsid w:val="005E7425"/>
    <w:rsid w:val="005F23C7"/>
    <w:rsid w:val="005F36E5"/>
    <w:rsid w:val="005F4A3D"/>
    <w:rsid w:val="005F52C8"/>
    <w:rsid w:val="00601875"/>
    <w:rsid w:val="0060336F"/>
    <w:rsid w:val="0060405C"/>
    <w:rsid w:val="006138B3"/>
    <w:rsid w:val="00613B23"/>
    <w:rsid w:val="00613F0F"/>
    <w:rsid w:val="00617C2B"/>
    <w:rsid w:val="00621816"/>
    <w:rsid w:val="00623E5A"/>
    <w:rsid w:val="00626F32"/>
    <w:rsid w:val="006308E3"/>
    <w:rsid w:val="00630D37"/>
    <w:rsid w:val="00631143"/>
    <w:rsid w:val="00631CF3"/>
    <w:rsid w:val="00634F21"/>
    <w:rsid w:val="006378E5"/>
    <w:rsid w:val="00640A8C"/>
    <w:rsid w:val="00640C72"/>
    <w:rsid w:val="00642FB9"/>
    <w:rsid w:val="00644846"/>
    <w:rsid w:val="006453F7"/>
    <w:rsid w:val="006459B0"/>
    <w:rsid w:val="00646941"/>
    <w:rsid w:val="0064787C"/>
    <w:rsid w:val="00651001"/>
    <w:rsid w:val="006517D5"/>
    <w:rsid w:val="00654F7F"/>
    <w:rsid w:val="00655C27"/>
    <w:rsid w:val="006575C3"/>
    <w:rsid w:val="00660C62"/>
    <w:rsid w:val="00661FFB"/>
    <w:rsid w:val="006622EF"/>
    <w:rsid w:val="006627A5"/>
    <w:rsid w:val="00663099"/>
    <w:rsid w:val="00663F87"/>
    <w:rsid w:val="0066491D"/>
    <w:rsid w:val="0066541C"/>
    <w:rsid w:val="00665795"/>
    <w:rsid w:val="006669E1"/>
    <w:rsid w:val="00670074"/>
    <w:rsid w:val="00670909"/>
    <w:rsid w:val="006714F8"/>
    <w:rsid w:val="0067230A"/>
    <w:rsid w:val="00673081"/>
    <w:rsid w:val="00675750"/>
    <w:rsid w:val="00677E29"/>
    <w:rsid w:val="00682BDE"/>
    <w:rsid w:val="00684097"/>
    <w:rsid w:val="006845EA"/>
    <w:rsid w:val="00690A1E"/>
    <w:rsid w:val="00691180"/>
    <w:rsid w:val="00693B42"/>
    <w:rsid w:val="006A14E0"/>
    <w:rsid w:val="006A4D34"/>
    <w:rsid w:val="006A50B7"/>
    <w:rsid w:val="006A5254"/>
    <w:rsid w:val="006A7630"/>
    <w:rsid w:val="006A777C"/>
    <w:rsid w:val="006A79A8"/>
    <w:rsid w:val="006A7F22"/>
    <w:rsid w:val="006B023B"/>
    <w:rsid w:val="006B6F79"/>
    <w:rsid w:val="006C0588"/>
    <w:rsid w:val="006C230D"/>
    <w:rsid w:val="006C5CD5"/>
    <w:rsid w:val="006C7706"/>
    <w:rsid w:val="006D2833"/>
    <w:rsid w:val="006D357B"/>
    <w:rsid w:val="006D3830"/>
    <w:rsid w:val="006D459C"/>
    <w:rsid w:val="006D5766"/>
    <w:rsid w:val="006E3B56"/>
    <w:rsid w:val="006E40E2"/>
    <w:rsid w:val="006E5470"/>
    <w:rsid w:val="006E611B"/>
    <w:rsid w:val="006F0BCE"/>
    <w:rsid w:val="006F18C3"/>
    <w:rsid w:val="006F2619"/>
    <w:rsid w:val="006F6898"/>
    <w:rsid w:val="0070712D"/>
    <w:rsid w:val="00707F59"/>
    <w:rsid w:val="00711A6D"/>
    <w:rsid w:val="00711E63"/>
    <w:rsid w:val="007143B1"/>
    <w:rsid w:val="00714704"/>
    <w:rsid w:val="007162F0"/>
    <w:rsid w:val="007171BE"/>
    <w:rsid w:val="00724B05"/>
    <w:rsid w:val="0072571A"/>
    <w:rsid w:val="00731571"/>
    <w:rsid w:val="007332C7"/>
    <w:rsid w:val="00736E6F"/>
    <w:rsid w:val="00737570"/>
    <w:rsid w:val="00737C0D"/>
    <w:rsid w:val="007413E2"/>
    <w:rsid w:val="00742E9F"/>
    <w:rsid w:val="00744208"/>
    <w:rsid w:val="00745ED7"/>
    <w:rsid w:val="007462C2"/>
    <w:rsid w:val="00747DD2"/>
    <w:rsid w:val="00751A5E"/>
    <w:rsid w:val="00751AB0"/>
    <w:rsid w:val="00752226"/>
    <w:rsid w:val="00753C84"/>
    <w:rsid w:val="00754840"/>
    <w:rsid w:val="00754A5C"/>
    <w:rsid w:val="00755FCE"/>
    <w:rsid w:val="00765270"/>
    <w:rsid w:val="00767F2B"/>
    <w:rsid w:val="00772044"/>
    <w:rsid w:val="00773C62"/>
    <w:rsid w:val="00774CFA"/>
    <w:rsid w:val="00776AEA"/>
    <w:rsid w:val="00777663"/>
    <w:rsid w:val="00781DB2"/>
    <w:rsid w:val="00783B27"/>
    <w:rsid w:val="007862ED"/>
    <w:rsid w:val="007863DA"/>
    <w:rsid w:val="007873A0"/>
    <w:rsid w:val="00793C40"/>
    <w:rsid w:val="00795DC0"/>
    <w:rsid w:val="00796056"/>
    <w:rsid w:val="00796D20"/>
    <w:rsid w:val="007A0337"/>
    <w:rsid w:val="007A0739"/>
    <w:rsid w:val="007A1200"/>
    <w:rsid w:val="007A212A"/>
    <w:rsid w:val="007A5536"/>
    <w:rsid w:val="007A665C"/>
    <w:rsid w:val="007A66A0"/>
    <w:rsid w:val="007A6A8C"/>
    <w:rsid w:val="007B0873"/>
    <w:rsid w:val="007B1035"/>
    <w:rsid w:val="007B3B0A"/>
    <w:rsid w:val="007B42E5"/>
    <w:rsid w:val="007B58F4"/>
    <w:rsid w:val="007C2052"/>
    <w:rsid w:val="007C6080"/>
    <w:rsid w:val="007C6EDE"/>
    <w:rsid w:val="007C73F8"/>
    <w:rsid w:val="007C7BB1"/>
    <w:rsid w:val="007D12E2"/>
    <w:rsid w:val="007D206D"/>
    <w:rsid w:val="007D258D"/>
    <w:rsid w:val="007D3A5D"/>
    <w:rsid w:val="007D3E08"/>
    <w:rsid w:val="007D4150"/>
    <w:rsid w:val="007E0DE4"/>
    <w:rsid w:val="007E7CE8"/>
    <w:rsid w:val="007F2B6F"/>
    <w:rsid w:val="007F2C13"/>
    <w:rsid w:val="007F2E2E"/>
    <w:rsid w:val="007F39FC"/>
    <w:rsid w:val="007F4815"/>
    <w:rsid w:val="007F496D"/>
    <w:rsid w:val="007F51A6"/>
    <w:rsid w:val="007F593C"/>
    <w:rsid w:val="007F5CBD"/>
    <w:rsid w:val="0080068F"/>
    <w:rsid w:val="00801B3D"/>
    <w:rsid w:val="0080537B"/>
    <w:rsid w:val="0080796E"/>
    <w:rsid w:val="0081199E"/>
    <w:rsid w:val="008126D9"/>
    <w:rsid w:val="00812C70"/>
    <w:rsid w:val="00813FF8"/>
    <w:rsid w:val="00814EDA"/>
    <w:rsid w:val="00816008"/>
    <w:rsid w:val="0081666F"/>
    <w:rsid w:val="0081697B"/>
    <w:rsid w:val="00816B3F"/>
    <w:rsid w:val="00816F12"/>
    <w:rsid w:val="00817008"/>
    <w:rsid w:val="00817ADC"/>
    <w:rsid w:val="00817F60"/>
    <w:rsid w:val="00822DCF"/>
    <w:rsid w:val="00824D71"/>
    <w:rsid w:val="00825490"/>
    <w:rsid w:val="008260E1"/>
    <w:rsid w:val="00830C5B"/>
    <w:rsid w:val="00832C6B"/>
    <w:rsid w:val="00834E4A"/>
    <w:rsid w:val="00835254"/>
    <w:rsid w:val="00835444"/>
    <w:rsid w:val="008367AB"/>
    <w:rsid w:val="008370E2"/>
    <w:rsid w:val="00842C6D"/>
    <w:rsid w:val="0084351B"/>
    <w:rsid w:val="00844906"/>
    <w:rsid w:val="00846E64"/>
    <w:rsid w:val="00847421"/>
    <w:rsid w:val="008506C7"/>
    <w:rsid w:val="00850C70"/>
    <w:rsid w:val="008540ED"/>
    <w:rsid w:val="008562F2"/>
    <w:rsid w:val="00856A83"/>
    <w:rsid w:val="00857A5B"/>
    <w:rsid w:val="0086119F"/>
    <w:rsid w:val="008612ED"/>
    <w:rsid w:val="008621C8"/>
    <w:rsid w:val="00863C45"/>
    <w:rsid w:val="00864478"/>
    <w:rsid w:val="00864902"/>
    <w:rsid w:val="00865726"/>
    <w:rsid w:val="00866057"/>
    <w:rsid w:val="00874089"/>
    <w:rsid w:val="00875288"/>
    <w:rsid w:val="0087559D"/>
    <w:rsid w:val="008832AA"/>
    <w:rsid w:val="00884A14"/>
    <w:rsid w:val="0088531F"/>
    <w:rsid w:val="00886427"/>
    <w:rsid w:val="008875BE"/>
    <w:rsid w:val="00891422"/>
    <w:rsid w:val="0089149E"/>
    <w:rsid w:val="00894578"/>
    <w:rsid w:val="008A0424"/>
    <w:rsid w:val="008A1755"/>
    <w:rsid w:val="008A2CA9"/>
    <w:rsid w:val="008A3844"/>
    <w:rsid w:val="008A3C9F"/>
    <w:rsid w:val="008A4FBD"/>
    <w:rsid w:val="008A661B"/>
    <w:rsid w:val="008B05A3"/>
    <w:rsid w:val="008B28EA"/>
    <w:rsid w:val="008B5273"/>
    <w:rsid w:val="008B6DF9"/>
    <w:rsid w:val="008B7EB6"/>
    <w:rsid w:val="008B7FAC"/>
    <w:rsid w:val="008C070A"/>
    <w:rsid w:val="008C4BFF"/>
    <w:rsid w:val="008C4E9F"/>
    <w:rsid w:val="008C613E"/>
    <w:rsid w:val="008C6270"/>
    <w:rsid w:val="008C6A7B"/>
    <w:rsid w:val="008C763F"/>
    <w:rsid w:val="008D056A"/>
    <w:rsid w:val="008D1E06"/>
    <w:rsid w:val="008D2A8E"/>
    <w:rsid w:val="008D530C"/>
    <w:rsid w:val="008E035E"/>
    <w:rsid w:val="008E0D56"/>
    <w:rsid w:val="008E1AE7"/>
    <w:rsid w:val="008E436F"/>
    <w:rsid w:val="008E4702"/>
    <w:rsid w:val="008E5F93"/>
    <w:rsid w:val="008F27D9"/>
    <w:rsid w:val="008F3B65"/>
    <w:rsid w:val="008F3EDA"/>
    <w:rsid w:val="008F45C5"/>
    <w:rsid w:val="009018C6"/>
    <w:rsid w:val="00902D08"/>
    <w:rsid w:val="00903622"/>
    <w:rsid w:val="009047FF"/>
    <w:rsid w:val="009054E0"/>
    <w:rsid w:val="00905E26"/>
    <w:rsid w:val="0090684D"/>
    <w:rsid w:val="009071A0"/>
    <w:rsid w:val="00907934"/>
    <w:rsid w:val="009114BF"/>
    <w:rsid w:val="009114D7"/>
    <w:rsid w:val="00911C43"/>
    <w:rsid w:val="009144AF"/>
    <w:rsid w:val="00924B1D"/>
    <w:rsid w:val="00924D52"/>
    <w:rsid w:val="009271F0"/>
    <w:rsid w:val="00927AAD"/>
    <w:rsid w:val="009302CB"/>
    <w:rsid w:val="00933390"/>
    <w:rsid w:val="0093588D"/>
    <w:rsid w:val="009376FC"/>
    <w:rsid w:val="00940B1C"/>
    <w:rsid w:val="00947E4E"/>
    <w:rsid w:val="00953D03"/>
    <w:rsid w:val="00955C5D"/>
    <w:rsid w:val="0095605C"/>
    <w:rsid w:val="009561EE"/>
    <w:rsid w:val="00957E55"/>
    <w:rsid w:val="00963584"/>
    <w:rsid w:val="00963C4D"/>
    <w:rsid w:val="0096563C"/>
    <w:rsid w:val="00965D54"/>
    <w:rsid w:val="00967469"/>
    <w:rsid w:val="00975536"/>
    <w:rsid w:val="00977465"/>
    <w:rsid w:val="00980F1D"/>
    <w:rsid w:val="009815FD"/>
    <w:rsid w:val="00981C28"/>
    <w:rsid w:val="0098410A"/>
    <w:rsid w:val="00985BDD"/>
    <w:rsid w:val="009867AE"/>
    <w:rsid w:val="00994529"/>
    <w:rsid w:val="00994E51"/>
    <w:rsid w:val="009A09B6"/>
    <w:rsid w:val="009A0F8F"/>
    <w:rsid w:val="009A3BCB"/>
    <w:rsid w:val="009A5F92"/>
    <w:rsid w:val="009A72DC"/>
    <w:rsid w:val="009B4DBC"/>
    <w:rsid w:val="009C05B1"/>
    <w:rsid w:val="009C116D"/>
    <w:rsid w:val="009C3455"/>
    <w:rsid w:val="009C3DB9"/>
    <w:rsid w:val="009C590F"/>
    <w:rsid w:val="009C5BE3"/>
    <w:rsid w:val="009C68A4"/>
    <w:rsid w:val="009C7EC0"/>
    <w:rsid w:val="009D1FD3"/>
    <w:rsid w:val="009D35FC"/>
    <w:rsid w:val="009D7044"/>
    <w:rsid w:val="009E0951"/>
    <w:rsid w:val="009E0B75"/>
    <w:rsid w:val="009E2671"/>
    <w:rsid w:val="009E2ED7"/>
    <w:rsid w:val="009E60A1"/>
    <w:rsid w:val="009F2155"/>
    <w:rsid w:val="009F4D8B"/>
    <w:rsid w:val="009F501F"/>
    <w:rsid w:val="009F6C74"/>
    <w:rsid w:val="009F72D2"/>
    <w:rsid w:val="00A0153B"/>
    <w:rsid w:val="00A02C8C"/>
    <w:rsid w:val="00A047C2"/>
    <w:rsid w:val="00A107F0"/>
    <w:rsid w:val="00A13095"/>
    <w:rsid w:val="00A1401E"/>
    <w:rsid w:val="00A15055"/>
    <w:rsid w:val="00A15ABF"/>
    <w:rsid w:val="00A20925"/>
    <w:rsid w:val="00A20FC3"/>
    <w:rsid w:val="00A234C4"/>
    <w:rsid w:val="00A235B7"/>
    <w:rsid w:val="00A240C3"/>
    <w:rsid w:val="00A24D6E"/>
    <w:rsid w:val="00A25958"/>
    <w:rsid w:val="00A27306"/>
    <w:rsid w:val="00A27C6E"/>
    <w:rsid w:val="00A401A8"/>
    <w:rsid w:val="00A4354F"/>
    <w:rsid w:val="00A43A0A"/>
    <w:rsid w:val="00A47516"/>
    <w:rsid w:val="00A57C35"/>
    <w:rsid w:val="00A60E2D"/>
    <w:rsid w:val="00A625F1"/>
    <w:rsid w:val="00A659D1"/>
    <w:rsid w:val="00A67922"/>
    <w:rsid w:val="00A70B6D"/>
    <w:rsid w:val="00A72F35"/>
    <w:rsid w:val="00A73C32"/>
    <w:rsid w:val="00A74924"/>
    <w:rsid w:val="00A76AA5"/>
    <w:rsid w:val="00A77AFB"/>
    <w:rsid w:val="00A81DD9"/>
    <w:rsid w:val="00A82B5B"/>
    <w:rsid w:val="00A9231C"/>
    <w:rsid w:val="00A946BB"/>
    <w:rsid w:val="00A9470C"/>
    <w:rsid w:val="00A96550"/>
    <w:rsid w:val="00A966CE"/>
    <w:rsid w:val="00A97659"/>
    <w:rsid w:val="00A97E14"/>
    <w:rsid w:val="00A97E1E"/>
    <w:rsid w:val="00AA59E1"/>
    <w:rsid w:val="00AB344F"/>
    <w:rsid w:val="00AB5B22"/>
    <w:rsid w:val="00AC3F41"/>
    <w:rsid w:val="00AC538A"/>
    <w:rsid w:val="00AC56A6"/>
    <w:rsid w:val="00AC5C7B"/>
    <w:rsid w:val="00AD0D04"/>
    <w:rsid w:val="00AD15ED"/>
    <w:rsid w:val="00AD3439"/>
    <w:rsid w:val="00AD3A1B"/>
    <w:rsid w:val="00AD5E50"/>
    <w:rsid w:val="00AD74D9"/>
    <w:rsid w:val="00AE0DF4"/>
    <w:rsid w:val="00AE13A8"/>
    <w:rsid w:val="00AE20F9"/>
    <w:rsid w:val="00AE3DC1"/>
    <w:rsid w:val="00AE40AE"/>
    <w:rsid w:val="00AE4E18"/>
    <w:rsid w:val="00AE5209"/>
    <w:rsid w:val="00AF1796"/>
    <w:rsid w:val="00AF41AF"/>
    <w:rsid w:val="00AF4B4D"/>
    <w:rsid w:val="00AF4CE1"/>
    <w:rsid w:val="00AF50C4"/>
    <w:rsid w:val="00AF536C"/>
    <w:rsid w:val="00AF56E3"/>
    <w:rsid w:val="00AF6C19"/>
    <w:rsid w:val="00B002D8"/>
    <w:rsid w:val="00B012DF"/>
    <w:rsid w:val="00B04D6E"/>
    <w:rsid w:val="00B06AAB"/>
    <w:rsid w:val="00B075EE"/>
    <w:rsid w:val="00B101A9"/>
    <w:rsid w:val="00B110DF"/>
    <w:rsid w:val="00B120DE"/>
    <w:rsid w:val="00B12952"/>
    <w:rsid w:val="00B1510A"/>
    <w:rsid w:val="00B16F7F"/>
    <w:rsid w:val="00B2368F"/>
    <w:rsid w:val="00B23C02"/>
    <w:rsid w:val="00B25B2E"/>
    <w:rsid w:val="00B25DCF"/>
    <w:rsid w:val="00B275BA"/>
    <w:rsid w:val="00B32B49"/>
    <w:rsid w:val="00B32FEA"/>
    <w:rsid w:val="00B353BA"/>
    <w:rsid w:val="00B3688C"/>
    <w:rsid w:val="00B36D40"/>
    <w:rsid w:val="00B41685"/>
    <w:rsid w:val="00B439B0"/>
    <w:rsid w:val="00B449A1"/>
    <w:rsid w:val="00B44A5B"/>
    <w:rsid w:val="00B45D05"/>
    <w:rsid w:val="00B46DC6"/>
    <w:rsid w:val="00B50A1C"/>
    <w:rsid w:val="00B50B81"/>
    <w:rsid w:val="00B511FB"/>
    <w:rsid w:val="00B518B4"/>
    <w:rsid w:val="00B52CCF"/>
    <w:rsid w:val="00B544AC"/>
    <w:rsid w:val="00B5495E"/>
    <w:rsid w:val="00B615D5"/>
    <w:rsid w:val="00B625B7"/>
    <w:rsid w:val="00B65FC2"/>
    <w:rsid w:val="00B663CA"/>
    <w:rsid w:val="00B71CEA"/>
    <w:rsid w:val="00B739A5"/>
    <w:rsid w:val="00B745AB"/>
    <w:rsid w:val="00B76640"/>
    <w:rsid w:val="00B77CEE"/>
    <w:rsid w:val="00B82881"/>
    <w:rsid w:val="00B83393"/>
    <w:rsid w:val="00B83573"/>
    <w:rsid w:val="00B8371F"/>
    <w:rsid w:val="00B83E46"/>
    <w:rsid w:val="00B847F6"/>
    <w:rsid w:val="00B84D9E"/>
    <w:rsid w:val="00B8693A"/>
    <w:rsid w:val="00B86C73"/>
    <w:rsid w:val="00B9009B"/>
    <w:rsid w:val="00B906A5"/>
    <w:rsid w:val="00B9124E"/>
    <w:rsid w:val="00B92377"/>
    <w:rsid w:val="00B931C5"/>
    <w:rsid w:val="00BA59AC"/>
    <w:rsid w:val="00BA73CC"/>
    <w:rsid w:val="00BB0152"/>
    <w:rsid w:val="00BB0ADA"/>
    <w:rsid w:val="00BB6EC0"/>
    <w:rsid w:val="00BC089D"/>
    <w:rsid w:val="00BC21EC"/>
    <w:rsid w:val="00BC3046"/>
    <w:rsid w:val="00BC38D0"/>
    <w:rsid w:val="00BC4632"/>
    <w:rsid w:val="00BC4981"/>
    <w:rsid w:val="00BC500B"/>
    <w:rsid w:val="00BC513A"/>
    <w:rsid w:val="00BC7FF6"/>
    <w:rsid w:val="00BD1A72"/>
    <w:rsid w:val="00BD48BC"/>
    <w:rsid w:val="00BD5D45"/>
    <w:rsid w:val="00BE15E7"/>
    <w:rsid w:val="00BE3437"/>
    <w:rsid w:val="00BE44FF"/>
    <w:rsid w:val="00BE5D3E"/>
    <w:rsid w:val="00BE6DDC"/>
    <w:rsid w:val="00BE77E7"/>
    <w:rsid w:val="00BF0E3F"/>
    <w:rsid w:val="00C0259C"/>
    <w:rsid w:val="00C04541"/>
    <w:rsid w:val="00C06052"/>
    <w:rsid w:val="00C065FD"/>
    <w:rsid w:val="00C13A4B"/>
    <w:rsid w:val="00C15884"/>
    <w:rsid w:val="00C160B5"/>
    <w:rsid w:val="00C164E9"/>
    <w:rsid w:val="00C17DA8"/>
    <w:rsid w:val="00C201E8"/>
    <w:rsid w:val="00C306C7"/>
    <w:rsid w:val="00C3187C"/>
    <w:rsid w:val="00C3315F"/>
    <w:rsid w:val="00C33894"/>
    <w:rsid w:val="00C359B4"/>
    <w:rsid w:val="00C35AD3"/>
    <w:rsid w:val="00C3791F"/>
    <w:rsid w:val="00C42E14"/>
    <w:rsid w:val="00C43100"/>
    <w:rsid w:val="00C4312E"/>
    <w:rsid w:val="00C436DF"/>
    <w:rsid w:val="00C43D72"/>
    <w:rsid w:val="00C44149"/>
    <w:rsid w:val="00C4450C"/>
    <w:rsid w:val="00C45260"/>
    <w:rsid w:val="00C46034"/>
    <w:rsid w:val="00C47855"/>
    <w:rsid w:val="00C50E8E"/>
    <w:rsid w:val="00C54267"/>
    <w:rsid w:val="00C545A4"/>
    <w:rsid w:val="00C549D8"/>
    <w:rsid w:val="00C57083"/>
    <w:rsid w:val="00C60740"/>
    <w:rsid w:val="00C61D4D"/>
    <w:rsid w:val="00C66D78"/>
    <w:rsid w:val="00C67299"/>
    <w:rsid w:val="00C72569"/>
    <w:rsid w:val="00C726DB"/>
    <w:rsid w:val="00C73929"/>
    <w:rsid w:val="00C73B46"/>
    <w:rsid w:val="00C743DD"/>
    <w:rsid w:val="00C77938"/>
    <w:rsid w:val="00C77C0C"/>
    <w:rsid w:val="00C81A29"/>
    <w:rsid w:val="00C82256"/>
    <w:rsid w:val="00C84B08"/>
    <w:rsid w:val="00C87705"/>
    <w:rsid w:val="00C909D0"/>
    <w:rsid w:val="00C91148"/>
    <w:rsid w:val="00C915B6"/>
    <w:rsid w:val="00C94948"/>
    <w:rsid w:val="00C97887"/>
    <w:rsid w:val="00CA0B19"/>
    <w:rsid w:val="00CA1B08"/>
    <w:rsid w:val="00CA1EF2"/>
    <w:rsid w:val="00CA316A"/>
    <w:rsid w:val="00CA622A"/>
    <w:rsid w:val="00CA7716"/>
    <w:rsid w:val="00CB0984"/>
    <w:rsid w:val="00CB2F93"/>
    <w:rsid w:val="00CC021D"/>
    <w:rsid w:val="00CC1B0B"/>
    <w:rsid w:val="00CC56A1"/>
    <w:rsid w:val="00CC61D5"/>
    <w:rsid w:val="00CD10A1"/>
    <w:rsid w:val="00CD6FD3"/>
    <w:rsid w:val="00CD7364"/>
    <w:rsid w:val="00CD799C"/>
    <w:rsid w:val="00CD7A16"/>
    <w:rsid w:val="00CE35F6"/>
    <w:rsid w:val="00CE4249"/>
    <w:rsid w:val="00CE44B3"/>
    <w:rsid w:val="00CF0C43"/>
    <w:rsid w:val="00CF15AE"/>
    <w:rsid w:val="00CF1924"/>
    <w:rsid w:val="00CF3E98"/>
    <w:rsid w:val="00CF5289"/>
    <w:rsid w:val="00CF7FA0"/>
    <w:rsid w:val="00D03C10"/>
    <w:rsid w:val="00D0787B"/>
    <w:rsid w:val="00D12ADF"/>
    <w:rsid w:val="00D13F27"/>
    <w:rsid w:val="00D14A75"/>
    <w:rsid w:val="00D2529E"/>
    <w:rsid w:val="00D2731F"/>
    <w:rsid w:val="00D277C7"/>
    <w:rsid w:val="00D3254E"/>
    <w:rsid w:val="00D33931"/>
    <w:rsid w:val="00D37139"/>
    <w:rsid w:val="00D41BD5"/>
    <w:rsid w:val="00D43B15"/>
    <w:rsid w:val="00D45BEE"/>
    <w:rsid w:val="00D4701B"/>
    <w:rsid w:val="00D47911"/>
    <w:rsid w:val="00D5276A"/>
    <w:rsid w:val="00D55B41"/>
    <w:rsid w:val="00D56B42"/>
    <w:rsid w:val="00D57430"/>
    <w:rsid w:val="00D60B7E"/>
    <w:rsid w:val="00D6294A"/>
    <w:rsid w:val="00D64C5D"/>
    <w:rsid w:val="00D65DFE"/>
    <w:rsid w:val="00D67222"/>
    <w:rsid w:val="00D67457"/>
    <w:rsid w:val="00D6747F"/>
    <w:rsid w:val="00D67ACA"/>
    <w:rsid w:val="00D7023F"/>
    <w:rsid w:val="00D70AC9"/>
    <w:rsid w:val="00D74162"/>
    <w:rsid w:val="00D7451C"/>
    <w:rsid w:val="00D75491"/>
    <w:rsid w:val="00D757B3"/>
    <w:rsid w:val="00D81C96"/>
    <w:rsid w:val="00D83529"/>
    <w:rsid w:val="00D83CD7"/>
    <w:rsid w:val="00D90E82"/>
    <w:rsid w:val="00D9123A"/>
    <w:rsid w:val="00D91C23"/>
    <w:rsid w:val="00D91DB1"/>
    <w:rsid w:val="00D93834"/>
    <w:rsid w:val="00D9469D"/>
    <w:rsid w:val="00D955F0"/>
    <w:rsid w:val="00D96B49"/>
    <w:rsid w:val="00DA0169"/>
    <w:rsid w:val="00DA0464"/>
    <w:rsid w:val="00DA21A9"/>
    <w:rsid w:val="00DA2E16"/>
    <w:rsid w:val="00DA4ADB"/>
    <w:rsid w:val="00DA7DCB"/>
    <w:rsid w:val="00DB062E"/>
    <w:rsid w:val="00DB2F20"/>
    <w:rsid w:val="00DB3DE4"/>
    <w:rsid w:val="00DB6615"/>
    <w:rsid w:val="00DB6CDE"/>
    <w:rsid w:val="00DC4B32"/>
    <w:rsid w:val="00DC625A"/>
    <w:rsid w:val="00DD1FC2"/>
    <w:rsid w:val="00DD2DC0"/>
    <w:rsid w:val="00DD6470"/>
    <w:rsid w:val="00DD6DFC"/>
    <w:rsid w:val="00DE10E8"/>
    <w:rsid w:val="00DE24E4"/>
    <w:rsid w:val="00DE2CD4"/>
    <w:rsid w:val="00DE4257"/>
    <w:rsid w:val="00DF70D2"/>
    <w:rsid w:val="00E0751C"/>
    <w:rsid w:val="00E10D90"/>
    <w:rsid w:val="00E11932"/>
    <w:rsid w:val="00E12A2C"/>
    <w:rsid w:val="00E13311"/>
    <w:rsid w:val="00E17A59"/>
    <w:rsid w:val="00E17C45"/>
    <w:rsid w:val="00E26786"/>
    <w:rsid w:val="00E32F7D"/>
    <w:rsid w:val="00E33111"/>
    <w:rsid w:val="00E33DB8"/>
    <w:rsid w:val="00E4202B"/>
    <w:rsid w:val="00E42964"/>
    <w:rsid w:val="00E43AB9"/>
    <w:rsid w:val="00E4704D"/>
    <w:rsid w:val="00E470B2"/>
    <w:rsid w:val="00E47579"/>
    <w:rsid w:val="00E507D7"/>
    <w:rsid w:val="00E529F5"/>
    <w:rsid w:val="00E56774"/>
    <w:rsid w:val="00E62295"/>
    <w:rsid w:val="00E62B51"/>
    <w:rsid w:val="00E62C66"/>
    <w:rsid w:val="00E651DB"/>
    <w:rsid w:val="00E659B0"/>
    <w:rsid w:val="00E70AD0"/>
    <w:rsid w:val="00E7155C"/>
    <w:rsid w:val="00E73844"/>
    <w:rsid w:val="00E75359"/>
    <w:rsid w:val="00E77A0E"/>
    <w:rsid w:val="00E838B4"/>
    <w:rsid w:val="00E83C5B"/>
    <w:rsid w:val="00E84798"/>
    <w:rsid w:val="00E84DF8"/>
    <w:rsid w:val="00E84E8F"/>
    <w:rsid w:val="00E85212"/>
    <w:rsid w:val="00E85D7C"/>
    <w:rsid w:val="00E85DDC"/>
    <w:rsid w:val="00E87E15"/>
    <w:rsid w:val="00E928BF"/>
    <w:rsid w:val="00E93117"/>
    <w:rsid w:val="00E958FC"/>
    <w:rsid w:val="00E95D1C"/>
    <w:rsid w:val="00E965A6"/>
    <w:rsid w:val="00E97093"/>
    <w:rsid w:val="00EA4EBA"/>
    <w:rsid w:val="00EA525D"/>
    <w:rsid w:val="00EA6CD9"/>
    <w:rsid w:val="00EB1912"/>
    <w:rsid w:val="00EC0050"/>
    <w:rsid w:val="00EC1053"/>
    <w:rsid w:val="00EC2692"/>
    <w:rsid w:val="00EC2730"/>
    <w:rsid w:val="00EC295D"/>
    <w:rsid w:val="00EC2DAE"/>
    <w:rsid w:val="00EC4299"/>
    <w:rsid w:val="00EC590A"/>
    <w:rsid w:val="00EC5CA4"/>
    <w:rsid w:val="00ED0FAD"/>
    <w:rsid w:val="00ED1CFF"/>
    <w:rsid w:val="00ED1EA5"/>
    <w:rsid w:val="00ED20F8"/>
    <w:rsid w:val="00ED3834"/>
    <w:rsid w:val="00ED7FBC"/>
    <w:rsid w:val="00EE30D7"/>
    <w:rsid w:val="00EE601C"/>
    <w:rsid w:val="00EE6C7C"/>
    <w:rsid w:val="00EE7258"/>
    <w:rsid w:val="00EE7340"/>
    <w:rsid w:val="00EE7C7D"/>
    <w:rsid w:val="00EF047C"/>
    <w:rsid w:val="00EF13F6"/>
    <w:rsid w:val="00EF2BCF"/>
    <w:rsid w:val="00EF38BB"/>
    <w:rsid w:val="00EF5587"/>
    <w:rsid w:val="00EF6FAB"/>
    <w:rsid w:val="00EF7213"/>
    <w:rsid w:val="00F02DBD"/>
    <w:rsid w:val="00F06441"/>
    <w:rsid w:val="00F108A4"/>
    <w:rsid w:val="00F154AA"/>
    <w:rsid w:val="00F15EB7"/>
    <w:rsid w:val="00F15F38"/>
    <w:rsid w:val="00F2142F"/>
    <w:rsid w:val="00F22AEE"/>
    <w:rsid w:val="00F25217"/>
    <w:rsid w:val="00F32A18"/>
    <w:rsid w:val="00F33663"/>
    <w:rsid w:val="00F35681"/>
    <w:rsid w:val="00F35DC6"/>
    <w:rsid w:val="00F379B7"/>
    <w:rsid w:val="00F40868"/>
    <w:rsid w:val="00F4439E"/>
    <w:rsid w:val="00F44F3E"/>
    <w:rsid w:val="00F5544B"/>
    <w:rsid w:val="00F563E1"/>
    <w:rsid w:val="00F56E76"/>
    <w:rsid w:val="00F60310"/>
    <w:rsid w:val="00F64639"/>
    <w:rsid w:val="00F6499D"/>
    <w:rsid w:val="00F67171"/>
    <w:rsid w:val="00F67AEB"/>
    <w:rsid w:val="00F67BFE"/>
    <w:rsid w:val="00F67EB0"/>
    <w:rsid w:val="00F767A6"/>
    <w:rsid w:val="00F76DEA"/>
    <w:rsid w:val="00F7736A"/>
    <w:rsid w:val="00F77CF1"/>
    <w:rsid w:val="00F821F3"/>
    <w:rsid w:val="00F8383B"/>
    <w:rsid w:val="00F84C50"/>
    <w:rsid w:val="00F907F9"/>
    <w:rsid w:val="00F909B6"/>
    <w:rsid w:val="00F90C02"/>
    <w:rsid w:val="00F939A9"/>
    <w:rsid w:val="00F948C8"/>
    <w:rsid w:val="00F950E8"/>
    <w:rsid w:val="00F952D4"/>
    <w:rsid w:val="00F957D3"/>
    <w:rsid w:val="00F9793D"/>
    <w:rsid w:val="00FA1BC1"/>
    <w:rsid w:val="00FA3BCE"/>
    <w:rsid w:val="00FA5C8F"/>
    <w:rsid w:val="00FA7910"/>
    <w:rsid w:val="00FB022E"/>
    <w:rsid w:val="00FB183B"/>
    <w:rsid w:val="00FB4D1D"/>
    <w:rsid w:val="00FB7A12"/>
    <w:rsid w:val="00FD3522"/>
    <w:rsid w:val="00FD4171"/>
    <w:rsid w:val="00FD4877"/>
    <w:rsid w:val="00FD4F9E"/>
    <w:rsid w:val="00FD6378"/>
    <w:rsid w:val="00FE0D91"/>
    <w:rsid w:val="00FE6083"/>
    <w:rsid w:val="00FE6380"/>
    <w:rsid w:val="00FF1827"/>
    <w:rsid w:val="00FF2322"/>
    <w:rsid w:val="00FF47AC"/>
    <w:rsid w:val="00FF49BB"/>
    <w:rsid w:val="00FF551E"/>
    <w:rsid w:val="00FF7C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6CA3F4"/>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985BDD"/>
    <w:rPr>
      <w:rFonts w:ascii="Times New Roman" w:eastAsia="Times New Roman" w:hAnsi="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5BD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518E4"/>
    <w:pPr>
      <w:tabs>
        <w:tab w:val="center" w:pos="4153"/>
        <w:tab w:val="right" w:pos="8306"/>
      </w:tabs>
    </w:pPr>
  </w:style>
  <w:style w:type="character" w:customStyle="1" w:styleId="HeaderChar">
    <w:name w:val="Header Char"/>
    <w:link w:val="Header"/>
    <w:rsid w:val="00A518E4"/>
    <w:rPr>
      <w:rFonts w:ascii="Times New Roman" w:eastAsia="Times New Roman" w:hAnsi="Times New Roman" w:cs="Times New Roman"/>
      <w:lang w:val="en-GB" w:eastAsia="en-GB"/>
    </w:rPr>
  </w:style>
  <w:style w:type="paragraph" w:styleId="Footer">
    <w:name w:val="footer"/>
    <w:basedOn w:val="Normal"/>
    <w:link w:val="FooterChar"/>
    <w:uiPriority w:val="99"/>
    <w:rsid w:val="00A518E4"/>
    <w:pPr>
      <w:tabs>
        <w:tab w:val="center" w:pos="4153"/>
        <w:tab w:val="right" w:pos="8306"/>
      </w:tabs>
    </w:pPr>
  </w:style>
  <w:style w:type="character" w:customStyle="1" w:styleId="FooterChar">
    <w:name w:val="Footer Char"/>
    <w:link w:val="Footer"/>
    <w:uiPriority w:val="99"/>
    <w:rsid w:val="00A518E4"/>
    <w:rPr>
      <w:rFonts w:ascii="Times New Roman" w:eastAsia="Times New Roman" w:hAnsi="Times New Roman" w:cs="Times New Roman"/>
      <w:lang w:val="en-GB" w:eastAsia="en-GB"/>
    </w:rPr>
  </w:style>
  <w:style w:type="character" w:styleId="PageNumber">
    <w:name w:val="page number"/>
    <w:basedOn w:val="DefaultParagraphFont"/>
    <w:rsid w:val="00A518E4"/>
  </w:style>
  <w:style w:type="paragraph" w:customStyle="1" w:styleId="COIS-M05-Numpara">
    <w:name w:val="COIS-M/05-Num para"/>
    <w:rsid w:val="00A518E4"/>
    <w:pPr>
      <w:tabs>
        <w:tab w:val="left" w:pos="851"/>
      </w:tabs>
      <w:ind w:left="848" w:hanging="848"/>
      <w:jc w:val="both"/>
    </w:pPr>
    <w:rPr>
      <w:rFonts w:ascii="Arial" w:eastAsia="Times" w:hAnsi="Arial"/>
      <w:color w:val="000000"/>
      <w:sz w:val="22"/>
      <w:szCs w:val="24"/>
      <w:lang w:eastAsia="en-GB"/>
    </w:rPr>
  </w:style>
  <w:style w:type="character" w:customStyle="1" w:styleId="COIS-M10-Sourcelink">
    <w:name w:val="COIS-M/10-Source link"/>
    <w:rsid w:val="00A518E4"/>
    <w:rPr>
      <w:rFonts w:ascii="Arial" w:hAnsi="Arial"/>
      <w:b/>
      <w:dstrike w:val="0"/>
      <w:noProof w:val="0"/>
      <w:color w:val="000000"/>
      <w:spacing w:val="0"/>
      <w:w w:val="100"/>
      <w:kern w:val="0"/>
      <w:position w:val="0"/>
      <w:sz w:val="18"/>
      <w:szCs w:val="18"/>
      <w:u w:val="none"/>
      <w:effect w:val="none"/>
      <w:bdr w:val="none" w:sz="0" w:space="0" w:color="auto"/>
      <w:shd w:val="clear" w:color="auto" w:fill="auto"/>
      <w:vertAlign w:val="baseline"/>
      <w:lang w:val="en-GB"/>
    </w:rPr>
  </w:style>
  <w:style w:type="paragraph" w:customStyle="1" w:styleId="COIS-M07-Quote">
    <w:name w:val="COIS-M/07-Quote"/>
    <w:next w:val="COIS-M05-Numpara"/>
    <w:rsid w:val="00A518E4"/>
    <w:pPr>
      <w:ind w:left="851"/>
    </w:pPr>
    <w:rPr>
      <w:rFonts w:ascii="Arial" w:eastAsia="Times" w:hAnsi="Arial"/>
      <w:color w:val="000000"/>
      <w:sz w:val="22"/>
      <w:szCs w:val="24"/>
      <w:lang w:eastAsia="en-GB"/>
    </w:rPr>
  </w:style>
  <w:style w:type="character" w:styleId="Hyperlink">
    <w:name w:val="Hyperlink"/>
    <w:rsid w:val="00A518E4"/>
    <w:rPr>
      <w:color w:val="0000FF"/>
      <w:u w:val="single"/>
    </w:rPr>
  </w:style>
  <w:style w:type="paragraph" w:styleId="NormalWeb">
    <w:name w:val="Normal (Web)"/>
    <w:basedOn w:val="Normal"/>
    <w:uiPriority w:val="99"/>
    <w:rsid w:val="00A518E4"/>
    <w:pPr>
      <w:spacing w:before="100" w:beforeAutospacing="1" w:after="100" w:afterAutospacing="1"/>
    </w:pPr>
  </w:style>
  <w:style w:type="paragraph" w:styleId="ListParagraph">
    <w:name w:val="List Paragraph"/>
    <w:basedOn w:val="Normal"/>
    <w:uiPriority w:val="34"/>
    <w:qFormat/>
    <w:rsid w:val="00D3592C"/>
    <w:pPr>
      <w:ind w:left="720"/>
      <w:contextualSpacing/>
    </w:pPr>
  </w:style>
  <w:style w:type="character" w:styleId="FollowedHyperlink">
    <w:name w:val="FollowedHyperlink"/>
    <w:uiPriority w:val="99"/>
    <w:semiHidden/>
    <w:unhideWhenUsed/>
    <w:rsid w:val="00AB516B"/>
    <w:rPr>
      <w:color w:val="800080"/>
      <w:u w:val="single"/>
    </w:rPr>
  </w:style>
  <w:style w:type="paragraph" w:styleId="BalloonText">
    <w:name w:val="Balloon Text"/>
    <w:basedOn w:val="Normal"/>
    <w:link w:val="BalloonTextChar"/>
    <w:rsid w:val="001A02F4"/>
    <w:rPr>
      <w:rFonts w:ascii="Lucida Grande" w:hAnsi="Lucida Grande" w:cs="Lucida Grande"/>
      <w:sz w:val="18"/>
      <w:szCs w:val="18"/>
    </w:rPr>
  </w:style>
  <w:style w:type="character" w:customStyle="1" w:styleId="BalloonTextChar">
    <w:name w:val="Balloon Text Char"/>
    <w:basedOn w:val="DefaultParagraphFont"/>
    <w:link w:val="BalloonText"/>
    <w:rsid w:val="001A02F4"/>
    <w:rPr>
      <w:rFonts w:ascii="Lucida Grande" w:eastAsia="Times New Roman" w:hAnsi="Lucida Grande" w:cs="Lucida Grande"/>
      <w:sz w:val="18"/>
      <w:szCs w:val="18"/>
      <w:lang w:eastAsia="en-GB"/>
    </w:rPr>
  </w:style>
  <w:style w:type="character" w:styleId="UnresolvedMention">
    <w:name w:val="Unresolved Mention"/>
    <w:basedOn w:val="DefaultParagraphFont"/>
    <w:uiPriority w:val="99"/>
    <w:semiHidden/>
    <w:unhideWhenUsed/>
    <w:rsid w:val="007F4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1062">
      <w:bodyDiv w:val="1"/>
      <w:marLeft w:val="0"/>
      <w:marRight w:val="0"/>
      <w:marTop w:val="0"/>
      <w:marBottom w:val="0"/>
      <w:divBdr>
        <w:top w:val="none" w:sz="0" w:space="0" w:color="auto"/>
        <w:left w:val="none" w:sz="0" w:space="0" w:color="auto"/>
        <w:bottom w:val="none" w:sz="0" w:space="0" w:color="auto"/>
        <w:right w:val="none" w:sz="0" w:space="0" w:color="auto"/>
      </w:divBdr>
      <w:divsChild>
        <w:div w:id="1529875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92652">
          <w:blockQuote w:val="1"/>
          <w:marLeft w:val="720"/>
          <w:marRight w:val="720"/>
          <w:marTop w:val="100"/>
          <w:marBottom w:val="100"/>
          <w:divBdr>
            <w:top w:val="none" w:sz="0" w:space="0" w:color="auto"/>
            <w:left w:val="none" w:sz="0" w:space="0" w:color="auto"/>
            <w:bottom w:val="none" w:sz="0" w:space="0" w:color="auto"/>
            <w:right w:val="none" w:sz="0" w:space="0" w:color="auto"/>
          </w:divBdr>
        </w:div>
        <w:div w:id="24919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84060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695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802330">
      <w:bodyDiv w:val="1"/>
      <w:marLeft w:val="0"/>
      <w:marRight w:val="0"/>
      <w:marTop w:val="0"/>
      <w:marBottom w:val="0"/>
      <w:divBdr>
        <w:top w:val="none" w:sz="0" w:space="0" w:color="auto"/>
        <w:left w:val="none" w:sz="0" w:space="0" w:color="auto"/>
        <w:bottom w:val="none" w:sz="0" w:space="0" w:color="auto"/>
        <w:right w:val="none" w:sz="0" w:space="0" w:color="auto"/>
      </w:divBdr>
    </w:div>
    <w:div w:id="663321399">
      <w:bodyDiv w:val="1"/>
      <w:marLeft w:val="0"/>
      <w:marRight w:val="0"/>
      <w:marTop w:val="0"/>
      <w:marBottom w:val="0"/>
      <w:divBdr>
        <w:top w:val="none" w:sz="0" w:space="0" w:color="auto"/>
        <w:left w:val="none" w:sz="0" w:space="0" w:color="auto"/>
        <w:bottom w:val="none" w:sz="0" w:space="0" w:color="auto"/>
        <w:right w:val="none" w:sz="0" w:space="0" w:color="auto"/>
      </w:divBdr>
    </w:div>
    <w:div w:id="757947221">
      <w:bodyDiv w:val="1"/>
      <w:marLeft w:val="0"/>
      <w:marRight w:val="0"/>
      <w:marTop w:val="0"/>
      <w:marBottom w:val="0"/>
      <w:divBdr>
        <w:top w:val="none" w:sz="0" w:space="0" w:color="auto"/>
        <w:left w:val="none" w:sz="0" w:space="0" w:color="auto"/>
        <w:bottom w:val="none" w:sz="0" w:space="0" w:color="auto"/>
        <w:right w:val="none" w:sz="0" w:space="0" w:color="auto"/>
      </w:divBdr>
      <w:divsChild>
        <w:div w:id="2068332439">
          <w:marLeft w:val="0"/>
          <w:marRight w:val="0"/>
          <w:marTop w:val="0"/>
          <w:marBottom w:val="0"/>
          <w:divBdr>
            <w:top w:val="none" w:sz="0" w:space="0" w:color="auto"/>
            <w:left w:val="none" w:sz="0" w:space="0" w:color="auto"/>
            <w:bottom w:val="none" w:sz="0" w:space="0" w:color="auto"/>
            <w:right w:val="none" w:sz="0" w:space="0" w:color="auto"/>
          </w:divBdr>
          <w:divsChild>
            <w:div w:id="1011562380">
              <w:marLeft w:val="0"/>
              <w:marRight w:val="0"/>
              <w:marTop w:val="0"/>
              <w:marBottom w:val="0"/>
              <w:divBdr>
                <w:top w:val="none" w:sz="0" w:space="0" w:color="auto"/>
                <w:left w:val="none" w:sz="0" w:space="0" w:color="auto"/>
                <w:bottom w:val="none" w:sz="0" w:space="0" w:color="auto"/>
                <w:right w:val="none" w:sz="0" w:space="0" w:color="auto"/>
              </w:divBdr>
              <w:divsChild>
                <w:div w:id="674456027">
                  <w:marLeft w:val="0"/>
                  <w:marRight w:val="0"/>
                  <w:marTop w:val="0"/>
                  <w:marBottom w:val="0"/>
                  <w:divBdr>
                    <w:top w:val="none" w:sz="0" w:space="0" w:color="auto"/>
                    <w:left w:val="none" w:sz="0" w:space="0" w:color="auto"/>
                    <w:bottom w:val="none" w:sz="0" w:space="0" w:color="auto"/>
                    <w:right w:val="none" w:sz="0" w:space="0" w:color="auto"/>
                  </w:divBdr>
                  <w:divsChild>
                    <w:div w:id="14959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837745">
      <w:bodyDiv w:val="1"/>
      <w:marLeft w:val="0"/>
      <w:marRight w:val="0"/>
      <w:marTop w:val="0"/>
      <w:marBottom w:val="0"/>
      <w:divBdr>
        <w:top w:val="none" w:sz="0" w:space="0" w:color="auto"/>
        <w:left w:val="none" w:sz="0" w:space="0" w:color="auto"/>
        <w:bottom w:val="none" w:sz="0" w:space="0" w:color="auto"/>
        <w:right w:val="none" w:sz="0" w:space="0" w:color="auto"/>
      </w:divBdr>
      <w:divsChild>
        <w:div w:id="18663638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27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351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05250">
          <w:blockQuote w:val="1"/>
          <w:marLeft w:val="720"/>
          <w:marRight w:val="720"/>
          <w:marTop w:val="100"/>
          <w:marBottom w:val="100"/>
          <w:divBdr>
            <w:top w:val="none" w:sz="0" w:space="0" w:color="auto"/>
            <w:left w:val="none" w:sz="0" w:space="0" w:color="auto"/>
            <w:bottom w:val="none" w:sz="0" w:space="0" w:color="auto"/>
            <w:right w:val="none" w:sz="0" w:space="0" w:color="auto"/>
          </w:divBdr>
        </w:div>
        <w:div w:id="68821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814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0917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9874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4515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6730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89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70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586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411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39469">
          <w:blockQuote w:val="1"/>
          <w:marLeft w:val="720"/>
          <w:marRight w:val="720"/>
          <w:marTop w:val="100"/>
          <w:marBottom w:val="100"/>
          <w:divBdr>
            <w:top w:val="none" w:sz="0" w:space="0" w:color="auto"/>
            <w:left w:val="none" w:sz="0" w:space="0" w:color="auto"/>
            <w:bottom w:val="none" w:sz="0" w:space="0" w:color="auto"/>
            <w:right w:val="none" w:sz="0" w:space="0" w:color="auto"/>
          </w:divBdr>
        </w:div>
        <w:div w:id="668866502">
          <w:blockQuote w:val="1"/>
          <w:marLeft w:val="720"/>
          <w:marRight w:val="720"/>
          <w:marTop w:val="100"/>
          <w:marBottom w:val="100"/>
          <w:divBdr>
            <w:top w:val="none" w:sz="0" w:space="0" w:color="auto"/>
            <w:left w:val="none" w:sz="0" w:space="0" w:color="auto"/>
            <w:bottom w:val="none" w:sz="0" w:space="0" w:color="auto"/>
            <w:right w:val="none" w:sz="0" w:space="0" w:color="auto"/>
          </w:divBdr>
        </w:div>
        <w:div w:id="468400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0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52340226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93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810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686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31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284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64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7544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5621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0000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1000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0592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8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3485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3404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870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9553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19078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727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33522269">
      <w:bodyDiv w:val="1"/>
      <w:marLeft w:val="0"/>
      <w:marRight w:val="0"/>
      <w:marTop w:val="0"/>
      <w:marBottom w:val="0"/>
      <w:divBdr>
        <w:top w:val="none" w:sz="0" w:space="0" w:color="auto"/>
        <w:left w:val="none" w:sz="0" w:space="0" w:color="auto"/>
        <w:bottom w:val="none" w:sz="0" w:space="0" w:color="auto"/>
        <w:right w:val="none" w:sz="0" w:space="0" w:color="auto"/>
      </w:divBdr>
      <w:divsChild>
        <w:div w:id="270288546">
          <w:marLeft w:val="0"/>
          <w:marRight w:val="0"/>
          <w:marTop w:val="0"/>
          <w:marBottom w:val="0"/>
          <w:divBdr>
            <w:top w:val="none" w:sz="0" w:space="0" w:color="auto"/>
            <w:left w:val="none" w:sz="0" w:space="0" w:color="auto"/>
            <w:bottom w:val="none" w:sz="0" w:space="0" w:color="auto"/>
            <w:right w:val="none" w:sz="0" w:space="0" w:color="auto"/>
          </w:divBdr>
          <w:divsChild>
            <w:div w:id="546912554">
              <w:marLeft w:val="0"/>
              <w:marRight w:val="0"/>
              <w:marTop w:val="0"/>
              <w:marBottom w:val="0"/>
              <w:divBdr>
                <w:top w:val="none" w:sz="0" w:space="0" w:color="auto"/>
                <w:left w:val="none" w:sz="0" w:space="0" w:color="auto"/>
                <w:bottom w:val="none" w:sz="0" w:space="0" w:color="auto"/>
                <w:right w:val="none" w:sz="0" w:space="0" w:color="auto"/>
              </w:divBdr>
              <w:divsChild>
                <w:div w:id="235477328">
                  <w:marLeft w:val="0"/>
                  <w:marRight w:val="0"/>
                  <w:marTop w:val="0"/>
                  <w:marBottom w:val="0"/>
                  <w:divBdr>
                    <w:top w:val="none" w:sz="0" w:space="0" w:color="auto"/>
                    <w:left w:val="none" w:sz="0" w:space="0" w:color="auto"/>
                    <w:bottom w:val="none" w:sz="0" w:space="0" w:color="auto"/>
                    <w:right w:val="none" w:sz="0" w:space="0" w:color="auto"/>
                  </w:divBdr>
                  <w:divsChild>
                    <w:div w:id="13222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41376">
      <w:bodyDiv w:val="1"/>
      <w:marLeft w:val="0"/>
      <w:marRight w:val="0"/>
      <w:marTop w:val="0"/>
      <w:marBottom w:val="0"/>
      <w:divBdr>
        <w:top w:val="none" w:sz="0" w:space="0" w:color="auto"/>
        <w:left w:val="none" w:sz="0" w:space="0" w:color="auto"/>
        <w:bottom w:val="none" w:sz="0" w:space="0" w:color="auto"/>
        <w:right w:val="none" w:sz="0" w:space="0" w:color="auto"/>
      </w:divBdr>
    </w:div>
    <w:div w:id="1312560913">
      <w:bodyDiv w:val="1"/>
      <w:marLeft w:val="0"/>
      <w:marRight w:val="0"/>
      <w:marTop w:val="0"/>
      <w:marBottom w:val="0"/>
      <w:divBdr>
        <w:top w:val="none" w:sz="0" w:space="0" w:color="auto"/>
        <w:left w:val="none" w:sz="0" w:space="0" w:color="auto"/>
        <w:bottom w:val="none" w:sz="0" w:space="0" w:color="auto"/>
        <w:right w:val="none" w:sz="0" w:space="0" w:color="auto"/>
      </w:divBdr>
    </w:div>
    <w:div w:id="1485662238">
      <w:bodyDiv w:val="1"/>
      <w:marLeft w:val="0"/>
      <w:marRight w:val="0"/>
      <w:marTop w:val="0"/>
      <w:marBottom w:val="0"/>
      <w:divBdr>
        <w:top w:val="none" w:sz="0" w:space="0" w:color="auto"/>
        <w:left w:val="none" w:sz="0" w:space="0" w:color="auto"/>
        <w:bottom w:val="none" w:sz="0" w:space="0" w:color="auto"/>
        <w:right w:val="none" w:sz="0" w:space="0" w:color="auto"/>
      </w:divBdr>
      <w:divsChild>
        <w:div w:id="58479414">
          <w:marLeft w:val="0"/>
          <w:marRight w:val="0"/>
          <w:marTop w:val="0"/>
          <w:marBottom w:val="0"/>
          <w:divBdr>
            <w:top w:val="none" w:sz="0" w:space="0" w:color="auto"/>
            <w:left w:val="none" w:sz="0" w:space="0" w:color="auto"/>
            <w:bottom w:val="none" w:sz="0" w:space="0" w:color="auto"/>
            <w:right w:val="none" w:sz="0" w:space="0" w:color="auto"/>
          </w:divBdr>
          <w:divsChild>
            <w:div w:id="1386637780">
              <w:marLeft w:val="0"/>
              <w:marRight w:val="0"/>
              <w:marTop w:val="0"/>
              <w:marBottom w:val="0"/>
              <w:divBdr>
                <w:top w:val="none" w:sz="0" w:space="0" w:color="auto"/>
                <w:left w:val="none" w:sz="0" w:space="0" w:color="auto"/>
                <w:bottom w:val="none" w:sz="0" w:space="0" w:color="auto"/>
                <w:right w:val="none" w:sz="0" w:space="0" w:color="auto"/>
              </w:divBdr>
              <w:divsChild>
                <w:div w:id="36006705">
                  <w:marLeft w:val="0"/>
                  <w:marRight w:val="0"/>
                  <w:marTop w:val="0"/>
                  <w:marBottom w:val="0"/>
                  <w:divBdr>
                    <w:top w:val="none" w:sz="0" w:space="0" w:color="auto"/>
                    <w:left w:val="none" w:sz="0" w:space="0" w:color="auto"/>
                    <w:bottom w:val="none" w:sz="0" w:space="0" w:color="auto"/>
                    <w:right w:val="none" w:sz="0" w:space="0" w:color="auto"/>
                  </w:divBdr>
                  <w:divsChild>
                    <w:div w:id="263610311">
                      <w:marLeft w:val="0"/>
                      <w:marRight w:val="0"/>
                      <w:marTop w:val="0"/>
                      <w:marBottom w:val="0"/>
                      <w:divBdr>
                        <w:top w:val="none" w:sz="0" w:space="0" w:color="auto"/>
                        <w:left w:val="none" w:sz="0" w:space="0" w:color="auto"/>
                        <w:bottom w:val="none" w:sz="0" w:space="0" w:color="auto"/>
                        <w:right w:val="none" w:sz="0" w:space="0" w:color="auto"/>
                      </w:divBdr>
                      <w:divsChild>
                        <w:div w:id="113598588">
                          <w:marLeft w:val="0"/>
                          <w:marRight w:val="0"/>
                          <w:marTop w:val="0"/>
                          <w:marBottom w:val="0"/>
                          <w:divBdr>
                            <w:top w:val="none" w:sz="0" w:space="0" w:color="auto"/>
                            <w:left w:val="none" w:sz="0" w:space="0" w:color="auto"/>
                            <w:bottom w:val="none" w:sz="0" w:space="0" w:color="auto"/>
                            <w:right w:val="none" w:sz="0" w:space="0" w:color="auto"/>
                          </w:divBdr>
                          <w:divsChild>
                            <w:div w:id="1501308370">
                              <w:marLeft w:val="0"/>
                              <w:marRight w:val="0"/>
                              <w:marTop w:val="0"/>
                              <w:marBottom w:val="0"/>
                              <w:divBdr>
                                <w:top w:val="none" w:sz="0" w:space="0" w:color="auto"/>
                                <w:left w:val="none" w:sz="0" w:space="0" w:color="auto"/>
                                <w:bottom w:val="none" w:sz="0" w:space="0" w:color="auto"/>
                                <w:right w:val="none" w:sz="0" w:space="0" w:color="auto"/>
                              </w:divBdr>
                              <w:divsChild>
                                <w:div w:id="1659115604">
                                  <w:marLeft w:val="0"/>
                                  <w:marRight w:val="0"/>
                                  <w:marTop w:val="0"/>
                                  <w:marBottom w:val="0"/>
                                  <w:divBdr>
                                    <w:top w:val="none" w:sz="0" w:space="0" w:color="auto"/>
                                    <w:left w:val="none" w:sz="0" w:space="0" w:color="auto"/>
                                    <w:bottom w:val="none" w:sz="0" w:space="0" w:color="auto"/>
                                    <w:right w:val="none" w:sz="0" w:space="0" w:color="auto"/>
                                  </w:divBdr>
                                  <w:divsChild>
                                    <w:div w:id="1485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907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cgi-bin/redirect.cgi?path=/uk/cases/UKSC/2018/58.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bailii.org/cgi-bin/redirect.cgi?path=/ew/cases/EWCA/Civ/2019/1925.html" TargetMode="External"/><Relationship Id="rId4" Type="http://schemas.openxmlformats.org/officeDocument/2006/relationships/webSettings" Target="webSettings.xml"/><Relationship Id="rId9" Type="http://schemas.openxmlformats.org/officeDocument/2006/relationships/hyperlink" Target="https://www.bailii.org/ew/cases/EWCA/Civ/2019/1925.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7433</Words>
  <Characters>37197</Characters>
  <Application>Microsoft Office Word</Application>
  <DocSecurity>0</DocSecurity>
  <Lines>309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44541</CharactersWithSpaces>
  <SharedDoc>false</SharedDoc>
  <HLinks>
    <vt:vector size="6" baseType="variant">
      <vt:variant>
        <vt:i4>1507412</vt:i4>
      </vt:variant>
      <vt:variant>
        <vt:i4>0</vt:i4>
      </vt:variant>
      <vt:variant>
        <vt:i4>0</vt:i4>
      </vt:variant>
      <vt:variant>
        <vt:i4>5</vt:i4>
      </vt:variant>
      <vt:variant>
        <vt:lpwstr>mailto:LoughboroughEdets@tribunals.gsi.gov.uk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2020-12-09T15:04:00Z</dcterms:created>
  <dcterms:modified xsi:type="dcterms:W3CDTF">2020-12-09T15:04:00Z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