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E3402" w14:textId="77777777" w:rsidR="00643BFC" w:rsidRPr="000704BB" w:rsidRDefault="002E0C6B" w:rsidP="00643BFC">
      <w:pPr>
        <w:jc w:val="center"/>
        <w:rPr>
          <w:rFonts w:ascii="Book Antiqua" w:hAnsi="Book Antiqua" w:cs="Arial"/>
          <w:caps/>
          <w:color w:val="000000"/>
          <w:sz w:val="16"/>
          <w:szCs w:val="16"/>
        </w:rPr>
      </w:pPr>
      <w:r>
        <w:rPr>
          <w:noProof/>
        </w:rPr>
        <w:drawing>
          <wp:inline distT="0" distB="0" distL="0" distR="0" wp14:anchorId="66D4457E" wp14:editId="787ADEAB">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14:paraId="42F0EF11" w14:textId="77777777" w:rsidR="00D94AFC" w:rsidRPr="000704BB" w:rsidRDefault="00D94AFC">
      <w:pPr>
        <w:rPr>
          <w:rFonts w:ascii="Book Antiqua" w:hAnsi="Book Antiqua" w:cs="Arial"/>
          <w:color w:val="000000"/>
        </w:rPr>
      </w:pPr>
    </w:p>
    <w:p w14:paraId="30103F63"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7A5C7521" w14:textId="77777777"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2E0C6B">
        <w:rPr>
          <w:rFonts w:ascii="Book Antiqua" w:hAnsi="Book Antiqua" w:cs="Arial"/>
          <w:caps/>
          <w:color w:val="000000"/>
        </w:rPr>
        <w:t>hu/18374/2016</w:t>
      </w:r>
      <w:bookmarkEnd w:id="0"/>
    </w:p>
    <w:p w14:paraId="48066DB8" w14:textId="77777777" w:rsidR="00C345E1" w:rsidRPr="000704BB" w:rsidRDefault="00C345E1" w:rsidP="00C345E1">
      <w:pPr>
        <w:jc w:val="center"/>
        <w:rPr>
          <w:rFonts w:ascii="Book Antiqua" w:hAnsi="Book Antiqua" w:cs="Arial"/>
          <w:color w:val="000000"/>
        </w:rPr>
      </w:pPr>
    </w:p>
    <w:p w14:paraId="4F6422A9" w14:textId="77777777" w:rsidR="00024565" w:rsidRDefault="00024565" w:rsidP="00C345E1">
      <w:pPr>
        <w:jc w:val="center"/>
        <w:rPr>
          <w:rFonts w:ascii="Book Antiqua" w:hAnsi="Book Antiqua" w:cs="Arial"/>
          <w:b/>
          <w:color w:val="000000"/>
          <w:u w:val="single"/>
        </w:rPr>
      </w:pPr>
    </w:p>
    <w:p w14:paraId="39AC1A10" w14:textId="2EECD996"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1A70B912" w14:textId="77777777" w:rsidR="00C345E1" w:rsidRPr="000704BB" w:rsidRDefault="00C345E1" w:rsidP="00C345E1">
      <w:pPr>
        <w:jc w:val="center"/>
        <w:rPr>
          <w:rFonts w:ascii="Book Antiqua" w:hAnsi="Book Antiqua" w:cs="Arial"/>
          <w:b/>
          <w:u w:val="single"/>
        </w:rPr>
      </w:pPr>
    </w:p>
    <w:p w14:paraId="7178B889" w14:textId="77777777" w:rsidR="00C345E1" w:rsidRPr="000704BB" w:rsidRDefault="00C345E1" w:rsidP="00C345E1">
      <w:pPr>
        <w:jc w:val="center"/>
        <w:rPr>
          <w:rFonts w:ascii="Book Antiqua" w:hAnsi="Book Antiqua" w:cs="Arial"/>
          <w:b/>
          <w:u w:val="single"/>
        </w:rPr>
      </w:pPr>
    </w:p>
    <w:tbl>
      <w:tblPr>
        <w:tblStyle w:val="TableGrid"/>
        <w:tblW w:w="10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247"/>
        <w:gridCol w:w="4090"/>
      </w:tblGrid>
      <w:tr w:rsidR="00D22636" w:rsidRPr="000704BB" w14:paraId="4E62D291" w14:textId="77777777" w:rsidTr="00195327">
        <w:trPr>
          <w:trHeight w:val="275"/>
        </w:trPr>
        <w:tc>
          <w:tcPr>
            <w:tcW w:w="6247" w:type="dxa"/>
          </w:tcPr>
          <w:p w14:paraId="3F4C472C"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2E0C6B">
              <w:rPr>
                <w:rFonts w:ascii="Book Antiqua" w:hAnsi="Book Antiqua" w:cs="Arial"/>
                <w:b/>
              </w:rPr>
              <w:t>Field House</w:t>
            </w:r>
          </w:p>
        </w:tc>
        <w:tc>
          <w:tcPr>
            <w:tcW w:w="4090" w:type="dxa"/>
          </w:tcPr>
          <w:p w14:paraId="6C532FEF" w14:textId="77777777" w:rsidR="00D22636" w:rsidRPr="000704BB" w:rsidRDefault="001C7F2A"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421DFC46" w14:textId="77777777" w:rsidTr="00195327">
        <w:trPr>
          <w:trHeight w:val="289"/>
        </w:trPr>
        <w:tc>
          <w:tcPr>
            <w:tcW w:w="6247" w:type="dxa"/>
          </w:tcPr>
          <w:p w14:paraId="4034F07F"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2E0C6B">
              <w:rPr>
                <w:rFonts w:ascii="Book Antiqua" w:hAnsi="Book Antiqua" w:cs="Arial"/>
                <w:b/>
              </w:rPr>
              <w:t>7</w:t>
            </w:r>
            <w:r w:rsidR="002E0C6B" w:rsidRPr="002E0C6B">
              <w:rPr>
                <w:rFonts w:ascii="Book Antiqua" w:hAnsi="Book Antiqua" w:cs="Arial"/>
                <w:b/>
                <w:vertAlign w:val="superscript"/>
              </w:rPr>
              <w:t>th</w:t>
            </w:r>
            <w:r w:rsidR="002E0C6B">
              <w:rPr>
                <w:rFonts w:ascii="Book Antiqua" w:hAnsi="Book Antiqua" w:cs="Arial"/>
                <w:b/>
              </w:rPr>
              <w:t xml:space="preserve"> August 2018</w:t>
            </w:r>
          </w:p>
        </w:tc>
        <w:tc>
          <w:tcPr>
            <w:tcW w:w="4090" w:type="dxa"/>
          </w:tcPr>
          <w:p w14:paraId="49FB2096" w14:textId="77F21D12" w:rsidR="00D22636" w:rsidRPr="000704BB" w:rsidRDefault="00195327" w:rsidP="004A1848">
            <w:pPr>
              <w:jc w:val="both"/>
              <w:rPr>
                <w:rFonts w:ascii="Book Antiqua" w:hAnsi="Book Antiqua" w:cs="Arial"/>
                <w:b/>
              </w:rPr>
            </w:pPr>
            <w:r>
              <w:rPr>
                <w:rFonts w:ascii="Book Antiqua" w:hAnsi="Book Antiqua" w:cs="Arial"/>
                <w:b/>
              </w:rPr>
              <w:t>On 11 September 2018</w:t>
            </w:r>
          </w:p>
        </w:tc>
      </w:tr>
      <w:tr w:rsidR="00D22636" w:rsidRPr="000704BB" w14:paraId="434D9EC1" w14:textId="77777777" w:rsidTr="00195327">
        <w:trPr>
          <w:trHeight w:val="275"/>
        </w:trPr>
        <w:tc>
          <w:tcPr>
            <w:tcW w:w="6247" w:type="dxa"/>
          </w:tcPr>
          <w:p w14:paraId="1363E4D8" w14:textId="77777777" w:rsidR="00D22636" w:rsidRPr="000704BB" w:rsidRDefault="00D22636" w:rsidP="004A1848">
            <w:pPr>
              <w:jc w:val="both"/>
              <w:rPr>
                <w:rFonts w:ascii="Book Antiqua" w:hAnsi="Book Antiqua" w:cs="Arial"/>
                <w:b/>
              </w:rPr>
            </w:pPr>
          </w:p>
        </w:tc>
        <w:tc>
          <w:tcPr>
            <w:tcW w:w="4090" w:type="dxa"/>
          </w:tcPr>
          <w:p w14:paraId="7A4EFD05" w14:textId="0F52AA65" w:rsidR="00D22636" w:rsidRPr="000704BB" w:rsidRDefault="00D22636" w:rsidP="004A1848">
            <w:pPr>
              <w:jc w:val="both"/>
              <w:rPr>
                <w:rFonts w:ascii="Book Antiqua" w:hAnsi="Book Antiqua" w:cs="Arial"/>
                <w:b/>
              </w:rPr>
            </w:pPr>
          </w:p>
        </w:tc>
      </w:tr>
    </w:tbl>
    <w:p w14:paraId="52A7DCBC" w14:textId="77777777" w:rsidR="00024565" w:rsidRDefault="00024565" w:rsidP="00A15234">
      <w:pPr>
        <w:jc w:val="center"/>
        <w:rPr>
          <w:rFonts w:ascii="Book Antiqua" w:hAnsi="Book Antiqua" w:cs="Arial"/>
          <w:b/>
        </w:rPr>
      </w:pPr>
    </w:p>
    <w:p w14:paraId="13D0285C" w14:textId="1ACD57A4"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33A90785" w14:textId="77777777" w:rsidR="00A15234" w:rsidRPr="000704BB" w:rsidRDefault="00A15234" w:rsidP="00A15234">
      <w:pPr>
        <w:jc w:val="center"/>
        <w:rPr>
          <w:rFonts w:ascii="Book Antiqua" w:hAnsi="Book Antiqua" w:cs="Arial"/>
          <w:b/>
        </w:rPr>
      </w:pPr>
    </w:p>
    <w:p w14:paraId="769258B2" w14:textId="77777777" w:rsidR="00D20757" w:rsidRPr="000704BB" w:rsidRDefault="006D6955" w:rsidP="00A15234">
      <w:pPr>
        <w:jc w:val="center"/>
        <w:rPr>
          <w:rFonts w:ascii="Book Antiqua" w:hAnsi="Book Antiqua" w:cs="Arial"/>
          <w:b/>
          <w:color w:val="000000"/>
        </w:rPr>
      </w:pPr>
      <w:r>
        <w:rPr>
          <w:rFonts w:ascii="Book Antiqua" w:hAnsi="Book Antiqua" w:cs="Arial"/>
          <w:b/>
          <w:color w:val="000000"/>
        </w:rPr>
        <w:t xml:space="preserve">DEPUTY UPPER TRIBUNAL </w:t>
      </w:r>
      <w:r w:rsidR="001B2F75" w:rsidRPr="000704BB">
        <w:rPr>
          <w:rFonts w:ascii="Book Antiqua" w:hAnsi="Book Antiqua" w:cs="Arial"/>
          <w:b/>
          <w:color w:val="000000"/>
        </w:rPr>
        <w:t xml:space="preserve">JUDGE </w:t>
      </w:r>
      <w:r w:rsidR="002D53E5">
        <w:rPr>
          <w:rFonts w:ascii="Book Antiqua" w:hAnsi="Book Antiqua" w:cs="Arial"/>
          <w:b/>
          <w:color w:val="000000"/>
        </w:rPr>
        <w:t>R C CAMPBELL</w:t>
      </w:r>
    </w:p>
    <w:p w14:paraId="6761ADA2" w14:textId="77777777" w:rsidR="001B186A" w:rsidRPr="000704BB" w:rsidRDefault="001B186A" w:rsidP="00A15234">
      <w:pPr>
        <w:jc w:val="center"/>
        <w:rPr>
          <w:rFonts w:ascii="Book Antiqua" w:hAnsi="Book Antiqua" w:cs="Arial"/>
          <w:b/>
          <w:color w:val="000000"/>
        </w:rPr>
      </w:pPr>
    </w:p>
    <w:p w14:paraId="79270C69" w14:textId="77777777" w:rsidR="00024565" w:rsidRDefault="00024565" w:rsidP="00A15234">
      <w:pPr>
        <w:jc w:val="center"/>
        <w:rPr>
          <w:rFonts w:ascii="Book Antiqua" w:hAnsi="Book Antiqua" w:cs="Arial"/>
          <w:b/>
        </w:rPr>
      </w:pPr>
    </w:p>
    <w:p w14:paraId="294EFB31" w14:textId="6C00E390"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56074A63" w14:textId="77777777" w:rsidR="00A845DC" w:rsidRPr="000704BB" w:rsidRDefault="00A845DC" w:rsidP="00A15234">
      <w:pPr>
        <w:jc w:val="center"/>
        <w:rPr>
          <w:rFonts w:ascii="Book Antiqua" w:hAnsi="Book Antiqua" w:cs="Arial"/>
          <w:b/>
        </w:rPr>
      </w:pPr>
    </w:p>
    <w:p w14:paraId="70BD8BA8" w14:textId="77777777" w:rsidR="00A845DC" w:rsidRDefault="002E0C6B" w:rsidP="00A15234">
      <w:pPr>
        <w:jc w:val="center"/>
        <w:rPr>
          <w:rFonts w:ascii="Book Antiqua" w:hAnsi="Book Antiqua" w:cs="Arial"/>
          <w:b/>
          <w:caps/>
        </w:rPr>
      </w:pPr>
      <w:r>
        <w:rPr>
          <w:rFonts w:ascii="Book Antiqua" w:hAnsi="Book Antiqua" w:cs="Arial"/>
          <w:b/>
          <w:caps/>
        </w:rPr>
        <w:t>mr muraleethas iyathurai</w:t>
      </w:r>
    </w:p>
    <w:p w14:paraId="32A3A81D" w14:textId="77777777" w:rsidR="001C7F2A" w:rsidRDefault="001C7F2A" w:rsidP="001C7F2A">
      <w:pPr>
        <w:jc w:val="center"/>
        <w:rPr>
          <w:rFonts w:ascii="Book Antiqua" w:hAnsi="Book Antiqua" w:cs="Arial"/>
          <w:b/>
          <w:caps/>
        </w:rPr>
      </w:pPr>
      <w:r w:rsidRPr="001C7F2A">
        <w:rPr>
          <w:rFonts w:ascii="Book Antiqua" w:hAnsi="Book Antiqua" w:cs="Arial"/>
          <w:b/>
          <w:caps/>
        </w:rPr>
        <w:t xml:space="preserve">(ANONYMITY DIRECTION </w:t>
      </w:r>
      <w:r w:rsidR="007E31BD">
        <w:rPr>
          <w:rFonts w:ascii="Book Antiqua" w:hAnsi="Book Antiqua" w:cs="Arial"/>
          <w:b/>
          <w:caps/>
        </w:rPr>
        <w:t>NOT MADE</w:t>
      </w:r>
      <w:r w:rsidRPr="001C7F2A">
        <w:rPr>
          <w:rFonts w:ascii="Book Antiqua" w:hAnsi="Book Antiqua" w:cs="Arial"/>
          <w:b/>
          <w:caps/>
        </w:rPr>
        <w:t>)</w:t>
      </w:r>
    </w:p>
    <w:p w14:paraId="4B753295" w14:textId="77777777" w:rsidR="00704B61" w:rsidRPr="000704BB" w:rsidRDefault="00704B61" w:rsidP="00A15234">
      <w:pPr>
        <w:jc w:val="center"/>
        <w:rPr>
          <w:rFonts w:ascii="Book Antiqua" w:hAnsi="Book Antiqua" w:cs="Arial"/>
          <w:b/>
        </w:rPr>
      </w:pPr>
    </w:p>
    <w:p w14:paraId="6A2253FF"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41FD3D9F"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2B31CA64" w14:textId="77777777" w:rsidR="00DD5071" w:rsidRPr="000704BB" w:rsidRDefault="00DD5071" w:rsidP="00704B61">
      <w:pPr>
        <w:jc w:val="center"/>
        <w:rPr>
          <w:rFonts w:ascii="Book Antiqua" w:hAnsi="Book Antiqua" w:cs="Arial"/>
          <w:b/>
        </w:rPr>
      </w:pPr>
    </w:p>
    <w:p w14:paraId="302E18B3" w14:textId="77777777"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14:paraId="7376519B" w14:textId="77777777" w:rsidR="00DD5071" w:rsidRPr="000704BB" w:rsidRDefault="00DD5071" w:rsidP="00704B61">
      <w:pPr>
        <w:jc w:val="center"/>
        <w:rPr>
          <w:rFonts w:ascii="Book Antiqua" w:hAnsi="Book Antiqua" w:cs="Arial"/>
          <w:b/>
        </w:rPr>
      </w:pPr>
    </w:p>
    <w:p w14:paraId="1D25AB8F"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75215EB3" w14:textId="34356E62" w:rsidR="00024565" w:rsidRDefault="00024565" w:rsidP="00DD5071">
      <w:pPr>
        <w:rPr>
          <w:rFonts w:ascii="Book Antiqua" w:hAnsi="Book Antiqua" w:cs="Arial"/>
          <w:b/>
          <w:u w:val="single"/>
        </w:rPr>
      </w:pPr>
    </w:p>
    <w:p w14:paraId="00D879FA" w14:textId="77777777" w:rsidR="00024565" w:rsidRDefault="00024565" w:rsidP="00DD5071">
      <w:pPr>
        <w:rPr>
          <w:rFonts w:ascii="Book Antiqua" w:hAnsi="Book Antiqua" w:cs="Arial"/>
          <w:b/>
          <w:u w:val="single"/>
        </w:rPr>
      </w:pPr>
    </w:p>
    <w:p w14:paraId="4933575A" w14:textId="7D02F296"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28202E00"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FB0658">
        <w:rPr>
          <w:rFonts w:ascii="Book Antiqua" w:hAnsi="Book Antiqua" w:cs="Arial"/>
        </w:rPr>
        <w:t>Ms L Turnbull (Counsel)</w:t>
      </w:r>
    </w:p>
    <w:p w14:paraId="759183C6"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FB0658">
        <w:rPr>
          <w:rFonts w:ascii="Book Antiqua" w:hAnsi="Book Antiqua" w:cs="Arial"/>
        </w:rPr>
        <w:t>Mr D Clarke (Senior Home Office Presenting Officer)</w:t>
      </w:r>
    </w:p>
    <w:p w14:paraId="6A793199" w14:textId="77777777" w:rsidR="00DE7DB7" w:rsidRPr="000704BB" w:rsidRDefault="00DE7DB7" w:rsidP="00402B9E">
      <w:pPr>
        <w:tabs>
          <w:tab w:val="left" w:pos="2520"/>
        </w:tabs>
        <w:jc w:val="center"/>
        <w:rPr>
          <w:rFonts w:ascii="Book Antiqua" w:hAnsi="Book Antiqua" w:cs="Arial"/>
        </w:rPr>
      </w:pPr>
    </w:p>
    <w:p w14:paraId="46709F5C" w14:textId="77777777" w:rsidR="00DE7DB7" w:rsidRPr="000704BB" w:rsidRDefault="00DE7DB7" w:rsidP="00402B9E">
      <w:pPr>
        <w:tabs>
          <w:tab w:val="left" w:pos="2520"/>
        </w:tabs>
        <w:jc w:val="center"/>
        <w:rPr>
          <w:rFonts w:ascii="Book Antiqua" w:hAnsi="Book Antiqua" w:cs="Arial"/>
        </w:rPr>
      </w:pPr>
    </w:p>
    <w:p w14:paraId="699E7206" w14:textId="77777777" w:rsidR="00DE7DB7" w:rsidRPr="000704BB" w:rsidRDefault="001C7F2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r w:rsidR="00FB0658">
        <w:rPr>
          <w:rFonts w:ascii="Book Antiqua" w:hAnsi="Book Antiqua" w:cs="Arial"/>
          <w:b/>
          <w:u w:val="single"/>
        </w:rPr>
        <w:t xml:space="preserve"> ON ERROR OF LAW</w:t>
      </w:r>
    </w:p>
    <w:p w14:paraId="70DE3F50" w14:textId="77777777" w:rsidR="00402B9E" w:rsidRPr="000704BB" w:rsidRDefault="00402B9E" w:rsidP="00402B9E">
      <w:pPr>
        <w:tabs>
          <w:tab w:val="left" w:pos="2520"/>
        </w:tabs>
        <w:jc w:val="both"/>
        <w:rPr>
          <w:rFonts w:ascii="Book Antiqua" w:hAnsi="Book Antiqua" w:cs="Arial"/>
        </w:rPr>
      </w:pPr>
    </w:p>
    <w:p w14:paraId="192FC2E5" w14:textId="77777777" w:rsidR="00BF23BB" w:rsidRDefault="00402B9E" w:rsidP="00540F24">
      <w:pPr>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FB0658">
        <w:rPr>
          <w:rFonts w:ascii="Book Antiqua" w:hAnsi="Book Antiqua" w:cs="Arial"/>
        </w:rPr>
        <w:t>The appellant’s appeal against a decision to refuse his human rights claim was dismissed by First-tier Tribunal Judge O’Brien (“the Judge”) in a decision promulgated on 17</w:t>
      </w:r>
      <w:r w:rsidR="00FB0658" w:rsidRPr="00FB0658">
        <w:rPr>
          <w:rFonts w:ascii="Book Antiqua" w:hAnsi="Book Antiqua" w:cs="Arial"/>
          <w:vertAlign w:val="superscript"/>
        </w:rPr>
        <w:t>th</w:t>
      </w:r>
      <w:r w:rsidR="00FB0658">
        <w:rPr>
          <w:rFonts w:ascii="Book Antiqua" w:hAnsi="Book Antiqua" w:cs="Arial"/>
        </w:rPr>
        <w:t xml:space="preserve"> January 2018.  The appellant relied upon his human rights, in relation to family life with his wife, a British citizen and (though this was not a substantial part of his case) his private life ties.  The judge found that the requirements of the Immigration </w:t>
      </w:r>
      <w:r w:rsidR="00FB0658">
        <w:rPr>
          <w:rFonts w:ascii="Book Antiqua" w:hAnsi="Book Antiqua" w:cs="Arial"/>
        </w:rPr>
        <w:lastRenderedPageBreak/>
        <w:t xml:space="preserve">Rules </w:t>
      </w:r>
      <w:r w:rsidR="00032447">
        <w:rPr>
          <w:rFonts w:ascii="Book Antiqua" w:hAnsi="Book Antiqua" w:cs="Arial"/>
        </w:rPr>
        <w:t xml:space="preserve">(“the rules”) </w:t>
      </w:r>
      <w:r w:rsidR="00FB0658">
        <w:rPr>
          <w:rFonts w:ascii="Book Antiqua" w:hAnsi="Book Antiqua" w:cs="Arial"/>
        </w:rPr>
        <w:t>were not met and, in particular, that the appellant could not show that he fell withi</w:t>
      </w:r>
      <w:r w:rsidR="00BB214C">
        <w:rPr>
          <w:rFonts w:ascii="Book Antiqua" w:hAnsi="Book Antiqua" w:cs="Arial"/>
        </w:rPr>
        <w:t>n paragraph EX.1 of Appendix FM.</w:t>
      </w:r>
      <w:r w:rsidR="00FB0658">
        <w:rPr>
          <w:rFonts w:ascii="Book Antiqua" w:hAnsi="Book Antiqua" w:cs="Arial"/>
        </w:rPr>
        <w:t xml:space="preserve">  In his overall assessment, the judge found that the public interest outweighed the interests of the appellant a</w:t>
      </w:r>
      <w:r w:rsidR="00BB214C">
        <w:rPr>
          <w:rFonts w:ascii="Book Antiqua" w:hAnsi="Book Antiqua" w:cs="Arial"/>
        </w:rPr>
        <w:t>nd his wife and that removal in</w:t>
      </w:r>
      <w:r w:rsidR="00FB0658">
        <w:rPr>
          <w:rFonts w:ascii="Book Antiqua" w:hAnsi="Book Antiqua" w:cs="Arial"/>
        </w:rPr>
        <w:t xml:space="preserve"> consequence of refusal of the human rights claim would not breach Article 8 of the Human Rights Convention.</w:t>
      </w:r>
    </w:p>
    <w:p w14:paraId="58549525" w14:textId="77777777" w:rsidR="00FB0658" w:rsidRDefault="00FB0658" w:rsidP="00540F24">
      <w:pPr>
        <w:ind w:left="567" w:hanging="567"/>
        <w:jc w:val="both"/>
        <w:rPr>
          <w:rFonts w:ascii="Book Antiqua" w:hAnsi="Book Antiqua" w:cs="Arial"/>
        </w:rPr>
      </w:pPr>
    </w:p>
    <w:p w14:paraId="3FEA90FF" w14:textId="77777777" w:rsidR="00FB0658" w:rsidRDefault="00FB0658" w:rsidP="00540F24">
      <w:pPr>
        <w:ind w:left="567" w:hanging="567"/>
        <w:jc w:val="both"/>
        <w:rPr>
          <w:rFonts w:ascii="Book Antiqua" w:hAnsi="Book Antiqua" w:cs="Arial"/>
        </w:rPr>
      </w:pPr>
      <w:r>
        <w:rPr>
          <w:rFonts w:ascii="Book Antiqua" w:hAnsi="Book Antiqua" w:cs="Arial"/>
        </w:rPr>
        <w:t>2.</w:t>
      </w:r>
      <w:r>
        <w:rPr>
          <w:rFonts w:ascii="Book Antiqua" w:hAnsi="Book Antiqua" w:cs="Arial"/>
        </w:rPr>
        <w:tab/>
        <w:t>Permission to appeal was granted by a First-tier Tribunal Judge on 15</w:t>
      </w:r>
      <w:r w:rsidRPr="00FB0658">
        <w:rPr>
          <w:rFonts w:ascii="Book Antiqua" w:hAnsi="Book Antiqua" w:cs="Arial"/>
          <w:vertAlign w:val="superscript"/>
        </w:rPr>
        <w:t>th</w:t>
      </w:r>
      <w:r w:rsidR="00BB214C">
        <w:rPr>
          <w:rFonts w:ascii="Book Antiqua" w:hAnsi="Book Antiqua" w:cs="Arial"/>
        </w:rPr>
        <w:t xml:space="preserve"> May 2018, o</w:t>
      </w:r>
      <w:r>
        <w:rPr>
          <w:rFonts w:ascii="Book Antiqua" w:hAnsi="Book Antiqua" w:cs="Arial"/>
        </w:rPr>
        <w:t>n the basis that the judge may have e</w:t>
      </w:r>
      <w:r w:rsidR="00BB214C">
        <w:rPr>
          <w:rFonts w:ascii="Book Antiqua" w:hAnsi="Book Antiqua" w:cs="Arial"/>
        </w:rPr>
        <w:t xml:space="preserve">rred in failing to make </w:t>
      </w:r>
      <w:r>
        <w:rPr>
          <w:rFonts w:ascii="Book Antiqua" w:hAnsi="Book Antiqua" w:cs="Arial"/>
        </w:rPr>
        <w:t>findings as to the extent that the appellant met the requir</w:t>
      </w:r>
      <w:r w:rsidR="00BB214C">
        <w:rPr>
          <w:rFonts w:ascii="Book Antiqua" w:hAnsi="Book Antiqua" w:cs="Arial"/>
        </w:rPr>
        <w:t>ements for leave</w:t>
      </w:r>
      <w:r>
        <w:rPr>
          <w:rFonts w:ascii="Book Antiqua" w:hAnsi="Book Antiqua" w:cs="Arial"/>
        </w:rPr>
        <w:t xml:space="preserve"> to remain as a spouse.  The judge granting permission observed that the appellant ought not to take the grant as an indication that the appeal would be successful as, apart from anything else, it might prove difficult for him </w:t>
      </w:r>
      <w:r w:rsidR="00BB214C">
        <w:rPr>
          <w:rFonts w:ascii="Book Antiqua" w:hAnsi="Book Antiqua" w:cs="Arial"/>
        </w:rPr>
        <w:t xml:space="preserve">to establish that it would be disproportionate to require him to </w:t>
      </w:r>
      <w:r>
        <w:rPr>
          <w:rFonts w:ascii="Book Antiqua" w:hAnsi="Book Antiqua" w:cs="Arial"/>
        </w:rPr>
        <w:t>return to Sri Lanka to make an entry clearance application as a spouse.</w:t>
      </w:r>
    </w:p>
    <w:p w14:paraId="24C95756" w14:textId="77777777" w:rsidR="00FB0658" w:rsidRDefault="00FB0658" w:rsidP="00540F24">
      <w:pPr>
        <w:ind w:left="567" w:hanging="567"/>
        <w:jc w:val="both"/>
        <w:rPr>
          <w:rFonts w:ascii="Book Antiqua" w:hAnsi="Book Antiqua" w:cs="Arial"/>
        </w:rPr>
      </w:pPr>
    </w:p>
    <w:p w14:paraId="5B2849C5" w14:textId="77777777" w:rsidR="00FB0658" w:rsidRDefault="00FB0658" w:rsidP="00540F24">
      <w:pPr>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There was no Rule 24 response from the respondent.  </w:t>
      </w:r>
    </w:p>
    <w:p w14:paraId="33A2E801" w14:textId="77777777" w:rsidR="00FB0658" w:rsidRDefault="00FB0658" w:rsidP="00540F24">
      <w:pPr>
        <w:ind w:left="567" w:hanging="567"/>
        <w:jc w:val="both"/>
        <w:rPr>
          <w:rFonts w:ascii="Book Antiqua" w:hAnsi="Book Antiqua" w:cs="Arial"/>
        </w:rPr>
      </w:pPr>
    </w:p>
    <w:p w14:paraId="0BAB3540" w14:textId="77777777" w:rsidR="00FB0658" w:rsidRDefault="00230C24" w:rsidP="00540F24">
      <w:pPr>
        <w:ind w:left="567" w:hanging="567"/>
        <w:jc w:val="both"/>
        <w:rPr>
          <w:rFonts w:ascii="Book Antiqua" w:hAnsi="Book Antiqua" w:cs="Arial"/>
        </w:rPr>
      </w:pPr>
      <w:r>
        <w:rPr>
          <w:rFonts w:ascii="Book Antiqua" w:hAnsi="Book Antiqua" w:cs="Arial"/>
          <w:b/>
          <w:u w:val="single"/>
        </w:rPr>
        <w:t>Submissions on Error of Law</w:t>
      </w:r>
    </w:p>
    <w:p w14:paraId="42268548" w14:textId="77777777" w:rsidR="00230C24" w:rsidRDefault="00230C24" w:rsidP="00540F24">
      <w:pPr>
        <w:ind w:left="567" w:hanging="567"/>
        <w:jc w:val="both"/>
        <w:rPr>
          <w:rFonts w:ascii="Book Antiqua" w:hAnsi="Book Antiqua" w:cs="Arial"/>
        </w:rPr>
      </w:pPr>
    </w:p>
    <w:p w14:paraId="5AD3FB5D" w14:textId="77777777" w:rsidR="00230C24" w:rsidRDefault="00230C24" w:rsidP="00540F24">
      <w:pPr>
        <w:ind w:left="567" w:hanging="567"/>
        <w:jc w:val="both"/>
        <w:rPr>
          <w:rFonts w:ascii="Book Antiqua" w:hAnsi="Book Antiqua" w:cs="Arial"/>
        </w:rPr>
      </w:pPr>
      <w:r>
        <w:rPr>
          <w:rFonts w:ascii="Book Antiqua" w:hAnsi="Book Antiqua" w:cs="Arial"/>
        </w:rPr>
        <w:t>4.</w:t>
      </w:r>
      <w:r>
        <w:rPr>
          <w:rFonts w:ascii="Book Antiqua" w:hAnsi="Book Antiqua" w:cs="Arial"/>
        </w:rPr>
        <w:tab/>
        <w:t>Ms Turnbull said that all the ground</w:t>
      </w:r>
      <w:r w:rsidR="00CD25FF">
        <w:rPr>
          <w:rFonts w:ascii="Book Antiqua" w:hAnsi="Book Antiqua" w:cs="Arial"/>
        </w:rPr>
        <w:t>s</w:t>
      </w:r>
      <w:r>
        <w:rPr>
          <w:rFonts w:ascii="Book Antiqua" w:hAnsi="Book Antiqua" w:cs="Arial"/>
        </w:rPr>
        <w:t xml:space="preserve"> were relied upon.  First, the judge made no findings regarding whether the appellant and his wife met the requirements of Appendix FM.  On the evidence, save for a period of overstaying of more than 28 days, the appellant could show that the requirements were met.  Although the judge set out the evidence, there was an absence of </w:t>
      </w:r>
      <w:r w:rsidR="007A3974">
        <w:rPr>
          <w:rFonts w:ascii="Book Antiqua" w:hAnsi="Book Antiqua" w:cs="Arial"/>
        </w:rPr>
        <w:t xml:space="preserve">specific findings.  Secondly, the judge erred in finding that family life was established while the appellant’s status was precarious.  He had leave to remain.  His leave was not precarious in the true sense as he had an intention to </w:t>
      </w:r>
      <w:r w:rsidR="00CC6871">
        <w:rPr>
          <w:rFonts w:ascii="Book Antiqua" w:hAnsi="Book Antiqua" w:cs="Arial"/>
        </w:rPr>
        <w:t xml:space="preserve">live permanently in the United Kingdom and was required to demonstrate this in order to obtain the </w:t>
      </w:r>
      <w:r w:rsidR="00BB214C">
        <w:rPr>
          <w:rFonts w:ascii="Book Antiqua" w:hAnsi="Book Antiqua" w:cs="Arial"/>
        </w:rPr>
        <w:t xml:space="preserve">limited </w:t>
      </w:r>
      <w:r w:rsidR="00CC6871">
        <w:rPr>
          <w:rFonts w:ascii="Book Antiqua" w:hAnsi="Book Antiqua" w:cs="Arial"/>
        </w:rPr>
        <w:t xml:space="preserve">leave he had.  Judgment was awaited from the Supreme Court in </w:t>
      </w:r>
      <w:proofErr w:type="spellStart"/>
      <w:r w:rsidR="00CC6871">
        <w:rPr>
          <w:rFonts w:ascii="Book Antiqua" w:hAnsi="Book Antiqua" w:cs="Arial"/>
          <w:u w:val="single"/>
        </w:rPr>
        <w:t>Rhuppiah</w:t>
      </w:r>
      <w:proofErr w:type="spellEnd"/>
      <w:r w:rsidR="00CC6871">
        <w:rPr>
          <w:rFonts w:ascii="Book Antiqua" w:hAnsi="Book Antiqua" w:cs="Arial"/>
        </w:rPr>
        <w:t xml:space="preserve">.  The appellant’s case was that it was not clear that he would have to leave the United Kingdom at any time.  If he came </w:t>
      </w:r>
      <w:r w:rsidR="00C23F4B">
        <w:rPr>
          <w:rFonts w:ascii="Book Antiqua" w:hAnsi="Book Antiqua" w:cs="Arial"/>
        </w:rPr>
        <w:t xml:space="preserve">as </w:t>
      </w:r>
      <w:r w:rsidR="00CC6871">
        <w:rPr>
          <w:rFonts w:ascii="Book Antiqua" w:hAnsi="Book Antiqua" w:cs="Arial"/>
        </w:rPr>
        <w:t>a student or a visitor, he would be expected to leave at the end of any fixed term but in the spousal category, he had to show an intention to live here permanently</w:t>
      </w:r>
      <w:r w:rsidR="00BB214C">
        <w:rPr>
          <w:rFonts w:ascii="Book Antiqua" w:hAnsi="Book Antiqua" w:cs="Arial"/>
        </w:rPr>
        <w:t xml:space="preserve">.  The Court of Appeal in </w:t>
      </w:r>
      <w:proofErr w:type="spellStart"/>
      <w:r w:rsidR="00BB214C">
        <w:rPr>
          <w:rFonts w:ascii="Book Antiqua" w:hAnsi="Book Antiqua" w:cs="Arial"/>
          <w:u w:val="single"/>
        </w:rPr>
        <w:t>Rhuppiah</w:t>
      </w:r>
      <w:proofErr w:type="spellEnd"/>
      <w:r w:rsidR="00BB214C">
        <w:rPr>
          <w:rFonts w:ascii="Book Antiqua" w:hAnsi="Book Antiqua" w:cs="Arial"/>
        </w:rPr>
        <w:t xml:space="preserve"> </w:t>
      </w:r>
      <w:r w:rsidR="00CC6871">
        <w:rPr>
          <w:rFonts w:ascii="Book Antiqua" w:hAnsi="Book Antiqua" w:cs="Arial"/>
        </w:rPr>
        <w:t>felt that it was not necessary to decide this issue.</w:t>
      </w:r>
    </w:p>
    <w:p w14:paraId="115F0152" w14:textId="77777777" w:rsidR="00CC6871" w:rsidRDefault="00CC6871" w:rsidP="00540F24">
      <w:pPr>
        <w:ind w:left="567" w:hanging="567"/>
        <w:jc w:val="both"/>
        <w:rPr>
          <w:rFonts w:ascii="Book Antiqua" w:hAnsi="Book Antiqua" w:cs="Arial"/>
        </w:rPr>
      </w:pPr>
    </w:p>
    <w:p w14:paraId="04C254CD" w14:textId="77777777" w:rsidR="00CC6871" w:rsidRDefault="00CC6871" w:rsidP="00540F24">
      <w:pPr>
        <w:ind w:left="567" w:hanging="567"/>
        <w:jc w:val="both"/>
        <w:rPr>
          <w:rFonts w:ascii="Book Antiqua" w:hAnsi="Book Antiqua" w:cs="Arial"/>
        </w:rPr>
      </w:pPr>
      <w:r>
        <w:rPr>
          <w:rFonts w:ascii="Book Antiqua" w:hAnsi="Book Antiqua" w:cs="Arial"/>
        </w:rPr>
        <w:t>5.</w:t>
      </w:r>
      <w:r>
        <w:rPr>
          <w:rFonts w:ascii="Book Antiqua" w:hAnsi="Book Antiqua" w:cs="Arial"/>
        </w:rPr>
        <w:tab/>
        <w:t>Thirdly, the judge failed to take into account the immigration history and the appellant’s settled intention to make his life in the United Kingdom.  He gave up everything in Sri Lanka and had leave as a spouse.  The failure to give due weight to the requireme</w:t>
      </w:r>
      <w:r w:rsidR="00BB214C">
        <w:rPr>
          <w:rFonts w:ascii="Book Antiqua" w:hAnsi="Book Antiqua" w:cs="Arial"/>
        </w:rPr>
        <w:t>nt that he show an intention</w:t>
      </w:r>
      <w:r>
        <w:rPr>
          <w:rFonts w:ascii="Book Antiqua" w:hAnsi="Book Antiqua" w:cs="Arial"/>
        </w:rPr>
        <w:t xml:space="preserve"> to live here permanently amounted to a material error.  Nothing would be served by his return to Sri Lanka simply to apply for entry clearance.  Any such requirement would not be proportionate, in the light of </w:t>
      </w:r>
      <w:proofErr w:type="spellStart"/>
      <w:r>
        <w:rPr>
          <w:rFonts w:ascii="Book Antiqua" w:hAnsi="Book Antiqua" w:cs="Arial"/>
          <w:u w:val="single"/>
        </w:rPr>
        <w:t>Chikwamba</w:t>
      </w:r>
      <w:proofErr w:type="spellEnd"/>
      <w:r>
        <w:rPr>
          <w:rFonts w:ascii="Book Antiqua" w:hAnsi="Book Antiqua" w:cs="Arial"/>
        </w:rPr>
        <w:t>.  Fourthly, the judge erred in assessing the appellant’s particular circumstances.  At paragraph 31 of the decision, it was not the case that the appellant claimed to have been advised to commence IUI treatment after his wife’s operation</w:t>
      </w:r>
      <w:r w:rsidR="00C23F4B">
        <w:rPr>
          <w:rFonts w:ascii="Book Antiqua" w:hAnsi="Book Antiqua" w:cs="Arial"/>
        </w:rPr>
        <w:t>s</w:t>
      </w:r>
      <w:r>
        <w:rPr>
          <w:rFonts w:ascii="Book Antiqua" w:hAnsi="Book Antiqua" w:cs="Arial"/>
        </w:rPr>
        <w:t>.  As was clear from his witness statement, they were advised to try for a baby but not to recommence treatment.  Fifthly, th</w:t>
      </w:r>
      <w:r w:rsidR="00BB214C">
        <w:rPr>
          <w:rFonts w:ascii="Book Antiqua" w:hAnsi="Book Antiqua" w:cs="Arial"/>
        </w:rPr>
        <w:t>e judge erred in failing to properly weigh</w:t>
      </w:r>
      <w:r>
        <w:rPr>
          <w:rFonts w:ascii="Book Antiqua" w:hAnsi="Book Antiqua" w:cs="Arial"/>
        </w:rPr>
        <w:t xml:space="preserve"> other factors, such as the period of time spent by the appellant away from Sri Lanka, the reason for his wife’s discretionary leave, the extent of the ties established in the United </w:t>
      </w:r>
      <w:r>
        <w:rPr>
          <w:rFonts w:ascii="Book Antiqua" w:hAnsi="Book Antiqua" w:cs="Arial"/>
        </w:rPr>
        <w:lastRenderedPageBreak/>
        <w:t>Kingdom</w:t>
      </w:r>
      <w:r w:rsidR="00BB214C">
        <w:rPr>
          <w:rFonts w:ascii="Book Antiqua" w:hAnsi="Book Antiqua" w:cs="Arial"/>
        </w:rPr>
        <w:t xml:space="preserve"> and the fact that he</w:t>
      </w:r>
      <w:r>
        <w:rPr>
          <w:rFonts w:ascii="Book Antiqua" w:hAnsi="Book Antiqua" w:cs="Arial"/>
        </w:rPr>
        <w:t xml:space="preserve"> left Sri Lanka permanently to be with his wife.  Sixthly, and finally, </w:t>
      </w:r>
      <w:r w:rsidR="00BB214C">
        <w:rPr>
          <w:rFonts w:ascii="Book Antiqua" w:hAnsi="Book Antiqua" w:cs="Arial"/>
        </w:rPr>
        <w:t>although the judge referred to s</w:t>
      </w:r>
      <w:r>
        <w:rPr>
          <w:rFonts w:ascii="Book Antiqua" w:hAnsi="Book Antiqua" w:cs="Arial"/>
        </w:rPr>
        <w:t xml:space="preserve">ection 117A to D of the 2002 Act at </w:t>
      </w:r>
      <w:r w:rsidR="00BB214C">
        <w:rPr>
          <w:rFonts w:ascii="Book Antiqua" w:hAnsi="Book Antiqua" w:cs="Arial"/>
        </w:rPr>
        <w:t>paragraph 15 of the decision, there was no express engagement with the section when he made his</w:t>
      </w:r>
      <w:r>
        <w:rPr>
          <w:rFonts w:ascii="Book Antiqua" w:hAnsi="Book Antiqua" w:cs="Arial"/>
        </w:rPr>
        <w:t xml:space="preserve"> f</w:t>
      </w:r>
      <w:r w:rsidR="00BB214C">
        <w:rPr>
          <w:rFonts w:ascii="Book Antiqua" w:hAnsi="Book Antiqua" w:cs="Arial"/>
        </w:rPr>
        <w:t>indings and conclusions, beginning at paragraph 27</w:t>
      </w:r>
      <w:r>
        <w:rPr>
          <w:rFonts w:ascii="Book Antiqua" w:hAnsi="Book Antiqua" w:cs="Arial"/>
        </w:rPr>
        <w:t>.  The appellant spoke English, w</w:t>
      </w:r>
      <w:r w:rsidR="00BB214C">
        <w:rPr>
          <w:rFonts w:ascii="Book Antiqua" w:hAnsi="Book Antiqua" w:cs="Arial"/>
        </w:rPr>
        <w:t xml:space="preserve">as financially independent, </w:t>
      </w:r>
      <w:r>
        <w:rPr>
          <w:rFonts w:ascii="Book Antiqua" w:hAnsi="Book Antiqua" w:cs="Arial"/>
        </w:rPr>
        <w:t xml:space="preserve">established private life ties while here lawfully and his immigration status was not </w:t>
      </w:r>
      <w:r w:rsidR="00BB214C">
        <w:rPr>
          <w:rFonts w:ascii="Book Antiqua" w:hAnsi="Book Antiqua" w:cs="Arial"/>
        </w:rPr>
        <w:t>precarious.  Material parts of s</w:t>
      </w:r>
      <w:r>
        <w:rPr>
          <w:rFonts w:ascii="Book Antiqua" w:hAnsi="Book Antiqua" w:cs="Arial"/>
        </w:rPr>
        <w:t>ection 117B therefore fell to be taken into account in his favour.  The judge’s failure to take them into account amounted to a material error.</w:t>
      </w:r>
    </w:p>
    <w:p w14:paraId="2E3BDDD1" w14:textId="77777777" w:rsidR="00CC6871" w:rsidRDefault="00CC6871" w:rsidP="00540F24">
      <w:pPr>
        <w:ind w:left="567" w:hanging="567"/>
        <w:jc w:val="both"/>
        <w:rPr>
          <w:rFonts w:ascii="Book Antiqua" w:hAnsi="Book Antiqua" w:cs="Arial"/>
        </w:rPr>
      </w:pPr>
    </w:p>
    <w:p w14:paraId="49B96E3F" w14:textId="77777777" w:rsidR="00CC6871" w:rsidRDefault="00BB214C" w:rsidP="00540F24">
      <w:pPr>
        <w:ind w:left="567" w:hanging="567"/>
        <w:jc w:val="both"/>
        <w:rPr>
          <w:rFonts w:ascii="Book Antiqua" w:hAnsi="Book Antiqua" w:cs="Arial"/>
        </w:rPr>
      </w:pPr>
      <w:r>
        <w:rPr>
          <w:rFonts w:ascii="Book Antiqua" w:hAnsi="Book Antiqua" w:cs="Arial"/>
        </w:rPr>
        <w:t>6.</w:t>
      </w:r>
      <w:r>
        <w:rPr>
          <w:rFonts w:ascii="Book Antiqua" w:hAnsi="Book Antiqua" w:cs="Arial"/>
        </w:rPr>
        <w:tab/>
        <w:t>Mr Clarke responded,</w:t>
      </w:r>
      <w:r w:rsidR="00CC6871">
        <w:rPr>
          <w:rFonts w:ascii="Book Antiqua" w:hAnsi="Book Antiqua" w:cs="Arial"/>
        </w:rPr>
        <w:t xml:space="preserve"> taking the grounds and submissions in the sa</w:t>
      </w:r>
      <w:r>
        <w:rPr>
          <w:rFonts w:ascii="Book Antiqua" w:hAnsi="Book Antiqua" w:cs="Arial"/>
        </w:rPr>
        <w:t xml:space="preserve">me order.  First, the judge </w:t>
      </w:r>
      <w:r w:rsidR="00CC6871">
        <w:rPr>
          <w:rFonts w:ascii="Book Antiqua" w:hAnsi="Book Antiqua" w:cs="Arial"/>
        </w:rPr>
        <w:t xml:space="preserve">clearly </w:t>
      </w:r>
      <w:r>
        <w:rPr>
          <w:rFonts w:ascii="Book Antiqua" w:hAnsi="Book Antiqua" w:cs="Arial"/>
        </w:rPr>
        <w:t xml:space="preserve">did </w:t>
      </w:r>
      <w:r w:rsidR="00CC6871">
        <w:rPr>
          <w:rFonts w:ascii="Book Antiqua" w:hAnsi="Book Antiqua" w:cs="Arial"/>
        </w:rPr>
        <w:t>make findings regarding the requirements of the rules.  Moreover, in relation to the se</w:t>
      </w:r>
      <w:r w:rsidR="00F11A1C">
        <w:rPr>
          <w:rFonts w:ascii="Book Antiqua" w:hAnsi="Book Antiqua" w:cs="Arial"/>
        </w:rPr>
        <w:t xml:space="preserve">ttlement route, </w:t>
      </w:r>
      <w:r w:rsidR="00CC6871">
        <w:rPr>
          <w:rFonts w:ascii="Book Antiqua" w:hAnsi="Book Antiqua" w:cs="Arial"/>
        </w:rPr>
        <w:t>adverse factor</w:t>
      </w:r>
      <w:r w:rsidR="00F11A1C">
        <w:rPr>
          <w:rFonts w:ascii="Book Antiqua" w:hAnsi="Book Antiqua" w:cs="Arial"/>
        </w:rPr>
        <w:t>s</w:t>
      </w:r>
      <w:r w:rsidR="00CC6871">
        <w:rPr>
          <w:rFonts w:ascii="Book Antiqua" w:hAnsi="Book Antiqua" w:cs="Arial"/>
        </w:rPr>
        <w:t xml:space="preserve"> did not simply consist of a period of overstaying in excess of 28 days.  As the judge noted, the health surcharge had</w:t>
      </w:r>
      <w:r w:rsidR="00F11A1C">
        <w:rPr>
          <w:rFonts w:ascii="Book Antiqua" w:hAnsi="Book Antiqua" w:cs="Arial"/>
        </w:rPr>
        <w:t xml:space="preserve"> not been paid by the appellant as at the date of application or</w:t>
      </w:r>
      <w:r w:rsidR="00CC6871">
        <w:rPr>
          <w:rFonts w:ascii="Book Antiqua" w:hAnsi="Book Antiqua" w:cs="Arial"/>
        </w:rPr>
        <w:t xml:space="preserve"> the date of decision and </w:t>
      </w:r>
      <w:r w:rsidR="00F11A1C">
        <w:rPr>
          <w:rFonts w:ascii="Book Antiqua" w:hAnsi="Book Antiqua" w:cs="Arial"/>
        </w:rPr>
        <w:t xml:space="preserve">remained unpaid </w:t>
      </w:r>
      <w:r w:rsidR="00CC6871">
        <w:rPr>
          <w:rFonts w:ascii="Book Antiqua" w:hAnsi="Book Antiqua" w:cs="Arial"/>
        </w:rPr>
        <w:t>even at the date of hearing.  This bore on the appellant’s account and compounded the overstaying.  So far as the ten years route to settlement was concerned, it appeared that the appellant did not argue with any force that there were insurmountable obstacles to family life continuing in Sri Lanka.  That this was so appeared from paragraph 33 of the decision where the judge noted that it was not argued on the appellant’s behalf that he could fall within paragraph EX.1.  Secondly, the appellant and his wife knew that any period of fur</w:t>
      </w:r>
      <w:r w:rsidR="00C23F4B">
        <w:rPr>
          <w:rFonts w:ascii="Book Antiqua" w:hAnsi="Book Antiqua" w:cs="Arial"/>
        </w:rPr>
        <w:t xml:space="preserve">ther leave would be dependent </w:t>
      </w:r>
      <w:r w:rsidR="00CC6871">
        <w:rPr>
          <w:rFonts w:ascii="Book Antiqua" w:hAnsi="Book Antiqua" w:cs="Arial"/>
        </w:rPr>
        <w:t xml:space="preserve">on success in a further application.  The appellant was not settled, and any further leave would depend on meeting the requirements </w:t>
      </w:r>
      <w:r w:rsidR="00F11A1C">
        <w:rPr>
          <w:rFonts w:ascii="Book Antiqua" w:hAnsi="Book Antiqua" w:cs="Arial"/>
        </w:rPr>
        <w:t>of the rules.  There was a</w:t>
      </w:r>
      <w:r w:rsidR="00CC6871">
        <w:rPr>
          <w:rFonts w:ascii="Book Antiqua" w:hAnsi="Book Antiqua" w:cs="Arial"/>
        </w:rPr>
        <w:t xml:space="preserve"> distinction between unlawfulness in relation to a person’s presence here and precariousness.  The evidence showed that the appellant and his wife were aware that their status depended on success in a further application.  As made clear in the authorities, the appellant had precarious status.  Thirdly, th</w:t>
      </w:r>
      <w:r w:rsidR="00F11A1C">
        <w:rPr>
          <w:rFonts w:ascii="Book Antiqua" w:hAnsi="Book Antiqua" w:cs="Arial"/>
        </w:rPr>
        <w:t>e absence of payment of</w:t>
      </w:r>
      <w:r w:rsidR="00CC6871">
        <w:rPr>
          <w:rFonts w:ascii="Book Antiqua" w:hAnsi="Book Antiqua" w:cs="Arial"/>
        </w:rPr>
        <w:t xml:space="preserve"> the health surcharge added weight to the public interest</w:t>
      </w:r>
      <w:r w:rsidR="00A373A4">
        <w:rPr>
          <w:rFonts w:ascii="Book Antiqua" w:hAnsi="Book Antiqua" w:cs="Arial"/>
        </w:rPr>
        <w:t xml:space="preserve"> and distinguished the case from the circumstances considered in </w:t>
      </w:r>
      <w:proofErr w:type="spellStart"/>
      <w:r w:rsidR="00A373A4">
        <w:rPr>
          <w:rFonts w:ascii="Book Antiqua" w:hAnsi="Book Antiqua" w:cs="Arial"/>
          <w:u w:val="single"/>
        </w:rPr>
        <w:t>Chikwamba</w:t>
      </w:r>
      <w:proofErr w:type="spellEnd"/>
      <w:r w:rsidR="00A373A4">
        <w:rPr>
          <w:rFonts w:ascii="Book Antiqua" w:hAnsi="Book Antiqua" w:cs="Arial"/>
        </w:rPr>
        <w:t xml:space="preserve">.  The correct approach was shown in </w:t>
      </w:r>
      <w:r w:rsidR="00A373A4">
        <w:rPr>
          <w:rFonts w:ascii="Book Antiqua" w:hAnsi="Book Antiqua" w:cs="Arial"/>
          <w:u w:val="single"/>
        </w:rPr>
        <w:t>Hayat</w:t>
      </w:r>
      <w:r w:rsidR="00A373A4">
        <w:rPr>
          <w:rFonts w:ascii="Book Antiqua" w:hAnsi="Book Antiqua" w:cs="Arial"/>
        </w:rPr>
        <w:t>, for exampl</w:t>
      </w:r>
      <w:r w:rsidR="00F11A1C">
        <w:rPr>
          <w:rFonts w:ascii="Book Antiqua" w:hAnsi="Book Antiqua" w:cs="Arial"/>
        </w:rPr>
        <w:t>e at paragraphs 23 and 24 of that judgment</w:t>
      </w:r>
      <w:r w:rsidR="00A373A4">
        <w:rPr>
          <w:rFonts w:ascii="Book Antiqua" w:hAnsi="Book Antiqua" w:cs="Arial"/>
        </w:rPr>
        <w:t>.  The net result was that the weight to be giv</w:t>
      </w:r>
      <w:r w:rsidR="00F11A1C">
        <w:rPr>
          <w:rFonts w:ascii="Book Antiqua" w:hAnsi="Book Antiqua" w:cs="Arial"/>
        </w:rPr>
        <w:t xml:space="preserve">en to immigration control was not be reduced by the extent to which the appellant met some of the </w:t>
      </w:r>
      <w:r w:rsidR="00A373A4">
        <w:rPr>
          <w:rFonts w:ascii="Book Antiqua" w:hAnsi="Book Antiqua" w:cs="Arial"/>
        </w:rPr>
        <w:t>requirements</w:t>
      </w:r>
      <w:r w:rsidR="00F11A1C">
        <w:rPr>
          <w:rFonts w:ascii="Book Antiqua" w:hAnsi="Book Antiqua" w:cs="Arial"/>
        </w:rPr>
        <w:t xml:space="preserve"> of the rules.  The judge adopted</w:t>
      </w:r>
      <w:r w:rsidR="00A373A4">
        <w:rPr>
          <w:rFonts w:ascii="Book Antiqua" w:hAnsi="Book Antiqua" w:cs="Arial"/>
        </w:rPr>
        <w:t xml:space="preserve"> the correct approach, as shown in paragraph 29 onwards.</w:t>
      </w:r>
    </w:p>
    <w:p w14:paraId="69C74020" w14:textId="77777777" w:rsidR="00A373A4" w:rsidRDefault="00A373A4" w:rsidP="00540F24">
      <w:pPr>
        <w:ind w:left="567" w:hanging="567"/>
        <w:jc w:val="both"/>
        <w:rPr>
          <w:rFonts w:ascii="Book Antiqua" w:hAnsi="Book Antiqua" w:cs="Arial"/>
        </w:rPr>
      </w:pPr>
    </w:p>
    <w:p w14:paraId="1BF3F247" w14:textId="77777777" w:rsidR="00A373A4" w:rsidRDefault="00A373A4" w:rsidP="00540F24">
      <w:pPr>
        <w:ind w:left="567" w:hanging="567"/>
        <w:jc w:val="both"/>
        <w:rPr>
          <w:rFonts w:ascii="Book Antiqua" w:hAnsi="Book Antiqua" w:cs="Arial"/>
        </w:rPr>
      </w:pPr>
      <w:r>
        <w:rPr>
          <w:rFonts w:ascii="Book Antiqua" w:hAnsi="Book Antiqua" w:cs="Arial"/>
        </w:rPr>
        <w:t>7.</w:t>
      </w:r>
      <w:r>
        <w:rPr>
          <w:rFonts w:ascii="Book Antiqua" w:hAnsi="Book Antiqua" w:cs="Arial"/>
        </w:rPr>
        <w:tab/>
        <w:t xml:space="preserve">Fourthly, so far as paragraph 31 of </w:t>
      </w:r>
      <w:r w:rsidR="00F11A1C">
        <w:rPr>
          <w:rFonts w:ascii="Book Antiqua" w:hAnsi="Book Antiqua" w:cs="Arial"/>
        </w:rPr>
        <w:t xml:space="preserve">the decision was concerned, the judge simply made a finding </w:t>
      </w:r>
      <w:r>
        <w:rPr>
          <w:rFonts w:ascii="Book Antiqua" w:hAnsi="Book Antiqua" w:cs="Arial"/>
        </w:rPr>
        <w:t>which reflected what the appellant had said, in relation to the passage of time between his wife’s last operation and the commencement of IUI treatment.  Moreover, other findings that were relevant in this context appeared not to have been challenged in the grounds.  For exampl</w:t>
      </w:r>
      <w:r w:rsidR="00F11A1C">
        <w:rPr>
          <w:rFonts w:ascii="Book Antiqua" w:hAnsi="Book Antiqua" w:cs="Arial"/>
        </w:rPr>
        <w:t>e, there was no evidence</w:t>
      </w:r>
      <w:r>
        <w:rPr>
          <w:rFonts w:ascii="Book Antiqua" w:hAnsi="Book Antiqua" w:cs="Arial"/>
        </w:rPr>
        <w:t xml:space="preserve"> that treatment could not be restarted in th</w:t>
      </w:r>
      <w:r w:rsidR="00F11A1C">
        <w:rPr>
          <w:rFonts w:ascii="Book Antiqua" w:hAnsi="Book Antiqua" w:cs="Arial"/>
        </w:rPr>
        <w:t>e future and no evidence</w:t>
      </w:r>
      <w:r>
        <w:rPr>
          <w:rFonts w:ascii="Book Antiqua" w:hAnsi="Book Antiqua" w:cs="Arial"/>
        </w:rPr>
        <w:t xml:space="preserve"> that treatment would not be available in Sri Lanka.  Paragraph 33 of the decision appeared to show a concession on the appellant’s part that there were no insurmountable obstacles to family life continuing in Sri Lanka and the grounds contained no substantial challenge to the finding that the appellant did not fall within paragraph EX.1.  Fifthly, it followed that if there were no insurmountable </w:t>
      </w:r>
      <w:r w:rsidR="00F11A1C">
        <w:rPr>
          <w:rFonts w:ascii="Book Antiqua" w:hAnsi="Book Antiqua" w:cs="Arial"/>
        </w:rPr>
        <w:t>obstacles, there was no merit in</w:t>
      </w:r>
      <w:r>
        <w:rPr>
          <w:rFonts w:ascii="Book Antiqua" w:hAnsi="Book Antiqua" w:cs="Arial"/>
        </w:rPr>
        <w:t xml:space="preserve"> the contention that the judge failed to take into account factors </w:t>
      </w:r>
      <w:r w:rsidR="00F11A1C">
        <w:rPr>
          <w:rFonts w:ascii="Book Antiqua" w:hAnsi="Book Antiqua" w:cs="Arial"/>
        </w:rPr>
        <w:t>which included the period of absence</w:t>
      </w:r>
      <w:r>
        <w:rPr>
          <w:rFonts w:ascii="Book Antiqua" w:hAnsi="Book Antiqua" w:cs="Arial"/>
        </w:rPr>
        <w:t xml:space="preserve"> from Sri Lanka.  In any </w:t>
      </w:r>
      <w:r>
        <w:rPr>
          <w:rFonts w:ascii="Book Antiqua" w:hAnsi="Book Antiqua" w:cs="Arial"/>
        </w:rPr>
        <w:lastRenderedPageBreak/>
        <w:t>event, the decision</w:t>
      </w:r>
      <w:r w:rsidR="00F11A1C">
        <w:rPr>
          <w:rFonts w:ascii="Book Antiqua" w:hAnsi="Book Antiqua" w:cs="Arial"/>
        </w:rPr>
        <w:t xml:space="preserve"> showed that the judge had all the relevant</w:t>
      </w:r>
      <w:r>
        <w:rPr>
          <w:rFonts w:ascii="Book Antiqua" w:hAnsi="Book Antiqua" w:cs="Arial"/>
        </w:rPr>
        <w:t xml:space="preserve"> factors in mind</w:t>
      </w:r>
      <w:r w:rsidR="00F11A1C">
        <w:rPr>
          <w:rFonts w:ascii="Book Antiqua" w:hAnsi="Book Antiqua" w:cs="Arial"/>
        </w:rPr>
        <w:t>.  Finally, so far as Section 11</w:t>
      </w:r>
      <w:r>
        <w:rPr>
          <w:rFonts w:ascii="Book Antiqua" w:hAnsi="Book Antiqua" w:cs="Arial"/>
        </w:rPr>
        <w:t xml:space="preserve">7B was concerned, at best the factors relied upon by the appellant were neutral, as made clear in </w:t>
      </w:r>
      <w:proofErr w:type="spellStart"/>
      <w:r>
        <w:rPr>
          <w:rFonts w:ascii="Book Antiqua" w:hAnsi="Book Antiqua" w:cs="Arial"/>
          <w:u w:val="single"/>
        </w:rPr>
        <w:t>Rhuppiah</w:t>
      </w:r>
      <w:proofErr w:type="spellEnd"/>
      <w:r>
        <w:rPr>
          <w:rFonts w:ascii="Book Antiqua" w:hAnsi="Book Antiqua" w:cs="Arial"/>
        </w:rPr>
        <w:t>.  Even though the judge did not refer expressly to the statute, the deci</w:t>
      </w:r>
      <w:r w:rsidR="00F11A1C">
        <w:rPr>
          <w:rFonts w:ascii="Book Antiqua" w:hAnsi="Book Antiqua" w:cs="Arial"/>
        </w:rPr>
        <w:t>sion showed that he understood</w:t>
      </w:r>
      <w:r>
        <w:rPr>
          <w:rFonts w:ascii="Book Antiqua" w:hAnsi="Book Antiqua" w:cs="Arial"/>
        </w:rPr>
        <w:t xml:space="preserve"> the relevant immigration history and the precariousness of the appellant’s status and he directed himself correctly on the law in this context in paragraph 24.  </w:t>
      </w:r>
    </w:p>
    <w:p w14:paraId="78A261C9" w14:textId="77777777" w:rsidR="00A373A4" w:rsidRDefault="00A373A4" w:rsidP="00540F24">
      <w:pPr>
        <w:ind w:left="567" w:hanging="567"/>
        <w:jc w:val="both"/>
        <w:rPr>
          <w:rFonts w:ascii="Book Antiqua" w:hAnsi="Book Antiqua" w:cs="Arial"/>
        </w:rPr>
      </w:pPr>
    </w:p>
    <w:p w14:paraId="088E4D9D" w14:textId="77777777" w:rsidR="00A373A4" w:rsidRDefault="00A373A4" w:rsidP="00540F24">
      <w:pPr>
        <w:ind w:left="567" w:hanging="567"/>
        <w:jc w:val="both"/>
        <w:rPr>
          <w:rFonts w:ascii="Book Antiqua" w:hAnsi="Book Antiqua" w:cs="Arial"/>
        </w:rPr>
      </w:pPr>
      <w:r>
        <w:rPr>
          <w:rFonts w:ascii="Book Antiqua" w:hAnsi="Book Antiqua" w:cs="Arial"/>
        </w:rPr>
        <w:t>8.</w:t>
      </w:r>
      <w:r>
        <w:rPr>
          <w:rFonts w:ascii="Book Antiqua" w:hAnsi="Book Antiqua" w:cs="Arial"/>
        </w:rPr>
        <w:tab/>
        <w:t>M</w:t>
      </w:r>
      <w:r w:rsidR="00F11A1C">
        <w:rPr>
          <w:rFonts w:ascii="Book Antiqua" w:hAnsi="Book Antiqua" w:cs="Arial"/>
        </w:rPr>
        <w:t>s Turnbull relied upon</w:t>
      </w:r>
      <w:r>
        <w:rPr>
          <w:rFonts w:ascii="Book Antiqua" w:hAnsi="Book Antiqua" w:cs="Arial"/>
        </w:rPr>
        <w:t xml:space="preserve"> her earlie</w:t>
      </w:r>
      <w:r w:rsidR="00F11A1C">
        <w:rPr>
          <w:rFonts w:ascii="Book Antiqua" w:hAnsi="Book Antiqua" w:cs="Arial"/>
        </w:rPr>
        <w:t>r submissions</w:t>
      </w:r>
      <w:r>
        <w:rPr>
          <w:rFonts w:ascii="Book Antiqua" w:hAnsi="Book Antiqua" w:cs="Arial"/>
        </w:rPr>
        <w:t>.</w:t>
      </w:r>
    </w:p>
    <w:p w14:paraId="56444199" w14:textId="77777777" w:rsidR="00A373A4" w:rsidRDefault="00A373A4" w:rsidP="00540F24">
      <w:pPr>
        <w:ind w:left="567" w:hanging="567"/>
        <w:jc w:val="both"/>
        <w:rPr>
          <w:rFonts w:ascii="Book Antiqua" w:hAnsi="Book Antiqua" w:cs="Arial"/>
        </w:rPr>
      </w:pPr>
    </w:p>
    <w:p w14:paraId="139561F4" w14:textId="77777777" w:rsidR="00A373A4" w:rsidRPr="00A373A4" w:rsidRDefault="00F11A1C" w:rsidP="00540F24">
      <w:pPr>
        <w:ind w:left="567" w:hanging="567"/>
        <w:jc w:val="both"/>
        <w:rPr>
          <w:rFonts w:ascii="Book Antiqua" w:hAnsi="Book Antiqua" w:cs="Arial"/>
          <w:b/>
          <w:u w:val="single"/>
        </w:rPr>
      </w:pPr>
      <w:r>
        <w:rPr>
          <w:rFonts w:ascii="Book Antiqua" w:hAnsi="Book Antiqua" w:cs="Arial"/>
          <w:b/>
          <w:u w:val="single"/>
        </w:rPr>
        <w:t>Conclusion</w:t>
      </w:r>
      <w:r w:rsidR="00A373A4">
        <w:rPr>
          <w:rFonts w:ascii="Book Antiqua" w:hAnsi="Book Antiqua" w:cs="Arial"/>
          <w:b/>
          <w:u w:val="single"/>
        </w:rPr>
        <w:t xml:space="preserve"> on Error of Law</w:t>
      </w:r>
    </w:p>
    <w:p w14:paraId="64DB792C" w14:textId="77777777" w:rsidR="00A373A4" w:rsidRDefault="00A373A4" w:rsidP="00540F24">
      <w:pPr>
        <w:ind w:left="567" w:hanging="567"/>
        <w:jc w:val="both"/>
        <w:rPr>
          <w:rFonts w:ascii="Book Antiqua" w:hAnsi="Book Antiqua" w:cs="Arial"/>
        </w:rPr>
      </w:pPr>
    </w:p>
    <w:p w14:paraId="52C47B47" w14:textId="77777777" w:rsidR="00A373A4" w:rsidRDefault="00A373A4" w:rsidP="00540F24">
      <w:pPr>
        <w:ind w:left="567" w:hanging="567"/>
        <w:jc w:val="both"/>
        <w:rPr>
          <w:rFonts w:ascii="Book Antiqua" w:hAnsi="Book Antiqua" w:cs="Arial"/>
        </w:rPr>
      </w:pPr>
      <w:r>
        <w:rPr>
          <w:rFonts w:ascii="Book Antiqua" w:hAnsi="Book Antiqua" w:cs="Arial"/>
        </w:rPr>
        <w:t>9.</w:t>
      </w:r>
      <w:r>
        <w:rPr>
          <w:rFonts w:ascii="Book Antiqua" w:hAnsi="Book Antiqua" w:cs="Arial"/>
        </w:rPr>
        <w:tab/>
        <w:t>T</w:t>
      </w:r>
      <w:r w:rsidR="00F11A1C">
        <w:rPr>
          <w:rFonts w:ascii="Book Antiqua" w:hAnsi="Book Antiqua" w:cs="Arial"/>
        </w:rPr>
        <w:t>he judge’s decision is</w:t>
      </w:r>
      <w:r>
        <w:rPr>
          <w:rFonts w:ascii="Book Antiqua" w:hAnsi="Book Antiqua" w:cs="Arial"/>
        </w:rPr>
        <w:t xml:space="preserve"> cogently reasoned and, I find, free from material </w:t>
      </w:r>
      <w:r w:rsidR="00F11A1C">
        <w:rPr>
          <w:rFonts w:ascii="Book Antiqua" w:hAnsi="Book Antiqua" w:cs="Arial"/>
        </w:rPr>
        <w:t xml:space="preserve">error of law.  </w:t>
      </w:r>
      <w:r>
        <w:rPr>
          <w:rFonts w:ascii="Book Antiqua" w:hAnsi="Book Antiqua" w:cs="Arial"/>
        </w:rPr>
        <w:t>Ms Turnb</w:t>
      </w:r>
      <w:r w:rsidR="00F11A1C">
        <w:rPr>
          <w:rFonts w:ascii="Book Antiqua" w:hAnsi="Book Antiqua" w:cs="Arial"/>
        </w:rPr>
        <w:t>ull carefully developed</w:t>
      </w:r>
      <w:r>
        <w:rPr>
          <w:rFonts w:ascii="Book Antiqua" w:hAnsi="Book Antiqua" w:cs="Arial"/>
        </w:rPr>
        <w:t xml:space="preserve"> the </w:t>
      </w:r>
      <w:r w:rsidR="00F11A1C">
        <w:rPr>
          <w:rFonts w:ascii="Book Antiqua" w:hAnsi="Book Antiqua" w:cs="Arial"/>
        </w:rPr>
        <w:t xml:space="preserve">written </w:t>
      </w:r>
      <w:r>
        <w:rPr>
          <w:rFonts w:ascii="Book Antiqua" w:hAnsi="Book Antiqua" w:cs="Arial"/>
        </w:rPr>
        <w:t>grounds but Mr Clarke was able to meet each of them effectively</w:t>
      </w:r>
      <w:r w:rsidR="00F11A1C">
        <w:rPr>
          <w:rFonts w:ascii="Book Antiqua" w:hAnsi="Book Antiqua" w:cs="Arial"/>
        </w:rPr>
        <w:t>.</w:t>
      </w:r>
    </w:p>
    <w:p w14:paraId="56BA3B04" w14:textId="77777777" w:rsidR="00A373A4" w:rsidRDefault="00A373A4" w:rsidP="00540F24">
      <w:pPr>
        <w:ind w:left="567" w:hanging="567"/>
        <w:jc w:val="both"/>
        <w:rPr>
          <w:rFonts w:ascii="Book Antiqua" w:hAnsi="Book Antiqua" w:cs="Arial"/>
        </w:rPr>
      </w:pPr>
    </w:p>
    <w:p w14:paraId="4176FBB1" w14:textId="77777777" w:rsidR="00A373A4" w:rsidRDefault="00A373A4" w:rsidP="00540F24">
      <w:pPr>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First, the judge did make clear findings regarding the requirements of the rules.  At paragraph 29 </w:t>
      </w:r>
      <w:r w:rsidR="00F11A1C">
        <w:rPr>
          <w:rFonts w:ascii="Book Antiqua" w:hAnsi="Book Antiqua" w:cs="Arial"/>
        </w:rPr>
        <w:t xml:space="preserve">he </w:t>
      </w:r>
      <w:r w:rsidR="001C6E72">
        <w:rPr>
          <w:rFonts w:ascii="Book Antiqua" w:hAnsi="Book Antiqua" w:cs="Arial"/>
        </w:rPr>
        <w:t>referred to a</w:t>
      </w:r>
      <w:r>
        <w:rPr>
          <w:rFonts w:ascii="Book Antiqua" w:hAnsi="Book Antiqua" w:cs="Arial"/>
        </w:rPr>
        <w:t xml:space="preserve"> failure to pay the health surcharge, as a causative reason for rejection of the appellant’s application for leave.  Paragraph 33 contains a clear finding that the appellant could not bring himself within paragraph EX.1 of Appendix FM, the judge noting that no case that he could do so was argued on the a</w:t>
      </w:r>
      <w:r w:rsidR="001C6E72">
        <w:rPr>
          <w:rFonts w:ascii="Book Antiqua" w:hAnsi="Book Antiqua" w:cs="Arial"/>
        </w:rPr>
        <w:t>ppellant’s behalf</w:t>
      </w:r>
      <w:r>
        <w:rPr>
          <w:rFonts w:ascii="Book Antiqua" w:hAnsi="Book Antiqua" w:cs="Arial"/>
        </w:rPr>
        <w:t xml:space="preserve">. </w:t>
      </w:r>
      <w:r w:rsidR="001C6E72">
        <w:rPr>
          <w:rFonts w:ascii="Book Antiqua" w:hAnsi="Book Antiqua" w:cs="Arial"/>
        </w:rPr>
        <w:t xml:space="preserve"> An accurate</w:t>
      </w:r>
      <w:r>
        <w:rPr>
          <w:rFonts w:ascii="Book Antiqua" w:hAnsi="Book Antiqua" w:cs="Arial"/>
        </w:rPr>
        <w:t xml:space="preserve"> summary of </w:t>
      </w:r>
      <w:r w:rsidR="001C6E72">
        <w:rPr>
          <w:rFonts w:ascii="Book Antiqua" w:hAnsi="Book Antiqua" w:cs="Arial"/>
        </w:rPr>
        <w:t>the rules in issue appeared at paragraphs 15 to 18.</w:t>
      </w:r>
      <w:r>
        <w:rPr>
          <w:rFonts w:ascii="Book Antiqua" w:hAnsi="Book Antiqua" w:cs="Arial"/>
        </w:rPr>
        <w:t xml:space="preserve">  Secondly, the appellant’s immigration status was precarious.  Notwithstanding that he had to show an intention </w:t>
      </w:r>
      <w:r w:rsidR="007E31BD">
        <w:rPr>
          <w:rFonts w:ascii="Book Antiqua" w:hAnsi="Book Antiqua" w:cs="Arial"/>
        </w:rPr>
        <w:t xml:space="preserve">to </w:t>
      </w:r>
      <w:r>
        <w:rPr>
          <w:rFonts w:ascii="Book Antiqua" w:hAnsi="Book Antiqua" w:cs="Arial"/>
        </w:rPr>
        <w:t>live pe</w:t>
      </w:r>
      <w:r w:rsidR="001C6E72">
        <w:rPr>
          <w:rFonts w:ascii="Book Antiqua" w:hAnsi="Book Antiqua" w:cs="Arial"/>
        </w:rPr>
        <w:t>rmanently in the United Kingdom</w:t>
      </w:r>
      <w:r>
        <w:rPr>
          <w:rFonts w:ascii="Book Antiqua" w:hAnsi="Book Antiqua" w:cs="Arial"/>
        </w:rPr>
        <w:t xml:space="preserve"> to meet the requirements of the rules in the category he applied in, he had limited leave</w:t>
      </w:r>
      <w:r w:rsidR="001C6E72">
        <w:rPr>
          <w:rFonts w:ascii="Book Antiqua" w:hAnsi="Book Antiqua" w:cs="Arial"/>
        </w:rPr>
        <w:t xml:space="preserve"> to remain</w:t>
      </w:r>
      <w:r>
        <w:rPr>
          <w:rFonts w:ascii="Book Antiqua" w:hAnsi="Book Antiqua" w:cs="Arial"/>
        </w:rPr>
        <w:t xml:space="preserve"> and any further leave was dependent on a further</w:t>
      </w:r>
      <w:r w:rsidR="001C6E72">
        <w:rPr>
          <w:rFonts w:ascii="Book Antiqua" w:hAnsi="Book Antiqua" w:cs="Arial"/>
        </w:rPr>
        <w:t xml:space="preserve">, successful application.  Applying </w:t>
      </w:r>
      <w:r>
        <w:rPr>
          <w:rFonts w:ascii="Book Antiqua" w:hAnsi="Book Antiqua" w:cs="Arial"/>
        </w:rPr>
        <w:t xml:space="preserve">guidance given by the Upper Tribunal in </w:t>
      </w:r>
      <w:r w:rsidR="004201D1">
        <w:rPr>
          <w:rFonts w:ascii="Book Antiqua" w:hAnsi="Book Antiqua" w:cs="Arial"/>
          <w:u w:val="single"/>
        </w:rPr>
        <w:t>AM</w:t>
      </w:r>
      <w:r w:rsidR="004201D1">
        <w:rPr>
          <w:rFonts w:ascii="Book Antiqua" w:hAnsi="Book Antiqua" w:cs="Arial"/>
        </w:rPr>
        <w:t xml:space="preserve"> [2015] UKUT 260 and by the Supreme Court in </w:t>
      </w:r>
      <w:proofErr w:type="spellStart"/>
      <w:r w:rsidR="004201D1">
        <w:rPr>
          <w:rFonts w:ascii="Book Antiqua" w:hAnsi="Book Antiqua" w:cs="Arial"/>
          <w:u w:val="single"/>
        </w:rPr>
        <w:t>Agyarko</w:t>
      </w:r>
      <w:proofErr w:type="spellEnd"/>
      <w:r w:rsidR="001C6E72">
        <w:rPr>
          <w:rFonts w:ascii="Book Antiqua" w:hAnsi="Book Antiqua" w:cs="Arial"/>
        </w:rPr>
        <w:t xml:space="preserve"> [2017] UKSC 11,</w:t>
      </w:r>
      <w:r w:rsidR="004201D1">
        <w:rPr>
          <w:rFonts w:ascii="Book Antiqua" w:hAnsi="Book Antiqua" w:cs="Arial"/>
        </w:rPr>
        <w:t xml:space="preserve"> where the Justices of the Supreme Court had regard to the Strasbourg judgment in </w:t>
      </w:r>
      <w:proofErr w:type="spellStart"/>
      <w:r w:rsidR="004201D1">
        <w:rPr>
          <w:rFonts w:ascii="Book Antiqua" w:hAnsi="Book Antiqua" w:cs="Arial"/>
          <w:u w:val="single"/>
        </w:rPr>
        <w:t>Jeunesse</w:t>
      </w:r>
      <w:proofErr w:type="spellEnd"/>
      <w:r w:rsidR="004201D1">
        <w:rPr>
          <w:rFonts w:ascii="Book Antiqua" w:hAnsi="Book Antiqua" w:cs="Arial"/>
        </w:rPr>
        <w:t>, the appellant’s status was</w:t>
      </w:r>
      <w:r w:rsidR="001C6E72">
        <w:rPr>
          <w:rFonts w:ascii="Book Antiqua" w:hAnsi="Book Antiqua" w:cs="Arial"/>
        </w:rPr>
        <w:t xml:space="preserve"> properly assessed as</w:t>
      </w:r>
      <w:r w:rsidR="004201D1">
        <w:rPr>
          <w:rFonts w:ascii="Book Antiqua" w:hAnsi="Book Antiqua" w:cs="Arial"/>
        </w:rPr>
        <w:t xml:space="preserve"> precarious.  The observations of the Court of Appeal at paragraph 44 of the judgment in </w:t>
      </w:r>
      <w:proofErr w:type="spellStart"/>
      <w:r w:rsidR="004201D1">
        <w:rPr>
          <w:rFonts w:ascii="Book Antiqua" w:hAnsi="Book Antiqua" w:cs="Arial"/>
          <w:u w:val="single"/>
        </w:rPr>
        <w:t>Rhuppiah</w:t>
      </w:r>
      <w:proofErr w:type="spellEnd"/>
      <w:r w:rsidR="004201D1">
        <w:rPr>
          <w:rFonts w:ascii="Book Antiqua" w:hAnsi="Book Antiqua" w:cs="Arial"/>
        </w:rPr>
        <w:t xml:space="preserve"> [20</w:t>
      </w:r>
      <w:r w:rsidR="001C6E72">
        <w:rPr>
          <w:rFonts w:ascii="Book Antiqua" w:hAnsi="Book Antiqua" w:cs="Arial"/>
        </w:rPr>
        <w:t xml:space="preserve">16] EWCA </w:t>
      </w:r>
      <w:proofErr w:type="spellStart"/>
      <w:r w:rsidR="001C6E72">
        <w:rPr>
          <w:rFonts w:ascii="Book Antiqua" w:hAnsi="Book Antiqua" w:cs="Arial"/>
        </w:rPr>
        <w:t>Civ</w:t>
      </w:r>
      <w:proofErr w:type="spellEnd"/>
      <w:r w:rsidR="001C6E72">
        <w:rPr>
          <w:rFonts w:ascii="Book Antiqua" w:hAnsi="Book Antiqua" w:cs="Arial"/>
        </w:rPr>
        <w:t xml:space="preserve"> 803 do not suggest </w:t>
      </w:r>
      <w:r w:rsidR="004201D1">
        <w:rPr>
          <w:rFonts w:ascii="Book Antiqua" w:hAnsi="Book Antiqua" w:cs="Arial"/>
        </w:rPr>
        <w:t>a different conclusion.  A further aspect o</w:t>
      </w:r>
      <w:r w:rsidR="001C6E72">
        <w:rPr>
          <w:rFonts w:ascii="Book Antiqua" w:hAnsi="Book Antiqua" w:cs="Arial"/>
        </w:rPr>
        <w:t xml:space="preserve">f precariousness was the failure to make </w:t>
      </w:r>
      <w:r w:rsidR="004201D1">
        <w:rPr>
          <w:rFonts w:ascii="Book Antiqua" w:hAnsi="Book Antiqua" w:cs="Arial"/>
        </w:rPr>
        <w:t>payment to cover t</w:t>
      </w:r>
      <w:r w:rsidR="000D3F1D">
        <w:rPr>
          <w:rFonts w:ascii="Book Antiqua" w:hAnsi="Book Antiqua" w:cs="Arial"/>
        </w:rPr>
        <w:t>he immigration health surcharge</w:t>
      </w:r>
      <w:r w:rsidR="004201D1">
        <w:rPr>
          <w:rFonts w:ascii="Book Antiqua" w:hAnsi="Book Antiqua" w:cs="Arial"/>
        </w:rPr>
        <w:t xml:space="preserve"> over the entire period of time from the application for leave until </w:t>
      </w:r>
      <w:r w:rsidR="001C6E72">
        <w:rPr>
          <w:rFonts w:ascii="Book Antiqua" w:hAnsi="Book Antiqua" w:cs="Arial"/>
        </w:rPr>
        <w:t xml:space="preserve">at least </w:t>
      </w:r>
      <w:r w:rsidR="004201D1">
        <w:rPr>
          <w:rFonts w:ascii="Book Antiqua" w:hAnsi="Book Antiqua" w:cs="Arial"/>
        </w:rPr>
        <w:t xml:space="preserve">the date of hearing, amounting to some eighteen months.  </w:t>
      </w:r>
      <w:r w:rsidR="001C6E72">
        <w:rPr>
          <w:rFonts w:ascii="Book Antiqua" w:hAnsi="Book Antiqua" w:cs="Arial"/>
        </w:rPr>
        <w:t>This</w:t>
      </w:r>
      <w:r w:rsidR="000D3F1D">
        <w:rPr>
          <w:rFonts w:ascii="Book Antiqua" w:hAnsi="Book Antiqua" w:cs="Arial"/>
        </w:rPr>
        <w:t xml:space="preserve"> bore directly on the fate of the</w:t>
      </w:r>
      <w:r w:rsidR="001C6E72">
        <w:rPr>
          <w:rFonts w:ascii="Book Antiqua" w:hAnsi="Book Antiqua" w:cs="Arial"/>
        </w:rPr>
        <w:t xml:space="preserve"> leave</w:t>
      </w:r>
      <w:r w:rsidR="004201D1">
        <w:rPr>
          <w:rFonts w:ascii="Book Antiqua" w:hAnsi="Book Antiqua" w:cs="Arial"/>
        </w:rPr>
        <w:t xml:space="preserve"> application</w:t>
      </w:r>
      <w:r w:rsidR="000D3F1D">
        <w:rPr>
          <w:rFonts w:ascii="Book Antiqua" w:hAnsi="Book Antiqua" w:cs="Arial"/>
        </w:rPr>
        <w:t xml:space="preserve"> and was, or ought to have been, a factor within the knowledge of the appellant and his advisors</w:t>
      </w:r>
      <w:r w:rsidR="004201D1">
        <w:rPr>
          <w:rFonts w:ascii="Book Antiqua" w:hAnsi="Book Antiqua" w:cs="Arial"/>
        </w:rPr>
        <w:t>.</w:t>
      </w:r>
    </w:p>
    <w:p w14:paraId="0CA29D14" w14:textId="77777777" w:rsidR="004201D1" w:rsidRDefault="004201D1" w:rsidP="00540F24">
      <w:pPr>
        <w:ind w:left="567" w:hanging="567"/>
        <w:jc w:val="both"/>
        <w:rPr>
          <w:rFonts w:ascii="Book Antiqua" w:hAnsi="Book Antiqua" w:cs="Arial"/>
        </w:rPr>
      </w:pPr>
    </w:p>
    <w:p w14:paraId="5570D1B2" w14:textId="77777777" w:rsidR="004201D1" w:rsidRDefault="004201D1" w:rsidP="00540F24">
      <w:pPr>
        <w:ind w:left="567" w:hanging="567"/>
        <w:jc w:val="both"/>
        <w:rPr>
          <w:rFonts w:ascii="Book Antiqua" w:hAnsi="Book Antiqua" w:cs="Arial"/>
        </w:rPr>
      </w:pPr>
      <w:r>
        <w:rPr>
          <w:rFonts w:ascii="Book Antiqua" w:hAnsi="Book Antiqua" w:cs="Arial"/>
        </w:rPr>
        <w:t>11.</w:t>
      </w:r>
      <w:r>
        <w:rPr>
          <w:rFonts w:ascii="Book Antiqua" w:hAnsi="Book Antiqua" w:cs="Arial"/>
        </w:rPr>
        <w:tab/>
        <w:t>So far as the third ground is concerned, the failure to pay the health surcharge</w:t>
      </w:r>
      <w:r w:rsidR="000D3F1D">
        <w:rPr>
          <w:rFonts w:ascii="Book Antiqua" w:hAnsi="Book Antiqua" w:cs="Arial"/>
        </w:rPr>
        <w:t xml:space="preserve"> and failure to meet the requirements of the rules showed</w:t>
      </w:r>
      <w:r>
        <w:rPr>
          <w:rFonts w:ascii="Book Antiqua" w:hAnsi="Book Antiqua" w:cs="Arial"/>
        </w:rPr>
        <w:t xml:space="preserve"> that the public interest in maintaining immigration control had s</w:t>
      </w:r>
      <w:r w:rsidR="000D3F1D">
        <w:rPr>
          <w:rFonts w:ascii="Book Antiqua" w:hAnsi="Book Antiqua" w:cs="Arial"/>
        </w:rPr>
        <w:t xml:space="preserve">ubstantial weight.  The decision shows that the judge understood the immigration history and the extent to which the appellant’s ties to Sri </w:t>
      </w:r>
      <w:proofErr w:type="spellStart"/>
      <w:r w:rsidR="000D3F1D">
        <w:rPr>
          <w:rFonts w:ascii="Book Antiqua" w:hAnsi="Book Antiqua" w:cs="Arial"/>
        </w:rPr>
        <w:t>Linka</w:t>
      </w:r>
      <w:proofErr w:type="spellEnd"/>
      <w:r w:rsidR="000D3F1D">
        <w:rPr>
          <w:rFonts w:ascii="Book Antiqua" w:hAnsi="Book Antiqua" w:cs="Arial"/>
        </w:rPr>
        <w:t xml:space="preserve"> were diminished by his departure for the United Kingdom.  This is apparent from</w:t>
      </w:r>
      <w:r>
        <w:rPr>
          <w:rFonts w:ascii="Book Antiqua" w:hAnsi="Book Antiqua" w:cs="Arial"/>
        </w:rPr>
        <w:t xml:space="preserve"> the findings of fact contained, for example,</w:t>
      </w:r>
      <w:r w:rsidR="000D3F1D">
        <w:rPr>
          <w:rFonts w:ascii="Book Antiqua" w:hAnsi="Book Antiqua" w:cs="Arial"/>
        </w:rPr>
        <w:t xml:space="preserve"> in paragraph 27</w:t>
      </w:r>
      <w:r>
        <w:rPr>
          <w:rFonts w:ascii="Book Antiqua" w:hAnsi="Book Antiqua" w:cs="Arial"/>
        </w:rPr>
        <w:t>.  Fourthly, the e</w:t>
      </w:r>
      <w:r w:rsidR="000D3F1D">
        <w:rPr>
          <w:rFonts w:ascii="Book Antiqua" w:hAnsi="Book Antiqua" w:cs="Arial"/>
        </w:rPr>
        <w:t>ssential fact found in paragraph 31</w:t>
      </w:r>
      <w:r>
        <w:rPr>
          <w:rFonts w:ascii="Book Antiqua" w:hAnsi="Book Antiqua" w:cs="Arial"/>
        </w:rPr>
        <w:t xml:space="preserve"> was th</w:t>
      </w:r>
      <w:r w:rsidR="005A0E45">
        <w:rPr>
          <w:rFonts w:ascii="Book Antiqua" w:hAnsi="Book Antiqua" w:cs="Arial"/>
        </w:rPr>
        <w:t>e passage of time between</w:t>
      </w:r>
      <w:r>
        <w:rPr>
          <w:rFonts w:ascii="Book Antiqua" w:hAnsi="Book Antiqua" w:cs="Arial"/>
        </w:rPr>
        <w:t xml:space="preserve"> the appellant’s wife</w:t>
      </w:r>
      <w:r w:rsidR="005A0E45">
        <w:rPr>
          <w:rFonts w:ascii="Book Antiqua" w:hAnsi="Book Antiqua" w:cs="Arial"/>
        </w:rPr>
        <w:t>’s last operation and commencement of</w:t>
      </w:r>
      <w:r>
        <w:rPr>
          <w:rFonts w:ascii="Book Antiqua" w:hAnsi="Book Antiqua" w:cs="Arial"/>
        </w:rPr>
        <w:t xml:space="preserve"> IUI</w:t>
      </w:r>
      <w:r w:rsidR="005A0E45">
        <w:rPr>
          <w:rFonts w:ascii="Book Antiqua" w:hAnsi="Book Antiqua" w:cs="Arial"/>
        </w:rPr>
        <w:t xml:space="preserve"> treatment</w:t>
      </w:r>
      <w:r>
        <w:rPr>
          <w:rFonts w:ascii="Book Antiqua" w:hAnsi="Book Antiqua" w:cs="Arial"/>
        </w:rPr>
        <w:t xml:space="preserve">.  Even if the judge did err in recording that the appellant and his wife were advised to commence treatment immediately rather than being advised instead to try for a baby, this falls </w:t>
      </w:r>
      <w:r>
        <w:rPr>
          <w:rFonts w:ascii="Book Antiqua" w:hAnsi="Book Antiqua" w:cs="Arial"/>
        </w:rPr>
        <w:lastRenderedPageBreak/>
        <w:t>very far short of amounting to an error of law, let alone a material error.  In context, even if the judge did err here, it was of little consequence in relation to the essential task of assessing the Article 8 case and weighing the competing interests.</w:t>
      </w:r>
    </w:p>
    <w:p w14:paraId="642973CD" w14:textId="77777777" w:rsidR="004201D1" w:rsidRDefault="004201D1" w:rsidP="00540F24">
      <w:pPr>
        <w:ind w:left="567" w:hanging="567"/>
        <w:jc w:val="both"/>
        <w:rPr>
          <w:rFonts w:ascii="Book Antiqua" w:hAnsi="Book Antiqua" w:cs="Arial"/>
        </w:rPr>
      </w:pPr>
    </w:p>
    <w:p w14:paraId="254C6D05" w14:textId="77777777" w:rsidR="004201D1" w:rsidRDefault="004201D1" w:rsidP="004201D1">
      <w:pPr>
        <w:ind w:left="567" w:hanging="567"/>
        <w:jc w:val="both"/>
        <w:rPr>
          <w:rFonts w:ascii="Book Antiqua" w:hAnsi="Book Antiqua" w:cs="Arial"/>
        </w:rPr>
      </w:pPr>
      <w:r>
        <w:rPr>
          <w:rFonts w:ascii="Book Antiqua" w:hAnsi="Book Antiqua" w:cs="Arial"/>
        </w:rPr>
        <w:t>12.</w:t>
      </w:r>
      <w:r>
        <w:rPr>
          <w:rFonts w:ascii="Book Antiqua" w:hAnsi="Book Antiqua" w:cs="Arial"/>
        </w:rPr>
        <w:tab/>
        <w:t>So far as the fifth ground is concerned, a careful reading of the decision shows that the judge did have all relevant features of the case in mind, including the appellant’s period of time outside Sri Lanka, his wife’s immigration history and the leave granted to her at different periods of time, the circumstances in which the appellant left Sri Lanka to join his wife and the extent of their ties here.  Moreover, there is force in Mr Clarke’s submiss</w:t>
      </w:r>
      <w:r w:rsidR="005A0E45">
        <w:rPr>
          <w:rFonts w:ascii="Book Antiqua" w:hAnsi="Book Antiqua" w:cs="Arial"/>
        </w:rPr>
        <w:t>ion that what the judge stated</w:t>
      </w:r>
      <w:r>
        <w:rPr>
          <w:rFonts w:ascii="Book Antiqua" w:hAnsi="Book Antiqua" w:cs="Arial"/>
        </w:rPr>
        <w:t xml:space="preserve"> at paragraph 33 regarding paragraph EX.1 shows that the appellant’s case was not advanced on the basis that there were insurmountable obstacles to family life continui</w:t>
      </w:r>
      <w:r w:rsidR="005A0E45">
        <w:rPr>
          <w:rFonts w:ascii="Book Antiqua" w:hAnsi="Book Antiqua" w:cs="Arial"/>
        </w:rPr>
        <w:t>ng abroad.  Finally, so far as s</w:t>
      </w:r>
      <w:r>
        <w:rPr>
          <w:rFonts w:ascii="Book Antiqua" w:hAnsi="Book Antiqua" w:cs="Arial"/>
        </w:rPr>
        <w:t xml:space="preserve">ection 117B is concerned, at best the factors identified in the grounds and by Ms Turnbull were neutral, as explained by the Court of Appeal in </w:t>
      </w:r>
      <w:proofErr w:type="spellStart"/>
      <w:r>
        <w:rPr>
          <w:rFonts w:ascii="Book Antiqua" w:hAnsi="Book Antiqua" w:cs="Arial"/>
          <w:u w:val="single"/>
        </w:rPr>
        <w:t>Rhuppiah</w:t>
      </w:r>
      <w:proofErr w:type="spellEnd"/>
      <w:r>
        <w:rPr>
          <w:rFonts w:ascii="Book Antiqua" w:hAnsi="Book Antiqua" w:cs="Arial"/>
        </w:rPr>
        <w:t xml:space="preserve">.  Although the last part of the decision </w:t>
      </w:r>
      <w:r w:rsidR="005A0E45">
        <w:rPr>
          <w:rFonts w:ascii="Book Antiqua" w:hAnsi="Book Antiqua" w:cs="Arial"/>
        </w:rPr>
        <w:t>contains no express mention of s</w:t>
      </w:r>
      <w:r>
        <w:rPr>
          <w:rFonts w:ascii="Book Antiqua" w:hAnsi="Book Antiqua" w:cs="Arial"/>
        </w:rPr>
        <w:t xml:space="preserve">ection 117B, there was a clear direction at paragraph 24.  The findings of fact regarding the education and employment histories of the appellant and his wife </w:t>
      </w:r>
      <w:r w:rsidR="005A0E45">
        <w:rPr>
          <w:rFonts w:ascii="Book Antiqua" w:hAnsi="Book Antiqua" w:cs="Arial"/>
        </w:rPr>
        <w:t>also show that, in substance, the judge</w:t>
      </w:r>
      <w:r>
        <w:rPr>
          <w:rFonts w:ascii="Book Antiqua" w:hAnsi="Book Antiqua" w:cs="Arial"/>
        </w:rPr>
        <w:t xml:space="preserve"> had the </w:t>
      </w:r>
      <w:r w:rsidR="005A0E45">
        <w:rPr>
          <w:rFonts w:ascii="Book Antiqua" w:hAnsi="Book Antiqua" w:cs="Arial"/>
        </w:rPr>
        <w:t xml:space="preserve">relevant </w:t>
      </w:r>
      <w:r>
        <w:rPr>
          <w:rFonts w:ascii="Book Antiqua" w:hAnsi="Book Antiqua" w:cs="Arial"/>
        </w:rPr>
        <w:t>factors in mind.  This ground is not made out and no material error of law has been shown.</w:t>
      </w:r>
    </w:p>
    <w:p w14:paraId="7FFF21B8" w14:textId="77777777" w:rsidR="004201D1" w:rsidRDefault="004201D1" w:rsidP="004201D1">
      <w:pPr>
        <w:ind w:left="567" w:hanging="567"/>
        <w:jc w:val="both"/>
        <w:rPr>
          <w:rFonts w:ascii="Book Antiqua" w:hAnsi="Book Antiqua" w:cs="Arial"/>
        </w:rPr>
      </w:pPr>
    </w:p>
    <w:p w14:paraId="79BD85ED" w14:textId="77777777" w:rsidR="004201D1" w:rsidRPr="004201D1" w:rsidRDefault="004201D1" w:rsidP="004201D1">
      <w:pPr>
        <w:ind w:left="567" w:hanging="567"/>
        <w:jc w:val="both"/>
        <w:rPr>
          <w:rFonts w:ascii="Book Antiqua" w:hAnsi="Book Antiqua" w:cs="Arial"/>
        </w:rPr>
      </w:pPr>
      <w:r>
        <w:rPr>
          <w:rFonts w:ascii="Book Antiqua" w:hAnsi="Book Antiqua" w:cs="Arial"/>
        </w:rPr>
        <w:t>13.</w:t>
      </w:r>
      <w:r>
        <w:rPr>
          <w:rFonts w:ascii="Book Antiqua" w:hAnsi="Book Antiqua" w:cs="Arial"/>
        </w:rPr>
        <w:tab/>
        <w:t>In conclusion, the decision of the First-tier Tribunal contains no material error of law and shall stand.</w:t>
      </w:r>
    </w:p>
    <w:p w14:paraId="76C7DF7D" w14:textId="77777777" w:rsidR="001F2716" w:rsidRPr="000704BB" w:rsidRDefault="001F2716" w:rsidP="00780F86">
      <w:pPr>
        <w:ind w:left="540" w:hanging="540"/>
        <w:jc w:val="both"/>
        <w:rPr>
          <w:rFonts w:ascii="Book Antiqua" w:hAnsi="Book Antiqua" w:cs="Arial"/>
        </w:rPr>
      </w:pPr>
    </w:p>
    <w:p w14:paraId="6CD5AB21" w14:textId="77777777" w:rsidR="001C7F2A" w:rsidRPr="001C7F2A" w:rsidRDefault="001C7F2A" w:rsidP="001C7F2A">
      <w:pPr>
        <w:jc w:val="both"/>
        <w:rPr>
          <w:rFonts w:ascii="Book Antiqua" w:hAnsi="Book Antiqua" w:cs="Arial"/>
          <w:b/>
          <w:u w:val="single"/>
        </w:rPr>
      </w:pPr>
      <w:r w:rsidRPr="001C7F2A">
        <w:rPr>
          <w:rFonts w:ascii="Book Antiqua" w:hAnsi="Book Antiqua" w:cs="Arial"/>
          <w:b/>
          <w:u w:val="single"/>
        </w:rPr>
        <w:t>Notice of Decision</w:t>
      </w:r>
    </w:p>
    <w:p w14:paraId="5C130068" w14:textId="77777777" w:rsidR="001C7F2A" w:rsidRPr="001C7F2A" w:rsidRDefault="001C7F2A" w:rsidP="001C7F2A">
      <w:pPr>
        <w:jc w:val="both"/>
        <w:rPr>
          <w:rFonts w:ascii="Book Antiqua" w:hAnsi="Book Antiqua" w:cs="Arial"/>
        </w:rPr>
      </w:pPr>
    </w:p>
    <w:p w14:paraId="60037384" w14:textId="77777777" w:rsidR="001C7F2A" w:rsidRPr="001C7F2A" w:rsidRDefault="00F8018A" w:rsidP="001C7F2A">
      <w:pPr>
        <w:jc w:val="both"/>
        <w:rPr>
          <w:rFonts w:ascii="Book Antiqua" w:hAnsi="Book Antiqua" w:cs="Arial"/>
        </w:rPr>
      </w:pPr>
      <w:r>
        <w:rPr>
          <w:rFonts w:ascii="Book Antiqua" w:hAnsi="Book Antiqua" w:cs="Arial"/>
        </w:rPr>
        <w:t>The decision of the First-tier Tribunal shall stand.</w:t>
      </w:r>
    </w:p>
    <w:p w14:paraId="7F7371B4" w14:textId="77777777" w:rsidR="001C7F2A" w:rsidRPr="001C7F2A" w:rsidRDefault="001C7F2A" w:rsidP="001C7F2A">
      <w:pPr>
        <w:jc w:val="both"/>
        <w:rPr>
          <w:rFonts w:ascii="Book Antiqua" w:hAnsi="Book Antiqua" w:cs="Arial"/>
        </w:rPr>
      </w:pPr>
    </w:p>
    <w:p w14:paraId="0BF87703" w14:textId="77777777" w:rsidR="00F8018A" w:rsidRPr="00EE7EEA" w:rsidRDefault="00F8018A" w:rsidP="00F8018A">
      <w:pPr>
        <w:jc w:val="both"/>
        <w:rPr>
          <w:rFonts w:ascii="Book Antiqua" w:hAnsi="Book Antiqua" w:cs="Arial"/>
        </w:rPr>
      </w:pPr>
    </w:p>
    <w:p w14:paraId="55FA5DD1" w14:textId="4D46F18F" w:rsidR="00F8018A" w:rsidRDefault="006365B1" w:rsidP="00F8018A">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                                Date: 07 September 2018</w:t>
      </w:r>
    </w:p>
    <w:p w14:paraId="31E5C14C" w14:textId="6A6788EB" w:rsidR="00F8018A" w:rsidRPr="00EE7EEA" w:rsidRDefault="00F8018A" w:rsidP="00F8018A">
      <w:pPr>
        <w:jc w:val="both"/>
        <w:rPr>
          <w:rFonts w:ascii="Book Antiqua" w:hAnsi="Book Antiqua" w:cs="Arial"/>
          <w:color w:val="000000"/>
        </w:rPr>
      </w:pPr>
      <w:r w:rsidRPr="00EE7EEA">
        <w:rPr>
          <w:rFonts w:ascii="Book Antiqua" w:hAnsi="Book Antiqua" w:cs="Arial"/>
          <w:color w:val="000000"/>
        </w:rPr>
        <w:t xml:space="preserve">Judge R C Campbell   </w:t>
      </w:r>
    </w:p>
    <w:p w14:paraId="551B7F22" w14:textId="19A8E371" w:rsidR="00F8018A" w:rsidRDefault="00E72BE0" w:rsidP="00F8018A">
      <w:pPr>
        <w:jc w:val="both"/>
        <w:rPr>
          <w:rFonts w:ascii="Book Antiqua" w:hAnsi="Book Antiqua" w:cs="Arial"/>
          <w:color w:val="000000"/>
        </w:rPr>
      </w:pPr>
      <w:r>
        <w:rPr>
          <w:rFonts w:ascii="Book Antiqua" w:hAnsi="Book Antiqua" w:cs="Arial"/>
          <w:color w:val="000000"/>
        </w:rPr>
        <w:t>Deputy Judge of the Upper Tribunal</w:t>
      </w:r>
    </w:p>
    <w:p w14:paraId="1AE920F5" w14:textId="77777777" w:rsidR="00F8018A" w:rsidRPr="00EE7EEA" w:rsidRDefault="00F8018A" w:rsidP="00F8018A">
      <w:pPr>
        <w:jc w:val="both"/>
        <w:rPr>
          <w:rFonts w:ascii="Book Antiqua" w:hAnsi="Book Antiqua" w:cs="Arial"/>
          <w:color w:val="000000"/>
        </w:rPr>
      </w:pPr>
    </w:p>
    <w:p w14:paraId="71394E2E" w14:textId="77777777" w:rsidR="00F8018A" w:rsidRPr="00EE7EEA" w:rsidRDefault="00F8018A" w:rsidP="00F8018A">
      <w:pPr>
        <w:jc w:val="both"/>
        <w:rPr>
          <w:rFonts w:ascii="Book Antiqua" w:hAnsi="Book Antiqua" w:cs="Arial"/>
          <w:b/>
          <w:u w:val="single"/>
        </w:rPr>
      </w:pPr>
    </w:p>
    <w:p w14:paraId="3E791D8B" w14:textId="77777777" w:rsidR="00F8018A" w:rsidRPr="00EE7EEA" w:rsidRDefault="00F8018A" w:rsidP="00F8018A">
      <w:pPr>
        <w:jc w:val="both"/>
        <w:rPr>
          <w:rFonts w:ascii="Book Antiqua" w:hAnsi="Book Antiqua" w:cs="Arial"/>
          <w:b/>
          <w:u w:val="single"/>
        </w:rPr>
      </w:pPr>
      <w:r>
        <w:rPr>
          <w:rFonts w:ascii="Book Antiqua" w:hAnsi="Book Antiqua" w:cs="Arial"/>
          <w:b/>
          <w:u w:val="single"/>
        </w:rPr>
        <w:t xml:space="preserve">ANONYMITY </w:t>
      </w:r>
    </w:p>
    <w:p w14:paraId="476F2773" w14:textId="77777777" w:rsidR="00F8018A" w:rsidRPr="00EE7EEA" w:rsidRDefault="00F8018A" w:rsidP="00F8018A">
      <w:pPr>
        <w:jc w:val="both"/>
        <w:rPr>
          <w:rFonts w:ascii="Book Antiqua" w:hAnsi="Book Antiqua" w:cs="Arial"/>
          <w:u w:val="single"/>
        </w:rPr>
      </w:pPr>
    </w:p>
    <w:p w14:paraId="0E494B56" w14:textId="77777777" w:rsidR="00F8018A" w:rsidRPr="00EE7EEA" w:rsidRDefault="00F8018A" w:rsidP="00F8018A">
      <w:pPr>
        <w:jc w:val="both"/>
        <w:rPr>
          <w:rFonts w:ascii="Book Antiqua" w:hAnsi="Book Antiqua" w:cs="Arial"/>
        </w:rPr>
      </w:pPr>
      <w:r w:rsidRPr="00EE7EEA">
        <w:rPr>
          <w:rFonts w:ascii="Book Antiqua" w:hAnsi="Book Antiqua" w:cs="Arial"/>
        </w:rPr>
        <w:t xml:space="preserve">There has been no application for anonymity and I make no </w:t>
      </w:r>
      <w:r w:rsidR="007E31BD">
        <w:rPr>
          <w:rFonts w:ascii="Book Antiqua" w:hAnsi="Book Antiqua" w:cs="Arial"/>
        </w:rPr>
        <w:t xml:space="preserve">order or </w:t>
      </w:r>
      <w:r w:rsidRPr="00EE7EEA">
        <w:rPr>
          <w:rFonts w:ascii="Book Antiqua" w:hAnsi="Book Antiqua" w:cs="Arial"/>
        </w:rPr>
        <w:t xml:space="preserve">direction on this occasion.  </w:t>
      </w:r>
    </w:p>
    <w:p w14:paraId="103500D8" w14:textId="4DA6474D" w:rsidR="00B95326" w:rsidRPr="000704BB" w:rsidRDefault="00B95326" w:rsidP="006365B1">
      <w:pPr>
        <w:tabs>
          <w:tab w:val="left" w:pos="2520"/>
        </w:tabs>
        <w:jc w:val="both"/>
        <w:rPr>
          <w:rFonts w:ascii="Book Antiqua" w:hAnsi="Book Antiqua" w:cs="Arial"/>
        </w:rPr>
        <w:sectPr w:rsidR="00B95326" w:rsidRPr="000704BB" w:rsidSect="00DE5E10">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pPr>
    </w:p>
    <w:p w14:paraId="6FF0CCA4" w14:textId="77777777" w:rsidR="00B95326" w:rsidRPr="000704BB" w:rsidRDefault="00B95326" w:rsidP="00B95326">
      <w:pPr>
        <w:rPr>
          <w:rFonts w:ascii="Book Antiqua" w:hAnsi="Book Antiqua" w:cs="Arial"/>
        </w:rPr>
      </w:pPr>
    </w:p>
    <w:p w14:paraId="03E7988F" w14:textId="77777777" w:rsidR="00B95326" w:rsidRPr="000704BB" w:rsidRDefault="00B95326" w:rsidP="00402B9E">
      <w:pPr>
        <w:tabs>
          <w:tab w:val="left" w:pos="2520"/>
        </w:tabs>
        <w:ind w:left="540" w:hanging="540"/>
        <w:jc w:val="both"/>
        <w:rPr>
          <w:rFonts w:ascii="Book Antiqua" w:hAnsi="Book Antiqua" w:cs="Arial"/>
        </w:rPr>
      </w:pPr>
    </w:p>
    <w:sectPr w:rsidR="00B95326" w:rsidRPr="000704BB" w:rsidSect="006365B1">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489" w14:textId="77777777" w:rsidR="005F5037" w:rsidRDefault="005F5037">
      <w:r>
        <w:separator/>
      </w:r>
    </w:p>
  </w:endnote>
  <w:endnote w:type="continuationSeparator" w:id="0">
    <w:p w14:paraId="3EF3EC8C" w14:textId="77777777" w:rsidR="005F5037" w:rsidRDefault="005F5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5C535" w14:textId="4D6B5BA3" w:rsidR="004319AE" w:rsidRPr="000704BB" w:rsidRDefault="004319AE"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0F5256">
      <w:rPr>
        <w:rStyle w:val="PageNumber"/>
        <w:rFonts w:ascii="Book Antiqua" w:hAnsi="Book Antiqua" w:cs="Arial"/>
        <w:noProof/>
        <w:sz w:val="16"/>
        <w:szCs w:val="16"/>
      </w:rPr>
      <w:t>5</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38599" w14:textId="77777777" w:rsidR="004319AE" w:rsidRPr="000704BB" w:rsidRDefault="004319AE" w:rsidP="00DE5E10">
    <w:pPr>
      <w:jc w:val="center"/>
      <w:rPr>
        <w:rFonts w:ascii="Book Antiqua" w:hAnsi="Book Antiqua" w:cs="Arial"/>
        <w:b/>
      </w:rPr>
    </w:pPr>
    <w:r w:rsidRPr="000704BB">
      <w:rPr>
        <w:rFonts w:ascii="Book Antiqua" w:hAnsi="Book Antiqua" w:cs="Arial"/>
        <w:b/>
        <w:spacing w:val="-6"/>
      </w:rPr>
      <w:t>©</w:t>
    </w:r>
    <w:r w:rsidR="00171EF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3E3B3" w14:textId="77777777" w:rsidR="005F5037" w:rsidRDefault="005F5037">
      <w:r>
        <w:separator/>
      </w:r>
    </w:p>
  </w:footnote>
  <w:footnote w:type="continuationSeparator" w:id="0">
    <w:p w14:paraId="2CC7F291" w14:textId="77777777" w:rsidR="005F5037" w:rsidRDefault="005F5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EB23F" w14:textId="77777777" w:rsidR="004319AE" w:rsidRPr="000704BB" w:rsidRDefault="004319AE"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002E0C6B">
      <w:rPr>
        <w:rFonts w:ascii="Book Antiqua" w:hAnsi="Book Antiqua" w:cs="Arial"/>
        <w:sz w:val="16"/>
        <w:szCs w:val="16"/>
      </w:rPr>
      <w:t>HU/18374/2016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02C61" w14:textId="77777777" w:rsidR="004319AE" w:rsidRPr="000704BB" w:rsidRDefault="004319AE">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C6B"/>
    <w:rsid w:val="00000621"/>
    <w:rsid w:val="000036C2"/>
    <w:rsid w:val="00013755"/>
    <w:rsid w:val="00024565"/>
    <w:rsid w:val="00032447"/>
    <w:rsid w:val="00033D3D"/>
    <w:rsid w:val="00062F02"/>
    <w:rsid w:val="000704BB"/>
    <w:rsid w:val="00071A7E"/>
    <w:rsid w:val="000746C0"/>
    <w:rsid w:val="00074D1D"/>
    <w:rsid w:val="000901B4"/>
    <w:rsid w:val="00092580"/>
    <w:rsid w:val="00093D4D"/>
    <w:rsid w:val="000A287D"/>
    <w:rsid w:val="000C21C3"/>
    <w:rsid w:val="000D3F1D"/>
    <w:rsid w:val="000D5D94"/>
    <w:rsid w:val="000F1A0E"/>
    <w:rsid w:val="000F5256"/>
    <w:rsid w:val="001120CA"/>
    <w:rsid w:val="001165A7"/>
    <w:rsid w:val="00142033"/>
    <w:rsid w:val="00150C5F"/>
    <w:rsid w:val="00167D3A"/>
    <w:rsid w:val="00171EFE"/>
    <w:rsid w:val="0017570A"/>
    <w:rsid w:val="00190911"/>
    <w:rsid w:val="00195327"/>
    <w:rsid w:val="001A3082"/>
    <w:rsid w:val="001A6610"/>
    <w:rsid w:val="001B186A"/>
    <w:rsid w:val="001B2F75"/>
    <w:rsid w:val="001C2D96"/>
    <w:rsid w:val="001C5B44"/>
    <w:rsid w:val="001C6E72"/>
    <w:rsid w:val="001C7F2A"/>
    <w:rsid w:val="001F2716"/>
    <w:rsid w:val="00201E0D"/>
    <w:rsid w:val="00203FB0"/>
    <w:rsid w:val="00207617"/>
    <w:rsid w:val="00230C24"/>
    <w:rsid w:val="0023134B"/>
    <w:rsid w:val="002407A4"/>
    <w:rsid w:val="002537EE"/>
    <w:rsid w:val="00283659"/>
    <w:rsid w:val="002A48AA"/>
    <w:rsid w:val="002C6BD4"/>
    <w:rsid w:val="002D53E5"/>
    <w:rsid w:val="002D68BF"/>
    <w:rsid w:val="002E0C6B"/>
    <w:rsid w:val="002F6B98"/>
    <w:rsid w:val="00336CBF"/>
    <w:rsid w:val="00343FE3"/>
    <w:rsid w:val="003546C8"/>
    <w:rsid w:val="00365F5E"/>
    <w:rsid w:val="00375A4A"/>
    <w:rsid w:val="0037652C"/>
    <w:rsid w:val="00377B82"/>
    <w:rsid w:val="00391A6D"/>
    <w:rsid w:val="003A7CF2"/>
    <w:rsid w:val="003C5CE5"/>
    <w:rsid w:val="003E267B"/>
    <w:rsid w:val="003E2B9E"/>
    <w:rsid w:val="003E7CD1"/>
    <w:rsid w:val="00402B9E"/>
    <w:rsid w:val="004201D1"/>
    <w:rsid w:val="004249CB"/>
    <w:rsid w:val="004319AE"/>
    <w:rsid w:val="00434F2A"/>
    <w:rsid w:val="0044127D"/>
    <w:rsid w:val="004448DB"/>
    <w:rsid w:val="00446C9A"/>
    <w:rsid w:val="00452F2B"/>
    <w:rsid w:val="0045476C"/>
    <w:rsid w:val="00456E5E"/>
    <w:rsid w:val="00457759"/>
    <w:rsid w:val="004759CD"/>
    <w:rsid w:val="00477193"/>
    <w:rsid w:val="004921AA"/>
    <w:rsid w:val="004A1848"/>
    <w:rsid w:val="004A6F4A"/>
    <w:rsid w:val="004E0F3D"/>
    <w:rsid w:val="004E4717"/>
    <w:rsid w:val="00507619"/>
    <w:rsid w:val="00507FEC"/>
    <w:rsid w:val="00510F0E"/>
    <w:rsid w:val="00525647"/>
    <w:rsid w:val="00540F24"/>
    <w:rsid w:val="005479E1"/>
    <w:rsid w:val="00553E0A"/>
    <w:rsid w:val="005570FD"/>
    <w:rsid w:val="005575EA"/>
    <w:rsid w:val="0057790C"/>
    <w:rsid w:val="00593795"/>
    <w:rsid w:val="005A0E45"/>
    <w:rsid w:val="005A75FF"/>
    <w:rsid w:val="005B6F2C"/>
    <w:rsid w:val="005D10AB"/>
    <w:rsid w:val="005F5037"/>
    <w:rsid w:val="00601D8F"/>
    <w:rsid w:val="00607EED"/>
    <w:rsid w:val="00626D14"/>
    <w:rsid w:val="006365B1"/>
    <w:rsid w:val="00643BFC"/>
    <w:rsid w:val="00652FC5"/>
    <w:rsid w:val="00653E97"/>
    <w:rsid w:val="006701F7"/>
    <w:rsid w:val="00684A74"/>
    <w:rsid w:val="00690B8A"/>
    <w:rsid w:val="006D6955"/>
    <w:rsid w:val="006F2CF1"/>
    <w:rsid w:val="006F6B0B"/>
    <w:rsid w:val="007038ED"/>
    <w:rsid w:val="00703BC3"/>
    <w:rsid w:val="00704B61"/>
    <w:rsid w:val="007552A9"/>
    <w:rsid w:val="00761858"/>
    <w:rsid w:val="00767D59"/>
    <w:rsid w:val="00776E97"/>
    <w:rsid w:val="00780F86"/>
    <w:rsid w:val="007912AD"/>
    <w:rsid w:val="00797649"/>
    <w:rsid w:val="007A3974"/>
    <w:rsid w:val="007B0824"/>
    <w:rsid w:val="007B5D3C"/>
    <w:rsid w:val="007E31BD"/>
    <w:rsid w:val="007F2A46"/>
    <w:rsid w:val="00806249"/>
    <w:rsid w:val="00821B72"/>
    <w:rsid w:val="00823EF2"/>
    <w:rsid w:val="008303B8"/>
    <w:rsid w:val="00833DCE"/>
    <w:rsid w:val="00871D34"/>
    <w:rsid w:val="008B270C"/>
    <w:rsid w:val="008B5078"/>
    <w:rsid w:val="008C3D3D"/>
    <w:rsid w:val="008D4131"/>
    <w:rsid w:val="008F1932"/>
    <w:rsid w:val="00921062"/>
    <w:rsid w:val="009722BC"/>
    <w:rsid w:val="009727A3"/>
    <w:rsid w:val="00987774"/>
    <w:rsid w:val="009A11E8"/>
    <w:rsid w:val="009F5220"/>
    <w:rsid w:val="00A15234"/>
    <w:rsid w:val="00A201AB"/>
    <w:rsid w:val="00A232CE"/>
    <w:rsid w:val="00A31C8B"/>
    <w:rsid w:val="00A373A4"/>
    <w:rsid w:val="00A509FA"/>
    <w:rsid w:val="00A71C11"/>
    <w:rsid w:val="00A845DC"/>
    <w:rsid w:val="00AC648B"/>
    <w:rsid w:val="00B26AA2"/>
    <w:rsid w:val="00B3524D"/>
    <w:rsid w:val="00B40F69"/>
    <w:rsid w:val="00B46616"/>
    <w:rsid w:val="00B56A59"/>
    <w:rsid w:val="00B7040A"/>
    <w:rsid w:val="00B83391"/>
    <w:rsid w:val="00B95326"/>
    <w:rsid w:val="00BB12C6"/>
    <w:rsid w:val="00BB214C"/>
    <w:rsid w:val="00BD4196"/>
    <w:rsid w:val="00BF22CA"/>
    <w:rsid w:val="00BF23BB"/>
    <w:rsid w:val="00C23F4B"/>
    <w:rsid w:val="00C26032"/>
    <w:rsid w:val="00C26F19"/>
    <w:rsid w:val="00C345E1"/>
    <w:rsid w:val="00C43BFD"/>
    <w:rsid w:val="00C47178"/>
    <w:rsid w:val="00C77BDD"/>
    <w:rsid w:val="00C80291"/>
    <w:rsid w:val="00CB6E35"/>
    <w:rsid w:val="00CC6871"/>
    <w:rsid w:val="00CD25FF"/>
    <w:rsid w:val="00CE1A46"/>
    <w:rsid w:val="00CE3286"/>
    <w:rsid w:val="00CF70A4"/>
    <w:rsid w:val="00D20757"/>
    <w:rsid w:val="00D22636"/>
    <w:rsid w:val="00D333D8"/>
    <w:rsid w:val="00D40FD9"/>
    <w:rsid w:val="00D53769"/>
    <w:rsid w:val="00D85C13"/>
    <w:rsid w:val="00D9111A"/>
    <w:rsid w:val="00D91BE3"/>
    <w:rsid w:val="00D94AFC"/>
    <w:rsid w:val="00DB70AE"/>
    <w:rsid w:val="00DD5071"/>
    <w:rsid w:val="00DD5C39"/>
    <w:rsid w:val="00DE5E10"/>
    <w:rsid w:val="00DE7DB7"/>
    <w:rsid w:val="00E00A0A"/>
    <w:rsid w:val="00E066DE"/>
    <w:rsid w:val="00E07F57"/>
    <w:rsid w:val="00E30683"/>
    <w:rsid w:val="00E453D8"/>
    <w:rsid w:val="00E50BCE"/>
    <w:rsid w:val="00E574BF"/>
    <w:rsid w:val="00E61292"/>
    <w:rsid w:val="00E72BE0"/>
    <w:rsid w:val="00E77C4D"/>
    <w:rsid w:val="00E81D01"/>
    <w:rsid w:val="00E959B3"/>
    <w:rsid w:val="00E96BF6"/>
    <w:rsid w:val="00ED3F56"/>
    <w:rsid w:val="00EE45D8"/>
    <w:rsid w:val="00F11A1C"/>
    <w:rsid w:val="00F22EDA"/>
    <w:rsid w:val="00F654E0"/>
    <w:rsid w:val="00F8018A"/>
    <w:rsid w:val="00FB0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D214E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D994B-0D8E-4CEE-9F46-C23ABC034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2201</Words>
  <Characters>10954</Characters>
  <Application>Microsoft Office Word</Application>
  <DocSecurity>0</DocSecurity>
  <Lines>91</Lines>
  <Paragraphs>26</Paragraphs>
  <ScaleCrop>false</ScaleCrop>
  <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2018-09-27T15:31:00Z</dcterms:created>
  <dcterms:modified xsi:type="dcterms:W3CDTF">2018-09-27T15:31:00Z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