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25CAB" w:rsidP="00C321B5">
      <w:pPr>
        <w:jc w:val="center"/>
        <w:rPr>
          <w:rFonts w:ascii="Book Antiqua" w:hAnsi="Book Antiqua" w:cs="Arial"/>
          <w:sz w:val="16"/>
          <w:szCs w:val="16"/>
        </w:rPr>
      </w:pPr>
      <w:bookmarkStart w:id="0" w:name="_GoBack"/>
      <w:bookmarkEnd w:id="0"/>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Default="00C321B5" w:rsidP="00B626FA">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A879C8">
        <w:rPr>
          <w:rFonts w:ascii="Book Antiqua" w:hAnsi="Book Antiqua" w:cs="Arial"/>
          <w:b/>
          <w:caps/>
        </w:rPr>
        <w:t>HU</w:t>
      </w:r>
      <w:r w:rsidR="001B67F3" w:rsidRPr="007A3ED6">
        <w:rPr>
          <w:rFonts w:ascii="Book Antiqua" w:hAnsi="Book Antiqua" w:cs="Arial"/>
          <w:b/>
          <w:caps/>
        </w:rPr>
        <w:t>/</w:t>
      </w:r>
      <w:r w:rsidR="00A879C8">
        <w:rPr>
          <w:rFonts w:ascii="Book Antiqua" w:hAnsi="Book Antiqua" w:cs="Arial"/>
          <w:b/>
          <w:caps/>
        </w:rPr>
        <w:t>18403</w:t>
      </w:r>
      <w:r w:rsidR="00FB050B" w:rsidRPr="007A3ED6">
        <w:rPr>
          <w:rFonts w:ascii="Book Antiqua" w:hAnsi="Book Antiqua" w:cs="Arial"/>
          <w:b/>
          <w:caps/>
        </w:rPr>
        <w:t>/201</w:t>
      </w:r>
      <w:r w:rsidR="00A879C8">
        <w:rPr>
          <w:rFonts w:ascii="Book Antiqua" w:hAnsi="Book Antiqua" w:cs="Arial"/>
          <w:b/>
          <w:caps/>
        </w:rPr>
        <w:t>6</w:t>
      </w:r>
    </w:p>
    <w:p w:rsidR="00A879C8" w:rsidRPr="00A879C8" w:rsidRDefault="00A879C8" w:rsidP="00B626FA">
      <w:pPr>
        <w:tabs>
          <w:tab w:val="right" w:pos="9639"/>
        </w:tabs>
        <w:rPr>
          <w:rFonts w:ascii="Book Antiqua" w:hAnsi="Book Antiqua" w:cs="Arial"/>
          <w:b/>
          <w:caps/>
        </w:rPr>
      </w:pPr>
      <w:r>
        <w:rPr>
          <w:rFonts w:ascii="Book Antiqua" w:hAnsi="Book Antiqua" w:cs="Arial"/>
          <w:caps/>
        </w:rPr>
        <w:tab/>
      </w:r>
      <w:r w:rsidRPr="00A879C8">
        <w:rPr>
          <w:rFonts w:ascii="Book Antiqua" w:hAnsi="Book Antiqua" w:cs="Arial"/>
          <w:b/>
          <w:caps/>
        </w:rPr>
        <w:t>HU/18408/2016</w:t>
      </w:r>
    </w:p>
    <w:p w:rsidR="00A879C8" w:rsidRDefault="00A879C8" w:rsidP="00B626FA">
      <w:pPr>
        <w:tabs>
          <w:tab w:val="right" w:pos="9639"/>
        </w:tabs>
        <w:rPr>
          <w:rFonts w:ascii="Book Antiqua" w:hAnsi="Book Antiqua" w:cs="Arial"/>
          <w:caps/>
        </w:rPr>
      </w:pPr>
      <w:r w:rsidRPr="00A879C8">
        <w:rPr>
          <w:rFonts w:ascii="Book Antiqua" w:hAnsi="Book Antiqua" w:cs="Arial"/>
          <w:b/>
          <w:caps/>
        </w:rPr>
        <w:tab/>
        <w:t>HU/18406/2016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4"/>
        <w:gridCol w:w="3894"/>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C767E8">
              <w:rPr>
                <w:rFonts w:ascii="Book Antiqua" w:hAnsi="Book Antiqua" w:cs="Arial"/>
                <w:b/>
              </w:rPr>
              <w:t>Manchester</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C767E8">
              <w:rPr>
                <w:rFonts w:ascii="Book Antiqua" w:hAnsi="Book Antiqua" w:cs="Arial"/>
                <w:b/>
              </w:rPr>
              <w:t>27</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DC79DD" w:rsidP="00337EBB">
            <w:pPr>
              <w:jc w:val="both"/>
              <w:rPr>
                <w:rFonts w:ascii="Book Antiqua" w:hAnsi="Book Antiqua" w:cs="Arial"/>
                <w:b/>
              </w:rPr>
            </w:pPr>
            <w:r>
              <w:rPr>
                <w:rFonts w:ascii="Book Antiqua" w:hAnsi="Book Antiqua" w:cs="Arial"/>
                <w:b/>
              </w:rPr>
              <w:t>On August 02, 2018</w:t>
            </w: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0574DF" w:rsidRDefault="00A879C8" w:rsidP="000574DF">
      <w:pPr>
        <w:jc w:val="center"/>
        <w:rPr>
          <w:rFonts w:ascii="Book Antiqua" w:hAnsi="Book Antiqua" w:cs="Arial"/>
          <w:b/>
          <w:caps/>
        </w:rPr>
      </w:pPr>
      <w:r>
        <w:rPr>
          <w:rFonts w:ascii="Book Antiqua" w:hAnsi="Book Antiqua" w:cs="Arial"/>
          <w:b/>
          <w:caps/>
        </w:rPr>
        <w:t>RPR</w:t>
      </w:r>
    </w:p>
    <w:p w:rsidR="00A879C8" w:rsidRDefault="00A879C8" w:rsidP="000574DF">
      <w:pPr>
        <w:jc w:val="center"/>
        <w:rPr>
          <w:rFonts w:ascii="Book Antiqua" w:hAnsi="Book Antiqua" w:cs="Arial"/>
          <w:b/>
          <w:caps/>
        </w:rPr>
      </w:pPr>
      <w:r>
        <w:rPr>
          <w:rFonts w:ascii="Book Antiqua" w:hAnsi="Book Antiqua" w:cs="Arial"/>
          <w:b/>
          <w:caps/>
        </w:rPr>
        <w:t>CPR</w:t>
      </w:r>
    </w:p>
    <w:p w:rsidR="00A879C8" w:rsidRDefault="00A879C8" w:rsidP="000574DF">
      <w:pPr>
        <w:jc w:val="center"/>
        <w:rPr>
          <w:rFonts w:ascii="Book Antiqua" w:hAnsi="Book Antiqua" w:cs="Arial"/>
          <w:b/>
          <w:caps/>
        </w:rPr>
      </w:pPr>
      <w:r>
        <w:rPr>
          <w:rFonts w:ascii="Book Antiqua" w:hAnsi="Book Antiqua" w:cs="Arial"/>
          <w:b/>
          <w:caps/>
        </w:rPr>
        <w:t>CVPR</w:t>
      </w:r>
    </w:p>
    <w:p w:rsidR="000574DF" w:rsidRDefault="000574DF" w:rsidP="000574DF">
      <w:pPr>
        <w:jc w:val="center"/>
        <w:rPr>
          <w:rFonts w:ascii="Book Antiqua" w:hAnsi="Book Antiqua" w:cs="Arial"/>
          <w:b/>
          <w:caps/>
        </w:rPr>
      </w:pPr>
      <w:r w:rsidRPr="005B4942">
        <w:rPr>
          <w:rFonts w:ascii="Book Antiqua" w:hAnsi="Book Antiqua" w:cs="Arial"/>
          <w:b/>
          <w:caps/>
        </w:rPr>
        <w:t xml:space="preserve">(ANONYMITY DIRECTION </w:t>
      </w:r>
      <w:r>
        <w:rPr>
          <w:rFonts w:ascii="Book Antiqua" w:hAnsi="Book Antiqua" w:cs="Arial"/>
          <w:b/>
          <w:caps/>
        </w:rPr>
        <w:t>made</w:t>
      </w:r>
      <w:r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A879C8">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0574DF" w:rsidRDefault="000574DF" w:rsidP="00704B61">
      <w:pPr>
        <w:jc w:val="center"/>
        <w:rPr>
          <w:rFonts w:ascii="Book Antiqua" w:hAnsi="Book Antiqua" w:cs="Arial"/>
          <w:b/>
        </w:rPr>
      </w:pPr>
      <w:r>
        <w:rPr>
          <w:rFonts w:ascii="Book Antiqua" w:hAnsi="Book Antiqua" w:cs="Arial"/>
          <w:b/>
          <w:caps/>
        </w:rPr>
        <w:t xml:space="preserve">the </w:t>
      </w:r>
      <w:r w:rsidR="00A879C8">
        <w:rPr>
          <w:rFonts w:ascii="Book Antiqua" w:hAnsi="Book Antiqua" w:cs="Arial"/>
          <w:b/>
          <w:caps/>
        </w:rPr>
        <w:t>ENTRY CLEARANCE OFFICER</w:t>
      </w:r>
    </w:p>
    <w:p w:rsidR="00E9793C" w:rsidRDefault="00E9793C" w:rsidP="00704B61">
      <w:pPr>
        <w:jc w:val="center"/>
        <w:rPr>
          <w:rFonts w:ascii="Book Antiqua" w:hAnsi="Book Antiqua" w:cs="Arial"/>
          <w:b/>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B442B">
        <w:rPr>
          <w:rFonts w:ascii="Book Antiqua" w:hAnsi="Book Antiqua" w:cs="Arial"/>
        </w:rPr>
        <w:t xml:space="preserve">Mr </w:t>
      </w:r>
      <w:proofErr w:type="spellStart"/>
      <w:r w:rsidR="006B442B">
        <w:rPr>
          <w:rFonts w:ascii="Book Antiqua" w:hAnsi="Book Antiqua" w:cs="Arial"/>
        </w:rPr>
        <w:t>Sram</w:t>
      </w:r>
      <w:proofErr w:type="spellEnd"/>
      <w:r w:rsidR="006B442B">
        <w:rPr>
          <w:rFonts w:ascii="Book Antiqua" w:hAnsi="Book Antiqua" w:cs="Arial"/>
        </w:rPr>
        <w:t>, Counsel, instructed by One Source Solicitors</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B442B">
        <w:rPr>
          <w:rFonts w:ascii="Book Antiqua" w:hAnsi="Book Antiqua" w:cs="Arial"/>
        </w:rPr>
        <w:t>Mr Tan</w:t>
      </w:r>
      <w:r w:rsidR="00313B4E">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A879C8" w:rsidP="00B35843">
      <w:pPr>
        <w:numPr>
          <w:ilvl w:val="0"/>
          <w:numId w:val="3"/>
        </w:numPr>
        <w:spacing w:before="240"/>
        <w:jc w:val="both"/>
        <w:rPr>
          <w:rFonts w:ascii="Book Antiqua" w:hAnsi="Book Antiqua" w:cs="Arial"/>
        </w:rPr>
      </w:pPr>
      <w:r>
        <w:rPr>
          <w:rFonts w:ascii="Book Antiqua" w:hAnsi="Book Antiqua" w:cs="Arial"/>
        </w:rPr>
        <w:t xml:space="preserve">Pursuant to </w:t>
      </w:r>
      <w:r w:rsidRPr="00664F04">
        <w:rPr>
          <w:rFonts w:ascii="Book Antiqua" w:hAnsi="Book Antiqua"/>
        </w:rPr>
        <w:t xml:space="preserve">Rule 14(1) of the Tribunal Procedure (Upper Tribunal) Rules 2008 (the UT Procedure Rules) </w:t>
      </w:r>
      <w:r>
        <w:rPr>
          <w:rFonts w:ascii="Book Antiqua" w:hAnsi="Book Antiqua"/>
        </w:rPr>
        <w:t xml:space="preserve">I make an order </w:t>
      </w:r>
      <w:r w:rsidRPr="00664F04">
        <w:rPr>
          <w:rFonts w:ascii="Book Antiqua" w:hAnsi="Book Antiqua"/>
        </w:rPr>
        <w:t xml:space="preserve">prohibiting the disclosure or publication of specified documents or information relating to the proceedings or of any matter likely to lead </w:t>
      </w:r>
      <w:r w:rsidRPr="00664F04">
        <w:rPr>
          <w:rFonts w:ascii="Book Antiqua" w:hAnsi="Book Antiqua"/>
        </w:rPr>
        <w:lastRenderedPageBreak/>
        <w:t>members of the public to identify any person whom the Upper Tribunal considers should not be identified. The effect of such an “anonymity order” may therefore be to prohibit anyone (not merely the parties in the case) from disclosing relevant information. Breach of the order may be punishable as a contempt of court</w:t>
      </w:r>
      <w:r>
        <w:rPr>
          <w:rFonts w:ascii="Book Antiqua" w:hAnsi="Book Antiqua"/>
        </w:rPr>
        <w:t>.</w:t>
      </w:r>
    </w:p>
    <w:p w:rsidR="00B35843" w:rsidRDefault="00A879C8" w:rsidP="00892884">
      <w:pPr>
        <w:numPr>
          <w:ilvl w:val="0"/>
          <w:numId w:val="3"/>
        </w:numPr>
        <w:spacing w:before="240"/>
        <w:jc w:val="both"/>
        <w:rPr>
          <w:rFonts w:ascii="Book Antiqua" w:hAnsi="Book Antiqua" w:cs="Arial"/>
        </w:rPr>
      </w:pPr>
      <w:bookmarkStart w:id="1" w:name="_Hlk518373650"/>
      <w:r>
        <w:rPr>
          <w:rFonts w:ascii="Book Antiqua" w:hAnsi="Book Antiqua" w:cs="Arial"/>
        </w:rPr>
        <w:t xml:space="preserve">The appellants are nationals of the Philippines. They each sought entry clearance under paragraph 297 HC 395 as the children of a parent present and settled in the United Kingdom. The respondent refused the application </w:t>
      </w:r>
      <w:r w:rsidR="00FA7BA8">
        <w:rPr>
          <w:rFonts w:ascii="Book Antiqua" w:hAnsi="Book Antiqua" w:cs="Arial"/>
        </w:rPr>
        <w:t xml:space="preserve">of October 22, 2016 </w:t>
      </w:r>
      <w:r>
        <w:rPr>
          <w:rFonts w:ascii="Book Antiqua" w:hAnsi="Book Antiqua" w:cs="Arial"/>
        </w:rPr>
        <w:t>on the basis that the sponsor did not have sole responsibility</w:t>
      </w:r>
      <w:r w:rsidR="00FA7BA8">
        <w:rPr>
          <w:rFonts w:ascii="Book Antiqua" w:hAnsi="Book Antiqua" w:cs="Arial"/>
        </w:rPr>
        <w:t xml:space="preserve"> and the respondent further stated that he was not satisfied the sponsor would be able to adequately accommodate the appellants or maintain them adequately without recourse to public funds. The respondent went on to state there were no exceptional circumstances that engaged article 8 ECHR.</w:t>
      </w:r>
    </w:p>
    <w:p w:rsidR="00494161" w:rsidRDefault="00641A27" w:rsidP="00911478">
      <w:pPr>
        <w:numPr>
          <w:ilvl w:val="0"/>
          <w:numId w:val="3"/>
        </w:numPr>
        <w:spacing w:before="240"/>
        <w:jc w:val="both"/>
        <w:rPr>
          <w:rFonts w:ascii="Book Antiqua" w:hAnsi="Book Antiqua" w:cs="Arial"/>
        </w:rPr>
      </w:pPr>
      <w:r>
        <w:rPr>
          <w:rFonts w:ascii="Book Antiqua" w:hAnsi="Book Antiqua" w:cs="Arial"/>
        </w:rPr>
        <w:t>The appellant</w:t>
      </w:r>
      <w:r w:rsidR="00FA7BA8">
        <w:rPr>
          <w:rFonts w:ascii="Book Antiqua" w:hAnsi="Book Antiqua" w:cs="Arial"/>
        </w:rPr>
        <w:t>s</w:t>
      </w:r>
      <w:r>
        <w:rPr>
          <w:rFonts w:ascii="Book Antiqua" w:hAnsi="Book Antiqua" w:cs="Arial"/>
        </w:rPr>
        <w:t xml:space="preserve"> lodged grounds of appeal </w:t>
      </w:r>
      <w:r w:rsidR="00E07601">
        <w:rPr>
          <w:rFonts w:ascii="Book Antiqua" w:hAnsi="Book Antiqua" w:cs="Arial"/>
        </w:rPr>
        <w:t>on</w:t>
      </w:r>
      <w:r w:rsidR="00FA7BA8">
        <w:rPr>
          <w:rFonts w:ascii="Book Antiqua" w:hAnsi="Book Antiqua" w:cs="Arial"/>
        </w:rPr>
        <w:t xml:space="preserve"> June 19, 2016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p>
    <w:p w:rsidR="00641A27" w:rsidRDefault="00FA7BA8" w:rsidP="00911478">
      <w:pPr>
        <w:numPr>
          <w:ilvl w:val="0"/>
          <w:numId w:val="3"/>
        </w:numPr>
        <w:spacing w:before="240"/>
        <w:jc w:val="both"/>
        <w:rPr>
          <w:rFonts w:ascii="Book Antiqua" w:hAnsi="Book Antiqua" w:cs="Arial"/>
        </w:rPr>
      </w:pPr>
      <w:r>
        <w:rPr>
          <w:rFonts w:ascii="Book Antiqua" w:hAnsi="Book Antiqua" w:cs="Arial"/>
        </w:rPr>
        <w:t>Their</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Pr>
          <w:rFonts w:ascii="Book Antiqua" w:hAnsi="Book Antiqua" w:cs="Arial"/>
        </w:rPr>
        <w:t>Khawar</w:t>
      </w:r>
      <w:proofErr w:type="spellEnd"/>
      <w:r>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sidR="00AA5007">
        <w:rPr>
          <w:rFonts w:ascii="Book Antiqua" w:hAnsi="Book Antiqua" w:cs="Arial"/>
        </w:rPr>
        <w:t xml:space="preserve"> </w:t>
      </w:r>
      <w:r>
        <w:rPr>
          <w:rFonts w:ascii="Book Antiqua" w:hAnsi="Book Antiqua" w:cs="Arial"/>
        </w:rPr>
        <w:t xml:space="preserve">November 27, 2017 </w:t>
      </w:r>
      <w:r w:rsidR="00E07601">
        <w:rPr>
          <w:rFonts w:ascii="Book Antiqua" w:hAnsi="Book Antiqua" w:cs="Arial"/>
        </w:rPr>
        <w:t xml:space="preserve">and </w:t>
      </w:r>
      <w:r>
        <w:rPr>
          <w:rFonts w:ascii="Book Antiqua" w:hAnsi="Book Antiqua" w:cs="Arial"/>
        </w:rPr>
        <w:t xml:space="preserve">he </w:t>
      </w:r>
      <w:r w:rsidR="00AA5007">
        <w:rPr>
          <w:rFonts w:ascii="Book Antiqua" w:hAnsi="Book Antiqua" w:cs="Arial"/>
        </w:rPr>
        <w:t xml:space="preserve">dismissed </w:t>
      </w:r>
      <w:r>
        <w:rPr>
          <w:rFonts w:ascii="Book Antiqua" w:hAnsi="Book Antiqua" w:cs="Arial"/>
        </w:rPr>
        <w:t xml:space="preserve">their </w:t>
      </w:r>
      <w:r w:rsidR="00657E4E">
        <w:rPr>
          <w:rFonts w:ascii="Book Antiqua" w:hAnsi="Book Antiqua" w:cs="Arial"/>
        </w:rPr>
        <w:t>appeal</w:t>
      </w:r>
      <w:r>
        <w:rPr>
          <w:rFonts w:ascii="Book Antiqua" w:hAnsi="Book Antiqua" w:cs="Arial"/>
        </w:rPr>
        <w:t>s</w:t>
      </w:r>
      <w:r w:rsidR="002A15E9">
        <w:rPr>
          <w:rFonts w:ascii="Book Antiqua" w:hAnsi="Book Antiqua" w:cs="Arial"/>
        </w:rPr>
        <w:t xml:space="preserve"> on</w:t>
      </w:r>
      <w:r w:rsidR="00AA5007">
        <w:rPr>
          <w:rFonts w:ascii="Book Antiqua" w:hAnsi="Book Antiqua" w:cs="Arial"/>
        </w:rPr>
        <w:t xml:space="preserve"> </w:t>
      </w:r>
      <w:r>
        <w:rPr>
          <w:rFonts w:ascii="Book Antiqua" w:hAnsi="Book Antiqua" w:cs="Arial"/>
        </w:rPr>
        <w:t xml:space="preserve">human rights </w:t>
      </w:r>
      <w:r w:rsidR="00AA5007">
        <w:rPr>
          <w:rFonts w:ascii="Book Antiqua" w:hAnsi="Book Antiqua" w:cs="Arial"/>
        </w:rPr>
        <w:t xml:space="preserve">grounds </w:t>
      </w:r>
      <w:r w:rsidR="0084729B">
        <w:rPr>
          <w:rFonts w:ascii="Book Antiqua" w:hAnsi="Book Antiqua" w:cs="Arial"/>
        </w:rPr>
        <w:t>on</w:t>
      </w:r>
      <w:r w:rsidR="00AA5007">
        <w:rPr>
          <w:rFonts w:ascii="Book Antiqua" w:hAnsi="Book Antiqua" w:cs="Arial"/>
        </w:rPr>
        <w:t xml:space="preserve"> </w:t>
      </w:r>
      <w:r>
        <w:rPr>
          <w:rFonts w:ascii="Book Antiqua" w:hAnsi="Book Antiqua" w:cs="Arial"/>
        </w:rPr>
        <w:t>December 5</w:t>
      </w:r>
      <w:r w:rsidR="00AA5007">
        <w:rPr>
          <w:rFonts w:ascii="Book Antiqua" w:hAnsi="Book Antiqua" w:cs="Arial"/>
        </w:rPr>
        <w:t>, 201</w:t>
      </w:r>
      <w:r>
        <w:rPr>
          <w:rFonts w:ascii="Book Antiqua" w:hAnsi="Book Antiqua" w:cs="Arial"/>
        </w:rPr>
        <w:t>7</w:t>
      </w:r>
      <w:r w:rsidR="00BC05F7">
        <w:rPr>
          <w:rFonts w:ascii="Book Antiqua" w:hAnsi="Book Antiqua" w:cs="Arial"/>
        </w:rPr>
        <w:t xml:space="preserve">. </w:t>
      </w:r>
    </w:p>
    <w:p w:rsidR="006667C1" w:rsidRDefault="00E07601" w:rsidP="004F1FD2">
      <w:pPr>
        <w:numPr>
          <w:ilvl w:val="0"/>
          <w:numId w:val="3"/>
        </w:numPr>
        <w:spacing w:before="240"/>
        <w:jc w:val="both"/>
        <w:rPr>
          <w:rFonts w:ascii="Book Antiqua" w:hAnsi="Book Antiqua" w:cs="Arial"/>
        </w:rPr>
      </w:pPr>
      <w:r w:rsidRPr="0084729B">
        <w:rPr>
          <w:rFonts w:ascii="Book Antiqua" w:hAnsi="Book Antiqua" w:cs="Arial"/>
        </w:rPr>
        <w:t xml:space="preserve">The </w:t>
      </w:r>
      <w:r w:rsidR="00AA5007">
        <w:rPr>
          <w:rFonts w:ascii="Book Antiqua" w:hAnsi="Book Antiqua" w:cs="Arial"/>
        </w:rPr>
        <w:t>appellant</w:t>
      </w:r>
      <w:r w:rsidR="00FA7BA8">
        <w:rPr>
          <w:rFonts w:ascii="Book Antiqua" w:hAnsi="Book Antiqua" w:cs="Arial"/>
        </w:rPr>
        <w:t>s</w:t>
      </w:r>
      <w:r w:rsidR="00AA5007">
        <w:rPr>
          <w:rFonts w:ascii="Book Antiqua" w:hAnsi="Book Antiqua" w:cs="Arial"/>
        </w:rPr>
        <w:t xml:space="preserve"> </w:t>
      </w:r>
      <w:r w:rsidRPr="0084729B">
        <w:rPr>
          <w:rFonts w:ascii="Book Antiqua" w:hAnsi="Book Antiqua" w:cs="Arial"/>
        </w:rPr>
        <w:t xml:space="preserve">appealed this decision on </w:t>
      </w:r>
      <w:r w:rsidR="00FA7BA8">
        <w:rPr>
          <w:rFonts w:ascii="Book Antiqua" w:hAnsi="Book Antiqua" w:cs="Arial"/>
        </w:rPr>
        <w:t>December 19</w:t>
      </w:r>
      <w:r w:rsidR="0060684A">
        <w:rPr>
          <w:rFonts w:ascii="Book Antiqua" w:hAnsi="Book Antiqua" w:cs="Arial"/>
        </w:rPr>
        <w:t>, 201</w:t>
      </w:r>
      <w:r w:rsidR="00FA7BA8">
        <w:rPr>
          <w:rFonts w:ascii="Book Antiqua" w:hAnsi="Book Antiqua" w:cs="Arial"/>
        </w:rPr>
        <w:t>7</w:t>
      </w:r>
      <w:r w:rsidR="0084729B" w:rsidRPr="0084729B">
        <w:rPr>
          <w:rFonts w:ascii="Book Antiqua" w:hAnsi="Book Antiqua" w:cs="Arial"/>
        </w:rPr>
        <w:t xml:space="preserve"> on the grounds </w:t>
      </w:r>
      <w:r w:rsidR="00FA7BA8">
        <w:rPr>
          <w:rFonts w:ascii="Book Antiqua" w:hAnsi="Book Antiqua" w:cs="Arial"/>
        </w:rPr>
        <w:t>there had been procedural unfairness by refusing her application to allow the sponsor to attend the appeal hearing. The Judge had been unable to obtain answers to important questions in her absence.</w:t>
      </w:r>
    </w:p>
    <w:p w:rsidR="00AA5007" w:rsidRDefault="002A15E9" w:rsidP="00911478">
      <w:pPr>
        <w:numPr>
          <w:ilvl w:val="0"/>
          <w:numId w:val="3"/>
        </w:numPr>
        <w:spacing w:before="240"/>
        <w:jc w:val="both"/>
        <w:rPr>
          <w:rFonts w:ascii="Book Antiqua" w:hAnsi="Book Antiqua" w:cs="Arial"/>
        </w:rPr>
      </w:pPr>
      <w:bookmarkStart w:id="2" w:name="_Hlk520272685"/>
      <w:r>
        <w:rPr>
          <w:rFonts w:ascii="Book Antiqua" w:hAnsi="Book Antiqua" w:cs="Arial"/>
        </w:rPr>
        <w:t xml:space="preserve">Permission to appeal was granted by Judge of the First-tier Tribunal </w:t>
      </w:r>
      <w:r w:rsidR="00FA7BA8">
        <w:rPr>
          <w:rFonts w:ascii="Book Antiqua" w:hAnsi="Book Antiqua" w:cs="Arial"/>
        </w:rPr>
        <w:t xml:space="preserve">Keane </w:t>
      </w:r>
      <w:r>
        <w:rPr>
          <w:rFonts w:ascii="Book Antiqua" w:hAnsi="Book Antiqua" w:cs="Arial"/>
        </w:rPr>
        <w:t xml:space="preserve">on </w:t>
      </w:r>
      <w:r w:rsidR="00FA7BA8">
        <w:rPr>
          <w:rFonts w:ascii="Book Antiqua" w:hAnsi="Book Antiqua" w:cs="Arial"/>
        </w:rPr>
        <w:t>May 24</w:t>
      </w:r>
      <w:r>
        <w:rPr>
          <w:rFonts w:ascii="Book Antiqua" w:hAnsi="Book Antiqua" w:cs="Arial"/>
        </w:rPr>
        <w:t>, 2018 who</w:t>
      </w:r>
      <w:bookmarkEnd w:id="2"/>
      <w:r w:rsidR="0060684A">
        <w:rPr>
          <w:rFonts w:ascii="Book Antiqua" w:hAnsi="Book Antiqua" w:cs="Arial"/>
        </w:rPr>
        <w:t xml:space="preserve"> </w:t>
      </w:r>
      <w:r w:rsidR="00AA5007">
        <w:rPr>
          <w:rFonts w:ascii="Book Antiqua" w:hAnsi="Book Antiqua" w:cs="Arial"/>
        </w:rPr>
        <w:t xml:space="preserve">accepted there was an arguable error of law </w:t>
      </w:r>
      <w:r w:rsidR="00FA7BA8">
        <w:rPr>
          <w:rFonts w:ascii="Book Antiqua" w:hAnsi="Book Antiqua" w:cs="Arial"/>
        </w:rPr>
        <w:t>due to the fact the Judge had not adjourned the hearing even though he had accepted that answers to a considerable number of questions may have been forthcoming</w:t>
      </w:r>
      <w:r w:rsidR="00DB262B">
        <w:rPr>
          <w:rFonts w:ascii="Book Antiqua" w:hAnsi="Book Antiqua" w:cs="Arial"/>
        </w:rPr>
        <w:t xml:space="preserve"> if the sponsor had been there. </w:t>
      </w:r>
    </w:p>
    <w:p w:rsidR="00052960" w:rsidRPr="00052960" w:rsidRDefault="00C328C8" w:rsidP="00052960">
      <w:pPr>
        <w:spacing w:before="240"/>
        <w:ind w:left="567"/>
        <w:jc w:val="both"/>
        <w:rPr>
          <w:rFonts w:ascii="Book Antiqua" w:hAnsi="Book Antiqua" w:cs="Arial"/>
          <w:b/>
          <w:u w:val="single"/>
        </w:rPr>
      </w:pPr>
      <w:r>
        <w:rPr>
          <w:rFonts w:ascii="Book Antiqua" w:hAnsi="Book Antiqua" w:cs="Arial"/>
          <w:b/>
          <w:u w:val="single"/>
        </w:rPr>
        <w:t>SUBMISSIONS</w:t>
      </w:r>
    </w:p>
    <w:p w:rsidR="003F18E0" w:rsidRDefault="00C328C8" w:rsidP="00911478">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Sram</w:t>
      </w:r>
      <w:proofErr w:type="spellEnd"/>
      <w:r>
        <w:rPr>
          <w:rFonts w:ascii="Book Antiqua" w:hAnsi="Book Antiqua" w:cs="Arial"/>
        </w:rPr>
        <w:t xml:space="preserve"> relied on his skeleton argument and submitted that whilst it was accepted the sponsor mother had received details of the hearing he submitted that she had not attended as she had not realised she was required to attend. This was an application by three children to join their mother and he submitted that if </w:t>
      </w:r>
      <w:r w:rsidR="00DB262B">
        <w:rPr>
          <w:rFonts w:ascii="Book Antiqua" w:hAnsi="Book Antiqua" w:cs="Arial"/>
        </w:rPr>
        <w:t>the mother</w:t>
      </w:r>
      <w:r>
        <w:rPr>
          <w:rFonts w:ascii="Book Antiqua" w:hAnsi="Book Antiqua" w:cs="Arial"/>
        </w:rPr>
        <w:t xml:space="preserve"> had realised that she was required to attend then she would have done so. Mr </w:t>
      </w:r>
      <w:proofErr w:type="spellStart"/>
      <w:r>
        <w:rPr>
          <w:rFonts w:ascii="Book Antiqua" w:hAnsi="Book Antiqua" w:cs="Arial"/>
        </w:rPr>
        <w:t>Sram</w:t>
      </w:r>
      <w:proofErr w:type="spellEnd"/>
      <w:r>
        <w:rPr>
          <w:rFonts w:ascii="Book Antiqua" w:hAnsi="Book Antiqua" w:cs="Arial"/>
        </w:rPr>
        <w:t xml:space="preserve"> argued that the Judge did not consider properly whether proceeding would be unfair but effectively proceeded because he did not accept the sponsor mother’s explanation.</w:t>
      </w:r>
      <w:r w:rsidR="00DB262B">
        <w:rPr>
          <w:rFonts w:ascii="Book Antiqua" w:hAnsi="Book Antiqua" w:cs="Arial"/>
        </w:rPr>
        <w:t xml:space="preserve"> He submitted this was unfair. </w:t>
      </w:r>
    </w:p>
    <w:p w:rsidR="00C328C8" w:rsidRDefault="00C328C8" w:rsidP="00911478">
      <w:pPr>
        <w:numPr>
          <w:ilvl w:val="0"/>
          <w:numId w:val="3"/>
        </w:numPr>
        <w:spacing w:before="240"/>
        <w:jc w:val="both"/>
        <w:rPr>
          <w:rFonts w:ascii="Book Antiqua" w:hAnsi="Book Antiqua" w:cs="Arial"/>
        </w:rPr>
      </w:pPr>
      <w:r>
        <w:rPr>
          <w:rFonts w:ascii="Book Antiqua" w:hAnsi="Book Antiqua" w:cs="Arial"/>
        </w:rPr>
        <w:t>Mr Tan submitted that the Judge had considered the issues and apart from adjourning there was little else he could have done. He had considered the explanation advanced and gave good reasons for refusing the adjournment. He submitted the Judge acted fairly in refusing the adjournment request and he invited the Tribunal to dismiss the application.</w:t>
      </w:r>
    </w:p>
    <w:p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lastRenderedPageBreak/>
        <w:t>FINDINGS</w:t>
      </w:r>
    </w:p>
    <w:p w:rsidR="008E1890" w:rsidRDefault="002747E6" w:rsidP="00052960">
      <w:pPr>
        <w:numPr>
          <w:ilvl w:val="0"/>
          <w:numId w:val="3"/>
        </w:numPr>
        <w:spacing w:before="240"/>
        <w:jc w:val="both"/>
        <w:rPr>
          <w:rFonts w:ascii="Book Antiqua" w:hAnsi="Book Antiqua" w:cs="Arial"/>
        </w:rPr>
      </w:pPr>
      <w:bookmarkStart w:id="3" w:name="_Hlk519237881"/>
      <w:bookmarkEnd w:id="1"/>
      <w:r>
        <w:rPr>
          <w:rFonts w:ascii="Book Antiqua" w:hAnsi="Book Antiqua" w:cs="Arial"/>
        </w:rPr>
        <w:t>This was an appeal brought on a narrow ground namely that there had been procedural unfairness in proceeding in the absence of the appellants’ mother.</w:t>
      </w:r>
    </w:p>
    <w:p w:rsidR="00C328C8" w:rsidRDefault="002747E6" w:rsidP="00052960">
      <w:pPr>
        <w:numPr>
          <w:ilvl w:val="0"/>
          <w:numId w:val="3"/>
        </w:numPr>
        <w:spacing w:before="240"/>
        <w:jc w:val="both"/>
        <w:rPr>
          <w:rFonts w:ascii="Book Antiqua" w:hAnsi="Book Antiqua" w:cs="Arial"/>
        </w:rPr>
      </w:pPr>
      <w:r>
        <w:rPr>
          <w:rFonts w:ascii="Book Antiqua" w:hAnsi="Book Antiqua" w:cs="Arial"/>
        </w:rPr>
        <w:t>At paragraph 8 of the Judge</w:t>
      </w:r>
      <w:r w:rsidR="00C328C8">
        <w:rPr>
          <w:rFonts w:ascii="Book Antiqua" w:hAnsi="Book Antiqua" w:cs="Arial"/>
        </w:rPr>
        <w:t>’</w:t>
      </w:r>
      <w:r>
        <w:rPr>
          <w:rFonts w:ascii="Book Antiqua" w:hAnsi="Book Antiqua" w:cs="Arial"/>
        </w:rPr>
        <w:t>s decision</w:t>
      </w:r>
      <w:r w:rsidR="00C328C8">
        <w:rPr>
          <w:rFonts w:ascii="Book Antiqua" w:hAnsi="Book Antiqua" w:cs="Arial"/>
        </w:rPr>
        <w:t xml:space="preserve">, </w:t>
      </w:r>
      <w:r>
        <w:rPr>
          <w:rFonts w:ascii="Book Antiqua" w:hAnsi="Book Antiqua" w:cs="Arial"/>
        </w:rPr>
        <w:t xml:space="preserve">the Judge noted that an application for an adjournment had been made on the basis the appellants’ mother had failed to attend the hearing. The Judge stood the matter down to enable contact </w:t>
      </w:r>
      <w:r w:rsidR="00C328C8">
        <w:rPr>
          <w:rFonts w:ascii="Book Antiqua" w:hAnsi="Book Antiqua" w:cs="Arial"/>
        </w:rPr>
        <w:t xml:space="preserve">to be made with </w:t>
      </w:r>
      <w:r>
        <w:rPr>
          <w:rFonts w:ascii="Book Antiqua" w:hAnsi="Book Antiqua" w:cs="Arial"/>
        </w:rPr>
        <w:t xml:space="preserve">instructing solicitors with a view to ascertaining why </w:t>
      </w:r>
      <w:r w:rsidR="00C328C8">
        <w:rPr>
          <w:rFonts w:ascii="Book Antiqua" w:hAnsi="Book Antiqua" w:cs="Arial"/>
        </w:rPr>
        <w:t xml:space="preserve">the appellants’ mother </w:t>
      </w:r>
      <w:r>
        <w:rPr>
          <w:rFonts w:ascii="Book Antiqua" w:hAnsi="Book Antiqua" w:cs="Arial"/>
        </w:rPr>
        <w:t xml:space="preserve">had not attended. </w:t>
      </w:r>
    </w:p>
    <w:p w:rsidR="002747E6" w:rsidRDefault="002747E6" w:rsidP="00052960">
      <w:pPr>
        <w:numPr>
          <w:ilvl w:val="0"/>
          <w:numId w:val="3"/>
        </w:numPr>
        <w:spacing w:before="240"/>
        <w:jc w:val="both"/>
        <w:rPr>
          <w:rFonts w:ascii="Book Antiqua" w:hAnsi="Book Antiqua" w:cs="Arial"/>
        </w:rPr>
      </w:pPr>
      <w:r>
        <w:rPr>
          <w:rFonts w:ascii="Book Antiqua" w:hAnsi="Book Antiqua" w:cs="Arial"/>
        </w:rPr>
        <w:t xml:space="preserve">The solicitors </w:t>
      </w:r>
      <w:r w:rsidR="00C328C8">
        <w:rPr>
          <w:rFonts w:ascii="Book Antiqua" w:hAnsi="Book Antiqua" w:cs="Arial"/>
        </w:rPr>
        <w:t xml:space="preserve">had </w:t>
      </w:r>
      <w:r>
        <w:rPr>
          <w:rFonts w:ascii="Book Antiqua" w:hAnsi="Book Antiqua" w:cs="Arial"/>
        </w:rPr>
        <w:t>confirmed to counsel</w:t>
      </w:r>
      <w:r w:rsidR="00C328C8">
        <w:rPr>
          <w:rFonts w:ascii="Book Antiqua" w:hAnsi="Book Antiqua" w:cs="Arial"/>
        </w:rPr>
        <w:t xml:space="preserve">, who was instructed, </w:t>
      </w:r>
      <w:r>
        <w:rPr>
          <w:rFonts w:ascii="Book Antiqua" w:hAnsi="Book Antiqua" w:cs="Arial"/>
        </w:rPr>
        <w:t xml:space="preserve">that the appellants’ mother </w:t>
      </w:r>
      <w:r w:rsidR="00C328C8">
        <w:rPr>
          <w:rFonts w:ascii="Book Antiqua" w:hAnsi="Book Antiqua" w:cs="Arial"/>
        </w:rPr>
        <w:t xml:space="preserve">was aware of the hearing date </w:t>
      </w:r>
      <w:r>
        <w:rPr>
          <w:rFonts w:ascii="Book Antiqua" w:hAnsi="Book Antiqua" w:cs="Arial"/>
        </w:rPr>
        <w:t>but that possibly there had been some misunderstanding because she did not speak English very well. The Judge noted that there had been no request for an interpreter and she had been living in the United Kingdom since 2008</w:t>
      </w:r>
      <w:r w:rsidR="00C328C8">
        <w:rPr>
          <w:rFonts w:ascii="Book Antiqua" w:hAnsi="Book Antiqua" w:cs="Arial"/>
        </w:rPr>
        <w:t xml:space="preserve"> and concluded she would have understood the importance of attending. He therefore proceeded on the basis that she did not intend to appear.</w:t>
      </w:r>
    </w:p>
    <w:p w:rsidR="002747E6" w:rsidRDefault="00C328C8" w:rsidP="00052960">
      <w:pPr>
        <w:numPr>
          <w:ilvl w:val="0"/>
          <w:numId w:val="3"/>
        </w:numPr>
        <w:spacing w:before="240"/>
        <w:jc w:val="both"/>
        <w:rPr>
          <w:rFonts w:ascii="Book Antiqua" w:hAnsi="Book Antiqua" w:cs="Arial"/>
        </w:rPr>
      </w:pPr>
      <w:r>
        <w:rPr>
          <w:rFonts w:ascii="Book Antiqua" w:hAnsi="Book Antiqua" w:cs="Arial"/>
        </w:rPr>
        <w:t xml:space="preserve">Having carefully considered the issues in this appeal and had regard to case law including </w:t>
      </w:r>
      <w:proofErr w:type="spellStart"/>
      <w:r>
        <w:rPr>
          <w:rFonts w:ascii="Book Antiqua" w:hAnsi="Book Antiqua" w:cs="Arial"/>
          <w:u w:val="single"/>
        </w:rPr>
        <w:t>Nwaigwe</w:t>
      </w:r>
      <w:proofErr w:type="spellEnd"/>
      <w:r>
        <w:rPr>
          <w:rFonts w:ascii="Book Antiqua" w:hAnsi="Book Antiqua" w:cs="Arial"/>
          <w:u w:val="single"/>
        </w:rPr>
        <w:t xml:space="preserve"> (</w:t>
      </w:r>
      <w:proofErr w:type="spellStart"/>
      <w:proofErr w:type="gramStart"/>
      <w:r>
        <w:rPr>
          <w:rFonts w:ascii="Book Antiqua" w:hAnsi="Book Antiqua" w:cs="Arial"/>
          <w:u w:val="single"/>
        </w:rPr>
        <w:t>adjournment:fairness</w:t>
      </w:r>
      <w:proofErr w:type="spellEnd"/>
      <w:proofErr w:type="gramEnd"/>
      <w:r>
        <w:rPr>
          <w:rFonts w:ascii="Book Antiqua" w:hAnsi="Book Antiqua" w:cs="Arial"/>
          <w:u w:val="single"/>
        </w:rPr>
        <w:t>)</w:t>
      </w:r>
      <w:r>
        <w:rPr>
          <w:rFonts w:ascii="Book Antiqua" w:hAnsi="Book Antiqua" w:cs="Arial"/>
        </w:rPr>
        <w:t xml:space="preserve"> [2014] UKUT 00418 and in particular paragraph 7 of that decision I find that there has been procedural unfairness.</w:t>
      </w:r>
    </w:p>
    <w:p w:rsidR="00C328C8" w:rsidRPr="00DB262B" w:rsidRDefault="00C328C8" w:rsidP="00147A55">
      <w:pPr>
        <w:numPr>
          <w:ilvl w:val="0"/>
          <w:numId w:val="3"/>
        </w:numPr>
        <w:spacing w:before="240"/>
        <w:jc w:val="both"/>
        <w:rPr>
          <w:rFonts w:ascii="Book Antiqua" w:hAnsi="Book Antiqua" w:cs="Arial"/>
        </w:rPr>
      </w:pPr>
      <w:r w:rsidRPr="00DB262B">
        <w:rPr>
          <w:rFonts w:ascii="Book Antiqua" w:hAnsi="Book Antiqua" w:cs="Arial"/>
        </w:rPr>
        <w:t>It has to be remembered that the Judge was dealing with an appeal by three children who were applying to join their mother</w:t>
      </w:r>
      <w:r w:rsidR="00DB262B" w:rsidRPr="00DB262B">
        <w:rPr>
          <w:rFonts w:ascii="Book Antiqua" w:hAnsi="Book Antiqua" w:cs="Arial"/>
        </w:rPr>
        <w:t xml:space="preserve">, </w:t>
      </w:r>
      <w:r w:rsidRPr="00DB262B">
        <w:rPr>
          <w:rFonts w:ascii="Book Antiqua" w:hAnsi="Book Antiqua" w:cs="Arial"/>
        </w:rPr>
        <w:t>who had leave to remain in this country</w:t>
      </w:r>
      <w:r w:rsidR="00DB262B" w:rsidRPr="00DB262B">
        <w:rPr>
          <w:rFonts w:ascii="Book Antiqua" w:hAnsi="Book Antiqua" w:cs="Arial"/>
        </w:rPr>
        <w:t>, and he was not dealing with an appeal brought by their mother</w:t>
      </w:r>
      <w:r w:rsidRPr="00DB262B">
        <w:rPr>
          <w:rFonts w:ascii="Book Antiqua" w:hAnsi="Book Antiqua" w:cs="Arial"/>
        </w:rPr>
        <w:t xml:space="preserve">. </w:t>
      </w:r>
      <w:r w:rsidR="00DB262B" w:rsidRPr="00DB262B">
        <w:rPr>
          <w:rFonts w:ascii="Book Antiqua" w:hAnsi="Book Antiqua" w:cs="Arial"/>
        </w:rPr>
        <w:t xml:space="preserve">In other words, the persons who were penalised by the decision not to adjourn were the appellants not their mother. </w:t>
      </w:r>
      <w:r w:rsidRPr="00DB262B">
        <w:rPr>
          <w:rFonts w:ascii="Book Antiqua" w:hAnsi="Book Antiqua" w:cs="Arial"/>
        </w:rPr>
        <w:t xml:space="preserve">When the Judge considered whether to adjourn this appeal it seems the </w:t>
      </w:r>
      <w:r w:rsidR="00DB262B" w:rsidRPr="00DB262B">
        <w:rPr>
          <w:rFonts w:ascii="Book Antiqua" w:hAnsi="Book Antiqua" w:cs="Arial"/>
        </w:rPr>
        <w:t>Judge’s</w:t>
      </w:r>
      <w:r w:rsidRPr="00DB262B">
        <w:rPr>
          <w:rFonts w:ascii="Book Antiqua" w:hAnsi="Book Antiqua" w:cs="Arial"/>
        </w:rPr>
        <w:t xml:space="preserve"> concentration was on the </w:t>
      </w:r>
      <w:r w:rsidR="00DB262B" w:rsidRPr="00DB262B">
        <w:rPr>
          <w:rFonts w:ascii="Book Antiqua" w:hAnsi="Book Antiqua" w:cs="Arial"/>
        </w:rPr>
        <w:t>absent mother</w:t>
      </w:r>
      <w:r w:rsidRPr="00DB262B">
        <w:rPr>
          <w:rFonts w:ascii="Book Antiqua" w:hAnsi="Book Antiqua" w:cs="Arial"/>
        </w:rPr>
        <w:t xml:space="preserve">. </w:t>
      </w:r>
    </w:p>
    <w:p w:rsidR="00132BA8" w:rsidRDefault="00132BA8" w:rsidP="00052960">
      <w:pPr>
        <w:numPr>
          <w:ilvl w:val="0"/>
          <w:numId w:val="3"/>
        </w:numPr>
        <w:spacing w:before="240"/>
        <w:jc w:val="both"/>
        <w:rPr>
          <w:rFonts w:ascii="Book Antiqua" w:hAnsi="Book Antiqua" w:cs="Arial"/>
        </w:rPr>
      </w:pPr>
      <w:r>
        <w:rPr>
          <w:rFonts w:ascii="Book Antiqua" w:hAnsi="Book Antiqua" w:cs="Arial"/>
        </w:rPr>
        <w:t xml:space="preserve">The Tribunal in </w:t>
      </w:r>
      <w:proofErr w:type="spellStart"/>
      <w:r>
        <w:rPr>
          <w:rFonts w:ascii="Book Antiqua" w:hAnsi="Book Antiqua" w:cs="Arial"/>
          <w:u w:val="single"/>
        </w:rPr>
        <w:t>Nwaigwe</w:t>
      </w:r>
      <w:proofErr w:type="spellEnd"/>
      <w:r>
        <w:rPr>
          <w:rFonts w:ascii="Book Antiqua" w:hAnsi="Book Antiqua" w:cs="Arial"/>
        </w:rPr>
        <w:t xml:space="preserve"> emphasised that </w:t>
      </w:r>
      <w:r w:rsidR="00DB262B">
        <w:rPr>
          <w:rFonts w:ascii="Book Antiqua" w:hAnsi="Book Antiqua" w:cs="Arial"/>
        </w:rPr>
        <w:t>“</w:t>
      </w:r>
      <w:r>
        <w:rPr>
          <w:rFonts w:ascii="Book Antiqua" w:hAnsi="Book Antiqua" w:cs="Arial"/>
        </w:rPr>
        <w:t xml:space="preserve">where an adjournment refusal is challenged </w:t>
      </w:r>
      <w:r w:rsidR="00DB262B">
        <w:rPr>
          <w:rFonts w:ascii="Book Antiqua" w:hAnsi="Book Antiqua" w:cs="Arial"/>
        </w:rPr>
        <w:t xml:space="preserve">on </w:t>
      </w:r>
      <w:r>
        <w:rPr>
          <w:rFonts w:ascii="Book Antiqua" w:hAnsi="Book Antiqua" w:cs="Arial"/>
        </w:rPr>
        <w:t xml:space="preserve">fairness grounds </w:t>
      </w:r>
      <w:r w:rsidR="00DB262B">
        <w:rPr>
          <w:rFonts w:ascii="Book Antiqua" w:hAnsi="Book Antiqua" w:cs="Arial"/>
        </w:rPr>
        <w:t xml:space="preserve">it </w:t>
      </w:r>
      <w:r>
        <w:rPr>
          <w:rFonts w:ascii="Book Antiqua" w:hAnsi="Book Antiqua" w:cs="Arial"/>
        </w:rPr>
        <w:t>is important to recognise that the question for the Upper Tribunal is not whether the First-tier Tribunal acted reasonably. The test to be applied is that of fairness and whether there was any deprivation of the affected parties’ rights to a fair hearing.</w:t>
      </w:r>
      <w:r w:rsidR="00DB262B">
        <w:rPr>
          <w:rFonts w:ascii="Book Antiqua" w:hAnsi="Book Antiqua" w:cs="Arial"/>
        </w:rPr>
        <w:t>”</w:t>
      </w:r>
      <w:r>
        <w:rPr>
          <w:rFonts w:ascii="Book Antiqua" w:hAnsi="Book Antiqua" w:cs="Arial"/>
        </w:rPr>
        <w:t xml:space="preserve"> </w:t>
      </w:r>
    </w:p>
    <w:p w:rsidR="00DB262B" w:rsidRDefault="00132BA8" w:rsidP="00052960">
      <w:pPr>
        <w:numPr>
          <w:ilvl w:val="0"/>
          <w:numId w:val="3"/>
        </w:numPr>
        <w:spacing w:before="240"/>
        <w:jc w:val="both"/>
        <w:rPr>
          <w:rFonts w:ascii="Book Antiqua" w:hAnsi="Book Antiqua" w:cs="Arial"/>
        </w:rPr>
      </w:pPr>
      <w:r>
        <w:rPr>
          <w:rFonts w:ascii="Book Antiqua" w:hAnsi="Book Antiqua" w:cs="Arial"/>
        </w:rPr>
        <w:t>In this case the affected parties were the appellants and the question the Judge should have asked himself was whether it was fair to proceed</w:t>
      </w:r>
      <w:r w:rsidR="00DB262B">
        <w:rPr>
          <w:rFonts w:ascii="Book Antiqua" w:hAnsi="Book Antiqua" w:cs="Arial"/>
        </w:rPr>
        <w:t xml:space="preserve">, </w:t>
      </w:r>
      <w:r>
        <w:rPr>
          <w:rFonts w:ascii="Book Antiqua" w:hAnsi="Book Antiqua" w:cs="Arial"/>
        </w:rPr>
        <w:t>without their mother present</w:t>
      </w:r>
      <w:r w:rsidR="00DB262B">
        <w:rPr>
          <w:rFonts w:ascii="Book Antiqua" w:hAnsi="Book Antiqua" w:cs="Arial"/>
        </w:rPr>
        <w:t xml:space="preserve">, </w:t>
      </w:r>
      <w:r>
        <w:rPr>
          <w:rFonts w:ascii="Book Antiqua" w:hAnsi="Book Antiqua" w:cs="Arial"/>
        </w:rPr>
        <w:t>in the knowledge that there were “a considerable number of questions which arise from the documentary evidence filed”</w:t>
      </w:r>
      <w:r w:rsidR="00DB262B">
        <w:rPr>
          <w:rFonts w:ascii="Book Antiqua" w:hAnsi="Book Antiqua" w:cs="Arial"/>
        </w:rPr>
        <w:t xml:space="preserve"> and in the </w:t>
      </w:r>
      <w:proofErr w:type="gramStart"/>
      <w:r w:rsidR="00DB262B">
        <w:rPr>
          <w:rFonts w:ascii="Book Antiqua" w:hAnsi="Book Antiqua" w:cs="Arial"/>
        </w:rPr>
        <w:t>knowledge</w:t>
      </w:r>
      <w:proofErr w:type="gramEnd"/>
      <w:r w:rsidR="00DB262B">
        <w:rPr>
          <w:rFonts w:ascii="Book Antiqua" w:hAnsi="Book Antiqua" w:cs="Arial"/>
        </w:rPr>
        <w:t xml:space="preserve"> she did not realise she had to attend</w:t>
      </w:r>
      <w:r>
        <w:rPr>
          <w:rFonts w:ascii="Book Antiqua" w:hAnsi="Book Antiqua" w:cs="Arial"/>
        </w:rPr>
        <w:t xml:space="preserve">. </w:t>
      </w:r>
    </w:p>
    <w:p w:rsidR="00132BA8" w:rsidRDefault="00132BA8" w:rsidP="00052960">
      <w:pPr>
        <w:numPr>
          <w:ilvl w:val="0"/>
          <w:numId w:val="3"/>
        </w:numPr>
        <w:spacing w:before="240"/>
        <w:jc w:val="both"/>
        <w:rPr>
          <w:rFonts w:ascii="Book Antiqua" w:hAnsi="Book Antiqua" w:cs="Arial"/>
        </w:rPr>
      </w:pPr>
      <w:r>
        <w:rPr>
          <w:rFonts w:ascii="Book Antiqua" w:hAnsi="Book Antiqua" w:cs="Arial"/>
        </w:rPr>
        <w:t>The Judge recognised that the witness was an important witness and whilst he may have had doubts about the sincerity of her absence the fact remained there was an application for an adjournment and by refusing the adjournment I find, given the fact it was the appellants’ appeals as against the mother’s appeal, that there was unfairness by refusing the adjournment request.</w:t>
      </w:r>
    </w:p>
    <w:p w:rsidR="00132BA8" w:rsidRDefault="00132BA8" w:rsidP="00052960">
      <w:pPr>
        <w:numPr>
          <w:ilvl w:val="0"/>
          <w:numId w:val="3"/>
        </w:numPr>
        <w:spacing w:before="240"/>
        <w:jc w:val="both"/>
        <w:rPr>
          <w:rFonts w:ascii="Book Antiqua" w:hAnsi="Book Antiqua" w:cs="Arial"/>
        </w:rPr>
      </w:pPr>
      <w:r>
        <w:rPr>
          <w:rFonts w:ascii="Book Antiqua" w:hAnsi="Book Antiqua" w:cs="Arial"/>
        </w:rPr>
        <w:lastRenderedPageBreak/>
        <w:t>As findings are crucial to the issue of whether the appellants satisfy the Immigration Rules I remit the matter back to the First-tier Tribunal under Section 12 of the Tribunals, Courts and Enforcement Act 2007 for a de novo hearing.</w:t>
      </w:r>
    </w:p>
    <w:bookmarkEnd w:id="3"/>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132BA8"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132731">
        <w:rPr>
          <w:rFonts w:ascii="Book Antiqua" w:hAnsi="Book Antiqua" w:cs="Arial"/>
        </w:rPr>
        <w:t xml:space="preserve">an </w:t>
      </w:r>
      <w:r>
        <w:rPr>
          <w:rFonts w:ascii="Book Antiqua" w:hAnsi="Book Antiqua" w:cs="Arial"/>
        </w:rPr>
        <w:t>error in law and</w:t>
      </w:r>
      <w:r w:rsidR="005D3338">
        <w:rPr>
          <w:rFonts w:ascii="Book Antiqua" w:hAnsi="Book Antiqua" w:cs="Arial"/>
        </w:rPr>
        <w:t xml:space="preserve"> I</w:t>
      </w:r>
      <w:r w:rsidR="00132731">
        <w:rPr>
          <w:rFonts w:ascii="Book Antiqua" w:hAnsi="Book Antiqua" w:cs="Arial"/>
        </w:rPr>
        <w:t xml:space="preserve"> set aside the decision</w:t>
      </w:r>
      <w:r w:rsidR="005D3338">
        <w:rPr>
          <w:rFonts w:ascii="Book Antiqua" w:hAnsi="Book Antiqua" w:cs="Arial"/>
        </w:rPr>
        <w:t>.</w:t>
      </w:r>
      <w:r w:rsidR="00132731">
        <w:rPr>
          <w:rFonts w:ascii="Book Antiqua" w:hAnsi="Book Antiqua" w:cs="Arial"/>
        </w:rPr>
        <w:t xml:space="preserve"> </w:t>
      </w:r>
    </w:p>
    <w:p w:rsidR="00845317" w:rsidRDefault="00132BA8" w:rsidP="00911478">
      <w:pPr>
        <w:numPr>
          <w:ilvl w:val="0"/>
          <w:numId w:val="3"/>
        </w:numPr>
        <w:spacing w:before="240"/>
        <w:jc w:val="both"/>
        <w:rPr>
          <w:rFonts w:ascii="Book Antiqua" w:hAnsi="Book Antiqua" w:cs="Arial"/>
        </w:rPr>
      </w:pPr>
      <w:r>
        <w:rPr>
          <w:rFonts w:ascii="Book Antiqua" w:hAnsi="Book Antiqua" w:cs="Arial"/>
        </w:rPr>
        <w:t xml:space="preserve">I remit the matter back to the First-tier Tribunal to be heard by a Judge other than Judge of the First-tier Tribunal </w:t>
      </w:r>
      <w:proofErr w:type="spellStart"/>
      <w:r>
        <w:rPr>
          <w:rFonts w:ascii="Book Antiqua" w:hAnsi="Book Antiqua" w:cs="Arial"/>
        </w:rPr>
        <w:t>Khawar</w:t>
      </w:r>
      <w:proofErr w:type="spellEnd"/>
      <w:r>
        <w:rPr>
          <w:rFonts w:ascii="Book Antiqua" w:hAnsi="Book Antiqua" w:cs="Arial"/>
        </w:rPr>
        <w:t>.</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60684A">
        <w:rPr>
          <w:rFonts w:ascii="Book Antiqua" w:hAnsi="Book Antiqua" w:cs="Arial"/>
        </w:rPr>
        <w:t>27</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A25CAB"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864126" w:rsidP="00BC6D9E">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CF0" w:rsidRDefault="00143CF0">
      <w:r>
        <w:separator/>
      </w:r>
    </w:p>
  </w:endnote>
  <w:endnote w:type="continuationSeparator" w:id="0">
    <w:p w:rsidR="00143CF0" w:rsidRDefault="0014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8030F">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CF0" w:rsidRDefault="00143CF0">
      <w:r>
        <w:separator/>
      </w:r>
    </w:p>
  </w:footnote>
  <w:footnote w:type="continuationSeparator" w:id="0">
    <w:p w:rsidR="00143CF0" w:rsidRDefault="00143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FA5" w:rsidRPr="00D75FA5" w:rsidRDefault="00941D3B" w:rsidP="00D75FA5">
    <w:pPr>
      <w:pStyle w:val="Header"/>
      <w:tabs>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75FA5" w:rsidRPr="00D75FA5">
      <w:rPr>
        <w:rFonts w:ascii="Book Antiqua" w:hAnsi="Book Antiqua" w:cs="Arial"/>
        <w:sz w:val="16"/>
        <w:szCs w:val="16"/>
      </w:rPr>
      <w:t>HU/18403/2016</w:t>
    </w:r>
  </w:p>
  <w:p w:rsidR="00D75FA5" w:rsidRPr="00D75FA5" w:rsidRDefault="00D75FA5" w:rsidP="00D75FA5">
    <w:pPr>
      <w:pStyle w:val="Header"/>
      <w:tabs>
        <w:tab w:val="right" w:pos="9639"/>
      </w:tabs>
      <w:jc w:val="right"/>
      <w:rPr>
        <w:rFonts w:ascii="Book Antiqua" w:hAnsi="Book Antiqua" w:cs="Arial"/>
        <w:sz w:val="16"/>
        <w:szCs w:val="16"/>
      </w:rPr>
    </w:pPr>
    <w:r w:rsidRPr="00D75FA5">
      <w:rPr>
        <w:rFonts w:ascii="Book Antiqua" w:hAnsi="Book Antiqua" w:cs="Arial"/>
        <w:sz w:val="16"/>
        <w:szCs w:val="16"/>
      </w:rPr>
      <w:tab/>
      <w:t>HU/18408/2016</w:t>
    </w:r>
  </w:p>
  <w:p w:rsidR="00941D3B" w:rsidRPr="00D97AF0" w:rsidRDefault="00D75FA5" w:rsidP="00D75FA5">
    <w:pPr>
      <w:pStyle w:val="Header"/>
      <w:tabs>
        <w:tab w:val="clear" w:pos="4153"/>
        <w:tab w:val="clear" w:pos="8306"/>
        <w:tab w:val="right" w:pos="9639"/>
      </w:tabs>
      <w:jc w:val="right"/>
      <w:rPr>
        <w:rFonts w:ascii="Book Antiqua" w:hAnsi="Book Antiqua" w:cs="Arial"/>
        <w:sz w:val="16"/>
        <w:szCs w:val="16"/>
      </w:rPr>
    </w:pPr>
    <w:r w:rsidRPr="00D75FA5">
      <w:rPr>
        <w:rFonts w:ascii="Book Antiqua" w:hAnsi="Book Antiqua" w:cs="Arial"/>
        <w:sz w:val="16"/>
        <w:szCs w:val="16"/>
      </w:rPr>
      <w:tab/>
      <w:t>HU/18406/2016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8D96830-A249-40B3-804E-F577C72897F9}"/>
    <w:docVar w:name="dgnword-eventsink" w:val="1614088678064"/>
  </w:docVars>
  <w:rsids>
    <w:rsidRoot w:val="00A25C94"/>
    <w:rsid w:val="00000412"/>
    <w:rsid w:val="00000621"/>
    <w:rsid w:val="000008B1"/>
    <w:rsid w:val="00002241"/>
    <w:rsid w:val="000036C2"/>
    <w:rsid w:val="0000577C"/>
    <w:rsid w:val="00006A0D"/>
    <w:rsid w:val="00015C45"/>
    <w:rsid w:val="00033D3D"/>
    <w:rsid w:val="000369F5"/>
    <w:rsid w:val="00052960"/>
    <w:rsid w:val="000574DF"/>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731"/>
    <w:rsid w:val="00132BA8"/>
    <w:rsid w:val="00132F1C"/>
    <w:rsid w:val="00143CF0"/>
    <w:rsid w:val="00147A55"/>
    <w:rsid w:val="00151BB7"/>
    <w:rsid w:val="00167D3A"/>
    <w:rsid w:val="001766DA"/>
    <w:rsid w:val="001A1E2C"/>
    <w:rsid w:val="001A2421"/>
    <w:rsid w:val="001B67F3"/>
    <w:rsid w:val="001C1452"/>
    <w:rsid w:val="001C43CF"/>
    <w:rsid w:val="001E12F7"/>
    <w:rsid w:val="001F2716"/>
    <w:rsid w:val="001F48D4"/>
    <w:rsid w:val="001F4C3C"/>
    <w:rsid w:val="0020133A"/>
    <w:rsid w:val="00203454"/>
    <w:rsid w:val="00207617"/>
    <w:rsid w:val="00207C87"/>
    <w:rsid w:val="002747E6"/>
    <w:rsid w:val="00274857"/>
    <w:rsid w:val="00283659"/>
    <w:rsid w:val="00284E94"/>
    <w:rsid w:val="002865D5"/>
    <w:rsid w:val="00290EAB"/>
    <w:rsid w:val="0029144D"/>
    <w:rsid w:val="00291D5E"/>
    <w:rsid w:val="002A15E9"/>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3B4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3F18E0"/>
    <w:rsid w:val="00402B9E"/>
    <w:rsid w:val="00423932"/>
    <w:rsid w:val="004249CB"/>
    <w:rsid w:val="0044127D"/>
    <w:rsid w:val="00442A49"/>
    <w:rsid w:val="004448DB"/>
    <w:rsid w:val="00446C9A"/>
    <w:rsid w:val="00456521"/>
    <w:rsid w:val="00464E5B"/>
    <w:rsid w:val="00465231"/>
    <w:rsid w:val="00477193"/>
    <w:rsid w:val="004835E2"/>
    <w:rsid w:val="004852B5"/>
    <w:rsid w:val="00494161"/>
    <w:rsid w:val="004A1848"/>
    <w:rsid w:val="004B4552"/>
    <w:rsid w:val="004B7003"/>
    <w:rsid w:val="004D0B09"/>
    <w:rsid w:val="004E4682"/>
    <w:rsid w:val="004F1FD2"/>
    <w:rsid w:val="00502F93"/>
    <w:rsid w:val="00507FEC"/>
    <w:rsid w:val="00510F0E"/>
    <w:rsid w:val="00516E48"/>
    <w:rsid w:val="00534696"/>
    <w:rsid w:val="00541D19"/>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6A6E"/>
    <w:rsid w:val="005F03F6"/>
    <w:rsid w:val="006059EF"/>
    <w:rsid w:val="0060684A"/>
    <w:rsid w:val="006121C8"/>
    <w:rsid w:val="00622725"/>
    <w:rsid w:val="00640E14"/>
    <w:rsid w:val="00641A27"/>
    <w:rsid w:val="00642840"/>
    <w:rsid w:val="0064774D"/>
    <w:rsid w:val="0065791C"/>
    <w:rsid w:val="00657E4E"/>
    <w:rsid w:val="006667C1"/>
    <w:rsid w:val="00677176"/>
    <w:rsid w:val="00690B8A"/>
    <w:rsid w:val="006A5EDB"/>
    <w:rsid w:val="006B29C2"/>
    <w:rsid w:val="006B442B"/>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526F"/>
    <w:rsid w:val="007A1F28"/>
    <w:rsid w:val="007A3249"/>
    <w:rsid w:val="007A3ED6"/>
    <w:rsid w:val="007B0824"/>
    <w:rsid w:val="007B0892"/>
    <w:rsid w:val="007C2556"/>
    <w:rsid w:val="007D466F"/>
    <w:rsid w:val="007E544D"/>
    <w:rsid w:val="007F2507"/>
    <w:rsid w:val="008303B8"/>
    <w:rsid w:val="00833DCE"/>
    <w:rsid w:val="00836A93"/>
    <w:rsid w:val="00841581"/>
    <w:rsid w:val="00842418"/>
    <w:rsid w:val="00845317"/>
    <w:rsid w:val="0084729B"/>
    <w:rsid w:val="00864126"/>
    <w:rsid w:val="0087166E"/>
    <w:rsid w:val="00871D34"/>
    <w:rsid w:val="00876A5B"/>
    <w:rsid w:val="00882779"/>
    <w:rsid w:val="00887B2E"/>
    <w:rsid w:val="00892884"/>
    <w:rsid w:val="008B270C"/>
    <w:rsid w:val="008C3D3D"/>
    <w:rsid w:val="008D0F1C"/>
    <w:rsid w:val="008D4131"/>
    <w:rsid w:val="008E1890"/>
    <w:rsid w:val="008F1932"/>
    <w:rsid w:val="008F294D"/>
    <w:rsid w:val="008F3BF9"/>
    <w:rsid w:val="00911478"/>
    <w:rsid w:val="00916A58"/>
    <w:rsid w:val="00921062"/>
    <w:rsid w:val="00925DCC"/>
    <w:rsid w:val="0093083E"/>
    <w:rsid w:val="00941D3B"/>
    <w:rsid w:val="00943442"/>
    <w:rsid w:val="009451FF"/>
    <w:rsid w:val="009510A0"/>
    <w:rsid w:val="009553DD"/>
    <w:rsid w:val="00955B0E"/>
    <w:rsid w:val="00966B05"/>
    <w:rsid w:val="00966ECF"/>
    <w:rsid w:val="009727A3"/>
    <w:rsid w:val="00977458"/>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25CAB"/>
    <w:rsid w:val="00A31C8B"/>
    <w:rsid w:val="00A54733"/>
    <w:rsid w:val="00A75B2C"/>
    <w:rsid w:val="00A845DC"/>
    <w:rsid w:val="00A879C8"/>
    <w:rsid w:val="00A97AEE"/>
    <w:rsid w:val="00AA5007"/>
    <w:rsid w:val="00AC5CF6"/>
    <w:rsid w:val="00AC7862"/>
    <w:rsid w:val="00AD533F"/>
    <w:rsid w:val="00AE3CA0"/>
    <w:rsid w:val="00AE4EA7"/>
    <w:rsid w:val="00B144FA"/>
    <w:rsid w:val="00B14D3A"/>
    <w:rsid w:val="00B16B53"/>
    <w:rsid w:val="00B16F58"/>
    <w:rsid w:val="00B2111F"/>
    <w:rsid w:val="00B251C9"/>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05F7"/>
    <w:rsid w:val="00BC45A7"/>
    <w:rsid w:val="00BC6D9E"/>
    <w:rsid w:val="00BD4196"/>
    <w:rsid w:val="00BE2210"/>
    <w:rsid w:val="00BE4FE1"/>
    <w:rsid w:val="00BE57DB"/>
    <w:rsid w:val="00BF22CA"/>
    <w:rsid w:val="00BF3FF7"/>
    <w:rsid w:val="00C156C3"/>
    <w:rsid w:val="00C20D7B"/>
    <w:rsid w:val="00C26032"/>
    <w:rsid w:val="00C265B0"/>
    <w:rsid w:val="00C321B5"/>
    <w:rsid w:val="00C328C8"/>
    <w:rsid w:val="00C345E1"/>
    <w:rsid w:val="00C42C62"/>
    <w:rsid w:val="00C435A4"/>
    <w:rsid w:val="00C5263A"/>
    <w:rsid w:val="00C65368"/>
    <w:rsid w:val="00C724BC"/>
    <w:rsid w:val="00C74D85"/>
    <w:rsid w:val="00C767E8"/>
    <w:rsid w:val="00C8281B"/>
    <w:rsid w:val="00C9551E"/>
    <w:rsid w:val="00C97547"/>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75FA5"/>
    <w:rsid w:val="00D82D08"/>
    <w:rsid w:val="00D85C13"/>
    <w:rsid w:val="00D91BE3"/>
    <w:rsid w:val="00D94AFC"/>
    <w:rsid w:val="00D97AF0"/>
    <w:rsid w:val="00DB262B"/>
    <w:rsid w:val="00DB5F63"/>
    <w:rsid w:val="00DB70AE"/>
    <w:rsid w:val="00DB7231"/>
    <w:rsid w:val="00DC04BF"/>
    <w:rsid w:val="00DC303C"/>
    <w:rsid w:val="00DC7975"/>
    <w:rsid w:val="00DC79DD"/>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3455"/>
    <w:rsid w:val="00F472AE"/>
    <w:rsid w:val="00F5664C"/>
    <w:rsid w:val="00F64613"/>
    <w:rsid w:val="00F72B81"/>
    <w:rsid w:val="00F77A3E"/>
    <w:rsid w:val="00F8030F"/>
    <w:rsid w:val="00F82F31"/>
    <w:rsid w:val="00F90160"/>
    <w:rsid w:val="00F9182B"/>
    <w:rsid w:val="00FA7BA8"/>
    <w:rsid w:val="00FB050B"/>
    <w:rsid w:val="00FB7E80"/>
    <w:rsid w:val="00FC2590"/>
    <w:rsid w:val="00FC377D"/>
    <w:rsid w:val="00FD273B"/>
    <w:rsid w:val="00FE0AC6"/>
    <w:rsid w:val="00FF7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62284-CEF9-4E47-8E7F-17C3B01D1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1145</Words>
  <Characters>5750</Characters>
  <Application>Microsoft Office Word</Application>
  <DocSecurity>0</DocSecurity>
  <Lines>47</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2018-08-17T15:28:00Z</dcterms:created>
  <dcterms:modified xsi:type="dcterms:W3CDTF">2018-08-17T15:28:00Z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