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105" w:rsidRPr="00426544" w:rsidRDefault="00441105" w:rsidP="00426544">
      <w:pPr>
        <w:jc w:val="center"/>
        <w:rPr>
          <w:rFonts w:ascii="Book Antiqua" w:hAnsi="Book Antiqua" w:cs="Arial"/>
          <w:color w:val="000000"/>
          <w:sz w:val="16"/>
          <w:szCs w:val="16"/>
          <w:lang w:val="en-GB"/>
        </w:rPr>
      </w:pPr>
      <w:r w:rsidRPr="00426544">
        <w:rPr>
          <w:noProof/>
          <w:sz w:val="16"/>
          <w:szCs w:val="16"/>
          <w:lang w:val="en-GB"/>
        </w:rPr>
        <w:drawing>
          <wp:inline distT="0" distB="0" distL="0" distR="0">
            <wp:extent cx="1493520" cy="1137920"/>
            <wp:effectExtent l="25400" t="0" r="508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rsidR="00426544" w:rsidRPr="00426544" w:rsidRDefault="00426544" w:rsidP="00426544">
      <w:pPr>
        <w:jc w:val="center"/>
        <w:rPr>
          <w:sz w:val="16"/>
          <w:szCs w:val="16"/>
          <w:lang w:val="en-GB"/>
        </w:rPr>
      </w:pPr>
    </w:p>
    <w:p w:rsidR="00441105" w:rsidRPr="00426544" w:rsidRDefault="00441105" w:rsidP="00441105">
      <w:pPr>
        <w:tabs>
          <w:tab w:val="right" w:pos="9720"/>
        </w:tabs>
        <w:ind w:right="-82"/>
        <w:rPr>
          <w:rFonts w:ascii="Book Antiqua" w:hAnsi="Book Antiqua" w:cs="Arial"/>
          <w:b/>
          <w:color w:val="000000"/>
          <w:lang w:val="en-GB"/>
        </w:rPr>
      </w:pPr>
      <w:r w:rsidRPr="00426544">
        <w:rPr>
          <w:rFonts w:ascii="Book Antiqua" w:hAnsi="Book Antiqua" w:cs="Arial"/>
          <w:b/>
          <w:color w:val="000000"/>
          <w:lang w:val="en-GB"/>
        </w:rPr>
        <w:t xml:space="preserve">Upper Tribunal </w:t>
      </w:r>
    </w:p>
    <w:p w:rsidR="00441105" w:rsidRPr="00426544" w:rsidRDefault="00441105" w:rsidP="00441105">
      <w:pPr>
        <w:tabs>
          <w:tab w:val="right" w:pos="9720"/>
        </w:tabs>
        <w:ind w:right="-82"/>
        <w:rPr>
          <w:rFonts w:ascii="Book Antiqua" w:hAnsi="Book Antiqua" w:cs="Arial"/>
          <w:caps/>
          <w:color w:val="000000"/>
          <w:lang w:val="en-GB"/>
        </w:rPr>
      </w:pPr>
      <w:r w:rsidRPr="00426544">
        <w:rPr>
          <w:rFonts w:ascii="Book Antiqua" w:hAnsi="Book Antiqua" w:cs="Arial"/>
          <w:b/>
          <w:color w:val="000000"/>
          <w:lang w:val="en-GB"/>
        </w:rPr>
        <w:t>(Immigration and Asylum Chamber)</w:t>
      </w:r>
      <w:r w:rsidRPr="00426544">
        <w:rPr>
          <w:rFonts w:ascii="Book Antiqua" w:hAnsi="Book Antiqua" w:cs="Arial"/>
          <w:b/>
          <w:color w:val="000000"/>
          <w:lang w:val="en-GB"/>
        </w:rPr>
        <w:tab/>
      </w:r>
      <w:r w:rsidRPr="00426544">
        <w:rPr>
          <w:rFonts w:ascii="Book Antiqua" w:hAnsi="Book Antiqua" w:cs="Arial"/>
          <w:color w:val="000000"/>
          <w:lang w:val="en-GB"/>
        </w:rPr>
        <w:t xml:space="preserve">Appeal Number: </w:t>
      </w:r>
      <w:bookmarkStart w:id="0" w:name="_GoBack"/>
      <w:r w:rsidRPr="00426544">
        <w:rPr>
          <w:rFonts w:ascii="Book Antiqua" w:hAnsi="Book Antiqua" w:cs="Arial"/>
          <w:caps/>
          <w:color w:val="000000"/>
          <w:lang w:val="en-GB"/>
        </w:rPr>
        <w:t xml:space="preserve">HU/18594/2016 </w:t>
      </w:r>
      <w:bookmarkEnd w:id="0"/>
    </w:p>
    <w:p w:rsidR="00441105" w:rsidRPr="00426544" w:rsidRDefault="00441105" w:rsidP="00441105">
      <w:pPr>
        <w:jc w:val="center"/>
        <w:rPr>
          <w:rFonts w:ascii="Book Antiqua" w:hAnsi="Book Antiqua" w:cs="Arial"/>
          <w:color w:val="000000"/>
          <w:lang w:val="en-GB"/>
        </w:rPr>
      </w:pPr>
    </w:p>
    <w:p w:rsidR="003A2E52" w:rsidRPr="00426544" w:rsidRDefault="003A2E52" w:rsidP="00441105">
      <w:pPr>
        <w:jc w:val="center"/>
        <w:rPr>
          <w:rFonts w:ascii="Book Antiqua" w:hAnsi="Book Antiqua" w:cs="Arial"/>
          <w:color w:val="000000"/>
          <w:lang w:val="en-GB"/>
        </w:rPr>
      </w:pPr>
    </w:p>
    <w:p w:rsidR="00441105" w:rsidRPr="00426544" w:rsidRDefault="00441105" w:rsidP="00441105">
      <w:pPr>
        <w:jc w:val="center"/>
        <w:rPr>
          <w:rFonts w:ascii="Book Antiqua" w:hAnsi="Book Antiqua" w:cs="Arial"/>
          <w:b/>
          <w:color w:val="000000"/>
          <w:u w:val="single"/>
          <w:lang w:val="en-GB"/>
        </w:rPr>
      </w:pPr>
      <w:r w:rsidRPr="00426544">
        <w:rPr>
          <w:rFonts w:ascii="Book Antiqua" w:hAnsi="Book Antiqua" w:cs="Arial"/>
          <w:b/>
          <w:color w:val="000000"/>
          <w:u w:val="single"/>
          <w:lang w:val="en-GB"/>
        </w:rPr>
        <w:t>THE IMMIGRATION ACTS</w:t>
      </w:r>
    </w:p>
    <w:p w:rsidR="00441105" w:rsidRPr="00426544" w:rsidRDefault="00441105" w:rsidP="00441105">
      <w:pPr>
        <w:jc w:val="center"/>
        <w:rPr>
          <w:rFonts w:ascii="Book Antiqua" w:hAnsi="Book Antiqua" w:cs="Arial"/>
          <w:b/>
          <w:u w:val="single"/>
          <w:lang w:val="en-GB"/>
        </w:rPr>
      </w:pPr>
    </w:p>
    <w:p w:rsidR="003A2E52" w:rsidRPr="00426544" w:rsidRDefault="003A2E52" w:rsidP="00441105">
      <w:pPr>
        <w:jc w:val="center"/>
        <w:rPr>
          <w:rFonts w:ascii="Book Antiqua" w:hAnsi="Book Antiqua" w:cs="Arial"/>
          <w:b/>
          <w:u w:val="single"/>
          <w:lang w:val="en-GB"/>
        </w:rPr>
      </w:pPr>
    </w:p>
    <w:tbl>
      <w:tblPr>
        <w:tblW w:w="9606" w:type="dxa"/>
        <w:tblLook w:val="01E0" w:firstRow="1" w:lastRow="1" w:firstColumn="1" w:lastColumn="1" w:noHBand="0" w:noVBand="0"/>
      </w:tblPr>
      <w:tblGrid>
        <w:gridCol w:w="5274"/>
        <w:gridCol w:w="4332"/>
      </w:tblGrid>
      <w:tr w:rsidR="00441105" w:rsidRPr="00426544" w:rsidTr="003A2E52">
        <w:tc>
          <w:tcPr>
            <w:tcW w:w="5274" w:type="dxa"/>
          </w:tcPr>
          <w:p w:rsidR="00441105" w:rsidRPr="00426544" w:rsidRDefault="00441105" w:rsidP="00441105">
            <w:pPr>
              <w:jc w:val="both"/>
              <w:rPr>
                <w:rFonts w:ascii="Book Antiqua" w:hAnsi="Book Antiqua" w:cs="Arial"/>
                <w:b/>
                <w:lang w:val="en-GB"/>
              </w:rPr>
            </w:pPr>
            <w:r w:rsidRPr="00426544">
              <w:rPr>
                <w:rFonts w:ascii="Book Antiqua" w:hAnsi="Book Antiqua" w:cs="Arial"/>
                <w:b/>
                <w:lang w:val="en-GB"/>
              </w:rPr>
              <w:t>Heard at Field House</w:t>
            </w:r>
          </w:p>
        </w:tc>
        <w:tc>
          <w:tcPr>
            <w:tcW w:w="4332" w:type="dxa"/>
          </w:tcPr>
          <w:p w:rsidR="00441105" w:rsidRPr="00426544" w:rsidRDefault="00882417" w:rsidP="00441105">
            <w:pPr>
              <w:jc w:val="both"/>
              <w:rPr>
                <w:rFonts w:ascii="Book Antiqua" w:hAnsi="Book Antiqua" w:cs="Arial"/>
                <w:b/>
                <w:color w:val="000000"/>
                <w:lang w:val="en-GB"/>
              </w:rPr>
            </w:pPr>
            <w:r w:rsidRPr="00426544">
              <w:rPr>
                <w:rFonts w:ascii="Book Antiqua" w:hAnsi="Book Antiqua" w:cs="Arial"/>
                <w:b/>
                <w:lang w:val="en-GB"/>
              </w:rPr>
              <w:t>Decision &amp; Reasons Promulgated</w:t>
            </w:r>
          </w:p>
        </w:tc>
      </w:tr>
      <w:tr w:rsidR="00441105" w:rsidRPr="00426544" w:rsidTr="003A2E52">
        <w:tc>
          <w:tcPr>
            <w:tcW w:w="5274" w:type="dxa"/>
          </w:tcPr>
          <w:p w:rsidR="00441105" w:rsidRPr="00426544" w:rsidRDefault="00441105" w:rsidP="00441105">
            <w:pPr>
              <w:jc w:val="both"/>
              <w:rPr>
                <w:rFonts w:ascii="Book Antiqua" w:hAnsi="Book Antiqua" w:cs="Arial"/>
                <w:b/>
                <w:lang w:val="en-GB"/>
              </w:rPr>
            </w:pPr>
            <w:r w:rsidRPr="00426544">
              <w:rPr>
                <w:rFonts w:ascii="Book Antiqua" w:hAnsi="Book Antiqua" w:cs="Arial"/>
                <w:b/>
                <w:lang w:val="en-GB"/>
              </w:rPr>
              <w:t>On 28 June 2018</w:t>
            </w:r>
          </w:p>
        </w:tc>
        <w:tc>
          <w:tcPr>
            <w:tcW w:w="4332" w:type="dxa"/>
          </w:tcPr>
          <w:p w:rsidR="00441105" w:rsidRPr="00426544" w:rsidRDefault="00441105" w:rsidP="00441105">
            <w:pPr>
              <w:jc w:val="both"/>
              <w:rPr>
                <w:rFonts w:ascii="Book Antiqua" w:hAnsi="Book Antiqua" w:cs="Arial"/>
                <w:b/>
                <w:lang w:val="en-GB"/>
              </w:rPr>
            </w:pPr>
            <w:r w:rsidRPr="00426544">
              <w:rPr>
                <w:rFonts w:ascii="Book Antiqua" w:hAnsi="Book Antiqua" w:cs="Arial"/>
                <w:b/>
                <w:lang w:val="en-GB"/>
              </w:rPr>
              <w:t xml:space="preserve"> </w:t>
            </w:r>
            <w:r w:rsidR="00882417" w:rsidRPr="00426544">
              <w:rPr>
                <w:rFonts w:ascii="Book Antiqua" w:hAnsi="Book Antiqua" w:cs="Arial"/>
                <w:b/>
                <w:lang w:val="en-GB"/>
              </w:rPr>
              <w:t>On 18 July 2018</w:t>
            </w:r>
          </w:p>
        </w:tc>
      </w:tr>
    </w:tbl>
    <w:p w:rsidR="00441105" w:rsidRPr="00426544" w:rsidRDefault="00441105" w:rsidP="00441105">
      <w:pPr>
        <w:jc w:val="center"/>
        <w:rPr>
          <w:rFonts w:ascii="Book Antiqua" w:hAnsi="Book Antiqua" w:cs="Arial"/>
          <w:lang w:val="en-GB"/>
        </w:rPr>
      </w:pPr>
    </w:p>
    <w:p w:rsidR="003A2E52" w:rsidRPr="00426544" w:rsidRDefault="003A2E52" w:rsidP="00441105">
      <w:pPr>
        <w:jc w:val="center"/>
        <w:rPr>
          <w:rFonts w:ascii="Book Antiqua" w:hAnsi="Book Antiqua" w:cs="Arial"/>
          <w:b/>
          <w:lang w:val="en-GB"/>
        </w:rPr>
      </w:pPr>
    </w:p>
    <w:p w:rsidR="00441105" w:rsidRPr="00426544" w:rsidRDefault="00441105" w:rsidP="00441105">
      <w:pPr>
        <w:jc w:val="center"/>
        <w:rPr>
          <w:rFonts w:ascii="Book Antiqua" w:hAnsi="Book Antiqua" w:cs="Arial"/>
          <w:b/>
          <w:lang w:val="en-GB"/>
        </w:rPr>
      </w:pPr>
      <w:r w:rsidRPr="00426544">
        <w:rPr>
          <w:rFonts w:ascii="Book Antiqua" w:hAnsi="Book Antiqua" w:cs="Arial"/>
          <w:b/>
          <w:lang w:val="en-GB"/>
        </w:rPr>
        <w:t>Before</w:t>
      </w:r>
    </w:p>
    <w:p w:rsidR="00441105" w:rsidRPr="00426544" w:rsidRDefault="00441105" w:rsidP="00441105">
      <w:pPr>
        <w:jc w:val="center"/>
        <w:rPr>
          <w:rFonts w:ascii="Book Antiqua" w:hAnsi="Book Antiqua" w:cs="Arial"/>
          <w:b/>
          <w:lang w:val="en-GB"/>
        </w:rPr>
      </w:pPr>
    </w:p>
    <w:p w:rsidR="00441105" w:rsidRPr="00426544" w:rsidRDefault="00441105" w:rsidP="00441105">
      <w:pPr>
        <w:jc w:val="center"/>
        <w:rPr>
          <w:rFonts w:ascii="Book Antiqua" w:hAnsi="Book Antiqua" w:cs="Arial"/>
          <w:b/>
          <w:color w:val="000000"/>
          <w:lang w:val="en-GB"/>
        </w:rPr>
      </w:pPr>
      <w:r w:rsidRPr="00426544">
        <w:rPr>
          <w:rFonts w:ascii="Book Antiqua" w:hAnsi="Book Antiqua" w:cs="Arial"/>
          <w:b/>
          <w:color w:val="000000"/>
          <w:lang w:val="en-GB"/>
        </w:rPr>
        <w:t>DEPUTY UPPER TRIBUNAL JUDGE CHAPMAN</w:t>
      </w:r>
    </w:p>
    <w:p w:rsidR="00441105" w:rsidRPr="00426544" w:rsidRDefault="00441105" w:rsidP="00441105">
      <w:pPr>
        <w:jc w:val="center"/>
        <w:rPr>
          <w:rFonts w:ascii="Book Antiqua" w:hAnsi="Book Antiqua" w:cs="Arial"/>
          <w:b/>
          <w:lang w:val="en-GB"/>
        </w:rPr>
      </w:pPr>
    </w:p>
    <w:p w:rsidR="003A2E52" w:rsidRPr="00426544" w:rsidRDefault="003A2E52" w:rsidP="00441105">
      <w:pPr>
        <w:jc w:val="center"/>
        <w:rPr>
          <w:rFonts w:ascii="Book Antiqua" w:hAnsi="Book Antiqua" w:cs="Arial"/>
          <w:b/>
          <w:lang w:val="en-GB"/>
        </w:rPr>
      </w:pPr>
    </w:p>
    <w:p w:rsidR="00441105" w:rsidRPr="00426544" w:rsidRDefault="00441105" w:rsidP="00441105">
      <w:pPr>
        <w:jc w:val="center"/>
        <w:rPr>
          <w:rFonts w:ascii="Book Antiqua" w:hAnsi="Book Antiqua" w:cs="Arial"/>
          <w:b/>
          <w:lang w:val="en-GB"/>
        </w:rPr>
      </w:pPr>
      <w:r w:rsidRPr="00426544">
        <w:rPr>
          <w:rFonts w:ascii="Book Antiqua" w:hAnsi="Book Antiqua" w:cs="Arial"/>
          <w:b/>
          <w:lang w:val="en-GB"/>
        </w:rPr>
        <w:t>Between</w:t>
      </w:r>
    </w:p>
    <w:p w:rsidR="00441105" w:rsidRPr="00426544" w:rsidRDefault="00441105" w:rsidP="00441105">
      <w:pPr>
        <w:jc w:val="center"/>
        <w:rPr>
          <w:rFonts w:ascii="Book Antiqua" w:hAnsi="Book Antiqua" w:cs="Arial"/>
          <w:b/>
          <w:lang w:val="en-GB"/>
        </w:rPr>
      </w:pPr>
    </w:p>
    <w:p w:rsidR="00441105" w:rsidRPr="00426544" w:rsidRDefault="00441105" w:rsidP="00441105">
      <w:pPr>
        <w:jc w:val="center"/>
        <w:rPr>
          <w:rFonts w:ascii="Book Antiqua" w:hAnsi="Book Antiqua" w:cs="Arial"/>
          <w:b/>
          <w:lang w:val="en-GB"/>
        </w:rPr>
      </w:pPr>
      <w:r w:rsidRPr="00426544">
        <w:rPr>
          <w:rFonts w:ascii="Book Antiqua" w:hAnsi="Book Antiqua" w:cs="Arial"/>
          <w:b/>
          <w:lang w:val="en-GB"/>
        </w:rPr>
        <w:fldChar w:fldCharType="begin">
          <w:ffData>
            <w:name w:val="Text7"/>
            <w:enabled/>
            <w:calcOnExit w:val="0"/>
            <w:textInput>
              <w:default w:val="THE SECRETARY OF STATE FOR THE HOME DEPARTMENT"/>
              <w:format w:val="UPPERCASE"/>
            </w:textInput>
          </w:ffData>
        </w:fldChar>
      </w:r>
      <w:bookmarkStart w:id="1" w:name="Text7"/>
      <w:r w:rsidRPr="00426544">
        <w:rPr>
          <w:rFonts w:ascii="Book Antiqua" w:hAnsi="Book Antiqua" w:cs="Arial"/>
          <w:b/>
          <w:lang w:val="en-GB"/>
        </w:rPr>
        <w:instrText xml:space="preserve"> FORMTEXT </w:instrText>
      </w:r>
      <w:r w:rsidRPr="00426544">
        <w:rPr>
          <w:rFonts w:ascii="Book Antiqua" w:hAnsi="Book Antiqua" w:cs="Arial"/>
          <w:b/>
          <w:lang w:val="en-GB"/>
        </w:rPr>
      </w:r>
      <w:r w:rsidRPr="00426544">
        <w:rPr>
          <w:rFonts w:ascii="Book Antiqua" w:hAnsi="Book Antiqua" w:cs="Arial"/>
          <w:b/>
          <w:lang w:val="en-GB"/>
        </w:rPr>
        <w:fldChar w:fldCharType="separate"/>
      </w:r>
      <w:r w:rsidRPr="00426544">
        <w:rPr>
          <w:rFonts w:ascii="Book Antiqua" w:hAnsi="Book Antiqua" w:cs="Arial"/>
          <w:b/>
          <w:noProof/>
          <w:lang w:val="en-GB"/>
        </w:rPr>
        <w:t>THE SECRETARY OF STATE FOR THE HOME DEPARTMENT</w:t>
      </w:r>
      <w:r w:rsidRPr="00426544">
        <w:rPr>
          <w:rFonts w:ascii="Book Antiqua" w:hAnsi="Book Antiqua" w:cs="Arial"/>
          <w:b/>
          <w:lang w:val="en-GB"/>
        </w:rPr>
        <w:fldChar w:fldCharType="end"/>
      </w:r>
      <w:bookmarkEnd w:id="1"/>
    </w:p>
    <w:p w:rsidR="00441105" w:rsidRPr="00426544" w:rsidRDefault="00441105" w:rsidP="00441105">
      <w:pPr>
        <w:jc w:val="center"/>
        <w:rPr>
          <w:rFonts w:ascii="Book Antiqua" w:hAnsi="Book Antiqua" w:cs="Arial"/>
          <w:u w:val="single"/>
          <w:lang w:val="en-GB"/>
        </w:rPr>
      </w:pPr>
      <w:r w:rsidRPr="00426544">
        <w:rPr>
          <w:rFonts w:ascii="Book Antiqua" w:hAnsi="Book Antiqua" w:cs="Arial"/>
          <w:lang w:val="en-GB"/>
        </w:rPr>
        <w:tab/>
      </w:r>
      <w:r w:rsidRPr="00426544">
        <w:rPr>
          <w:rFonts w:ascii="Book Antiqua" w:hAnsi="Book Antiqua" w:cs="Arial"/>
          <w:lang w:val="en-GB"/>
        </w:rPr>
        <w:tab/>
      </w:r>
      <w:r w:rsidRPr="00426544">
        <w:rPr>
          <w:rFonts w:ascii="Book Antiqua" w:hAnsi="Book Antiqua" w:cs="Arial"/>
          <w:lang w:val="en-GB"/>
        </w:rPr>
        <w:tab/>
      </w:r>
      <w:r w:rsidRPr="00426544">
        <w:rPr>
          <w:rFonts w:ascii="Book Antiqua" w:hAnsi="Book Antiqua" w:cs="Arial"/>
          <w:lang w:val="en-GB"/>
        </w:rPr>
        <w:tab/>
      </w:r>
      <w:r w:rsidRPr="00426544">
        <w:rPr>
          <w:rFonts w:ascii="Book Antiqua" w:hAnsi="Book Antiqua" w:cs="Arial"/>
          <w:lang w:val="en-GB"/>
        </w:rPr>
        <w:tab/>
      </w:r>
      <w:r w:rsidRPr="00426544">
        <w:rPr>
          <w:rFonts w:ascii="Book Antiqua" w:hAnsi="Book Antiqua" w:cs="Arial"/>
          <w:lang w:val="en-GB"/>
        </w:rPr>
        <w:tab/>
      </w:r>
      <w:r w:rsidRPr="00426544">
        <w:rPr>
          <w:rFonts w:ascii="Book Antiqua" w:hAnsi="Book Antiqua" w:cs="Arial"/>
          <w:lang w:val="en-GB"/>
        </w:rPr>
        <w:tab/>
      </w:r>
      <w:r w:rsidRPr="00426544">
        <w:rPr>
          <w:rFonts w:ascii="Book Antiqua" w:hAnsi="Book Antiqua" w:cs="Arial"/>
          <w:lang w:val="en-GB"/>
        </w:rPr>
        <w:tab/>
      </w:r>
      <w:r w:rsidRPr="00426544">
        <w:rPr>
          <w:rFonts w:ascii="Book Antiqua" w:hAnsi="Book Antiqua" w:cs="Arial"/>
          <w:lang w:val="en-GB"/>
        </w:rPr>
        <w:tab/>
      </w:r>
      <w:r w:rsidRPr="00426544">
        <w:rPr>
          <w:rFonts w:ascii="Book Antiqua" w:hAnsi="Book Antiqua" w:cs="Arial"/>
          <w:u w:val="single"/>
          <w:lang w:val="en-GB"/>
        </w:rPr>
        <w:t>Appellant</w:t>
      </w:r>
    </w:p>
    <w:p w:rsidR="00441105" w:rsidRPr="00426544" w:rsidRDefault="00441105" w:rsidP="00441105">
      <w:pPr>
        <w:jc w:val="center"/>
        <w:rPr>
          <w:rFonts w:ascii="Book Antiqua" w:hAnsi="Book Antiqua" w:cs="Arial"/>
          <w:b/>
          <w:lang w:val="en-GB"/>
        </w:rPr>
      </w:pPr>
      <w:r w:rsidRPr="00426544">
        <w:rPr>
          <w:rFonts w:ascii="Book Antiqua" w:hAnsi="Book Antiqua" w:cs="Arial"/>
          <w:b/>
          <w:lang w:val="en-GB"/>
        </w:rPr>
        <w:t>v</w:t>
      </w:r>
    </w:p>
    <w:p w:rsidR="00441105" w:rsidRPr="00426544" w:rsidRDefault="00441105" w:rsidP="00441105">
      <w:pPr>
        <w:jc w:val="center"/>
        <w:rPr>
          <w:rFonts w:ascii="Book Antiqua" w:hAnsi="Book Antiqua" w:cs="Arial"/>
          <w:b/>
          <w:lang w:val="en-GB"/>
        </w:rPr>
      </w:pPr>
    </w:p>
    <w:p w:rsidR="00441105" w:rsidRPr="00426544" w:rsidRDefault="00441105" w:rsidP="00441105">
      <w:pPr>
        <w:jc w:val="center"/>
        <w:rPr>
          <w:rFonts w:ascii="Book Antiqua" w:hAnsi="Book Antiqua" w:cs="Arial"/>
          <w:b/>
          <w:lang w:val="en-GB"/>
        </w:rPr>
      </w:pPr>
      <w:r w:rsidRPr="00426544">
        <w:rPr>
          <w:rFonts w:ascii="Book Antiqua" w:hAnsi="Book Antiqua" w:cs="Arial"/>
          <w:b/>
          <w:lang w:val="en-GB"/>
        </w:rPr>
        <w:t xml:space="preserve">KASHIF </w:t>
      </w:r>
      <w:r w:rsidR="00426544" w:rsidRPr="00426544">
        <w:rPr>
          <w:rFonts w:ascii="Book Antiqua" w:hAnsi="Book Antiqua" w:cs="Arial"/>
          <w:b/>
          <w:lang w:val="en-GB"/>
        </w:rPr>
        <w:t>[</w:t>
      </w:r>
      <w:r w:rsidRPr="00426544">
        <w:rPr>
          <w:rFonts w:ascii="Book Antiqua" w:hAnsi="Book Antiqua" w:cs="Arial"/>
          <w:b/>
          <w:lang w:val="en-GB"/>
        </w:rPr>
        <w:t>J</w:t>
      </w:r>
      <w:r w:rsidR="00426544" w:rsidRPr="00426544">
        <w:rPr>
          <w:rFonts w:ascii="Book Antiqua" w:hAnsi="Book Antiqua" w:cs="Arial"/>
          <w:b/>
          <w:lang w:val="en-GB"/>
        </w:rPr>
        <w:t>]</w:t>
      </w:r>
    </w:p>
    <w:p w:rsidR="00441105" w:rsidRPr="00426544" w:rsidRDefault="00441105" w:rsidP="00441105">
      <w:pPr>
        <w:jc w:val="right"/>
        <w:rPr>
          <w:rFonts w:ascii="Book Antiqua" w:hAnsi="Book Antiqua" w:cs="Arial"/>
          <w:u w:val="single"/>
          <w:lang w:val="en-GB"/>
        </w:rPr>
      </w:pPr>
      <w:r w:rsidRPr="00426544">
        <w:rPr>
          <w:rFonts w:ascii="Book Antiqua" w:hAnsi="Book Antiqua" w:cs="Arial"/>
          <w:u w:val="single"/>
          <w:lang w:val="en-GB"/>
        </w:rPr>
        <w:t>Respondent</w:t>
      </w:r>
    </w:p>
    <w:p w:rsidR="008C4001" w:rsidRPr="00426544" w:rsidRDefault="008C4001" w:rsidP="00441105">
      <w:pPr>
        <w:rPr>
          <w:rFonts w:ascii="Book Antiqua" w:hAnsi="Book Antiqua" w:cs="Arial"/>
          <w:b/>
          <w:u w:val="single"/>
          <w:lang w:val="en-GB"/>
        </w:rPr>
      </w:pPr>
    </w:p>
    <w:p w:rsidR="008C4001" w:rsidRPr="00426544" w:rsidRDefault="008C4001" w:rsidP="00441105">
      <w:pPr>
        <w:rPr>
          <w:rFonts w:ascii="Book Antiqua" w:hAnsi="Book Antiqua" w:cs="Arial"/>
          <w:b/>
          <w:u w:val="single"/>
          <w:lang w:val="en-GB"/>
        </w:rPr>
      </w:pPr>
    </w:p>
    <w:p w:rsidR="00441105" w:rsidRPr="00426544" w:rsidRDefault="00441105" w:rsidP="00441105">
      <w:pPr>
        <w:rPr>
          <w:rFonts w:ascii="Book Antiqua" w:hAnsi="Book Antiqua" w:cs="Arial"/>
          <w:lang w:val="en-GB"/>
        </w:rPr>
      </w:pPr>
      <w:r w:rsidRPr="00426544">
        <w:rPr>
          <w:rFonts w:ascii="Book Antiqua" w:hAnsi="Book Antiqua" w:cs="Arial"/>
          <w:b/>
          <w:u w:val="single"/>
          <w:lang w:val="en-GB"/>
        </w:rPr>
        <w:t>Representation</w:t>
      </w:r>
      <w:r w:rsidRPr="00426544">
        <w:rPr>
          <w:rFonts w:ascii="Book Antiqua" w:hAnsi="Book Antiqua" w:cs="Arial"/>
          <w:b/>
          <w:lang w:val="en-GB"/>
        </w:rPr>
        <w:t>:</w:t>
      </w:r>
    </w:p>
    <w:p w:rsidR="00441105" w:rsidRPr="00426544" w:rsidRDefault="00441105" w:rsidP="00441105">
      <w:pPr>
        <w:tabs>
          <w:tab w:val="left" w:pos="2520"/>
        </w:tabs>
        <w:rPr>
          <w:rFonts w:ascii="Book Antiqua" w:hAnsi="Book Antiqua" w:cs="Arial"/>
          <w:lang w:val="en-GB"/>
        </w:rPr>
      </w:pPr>
      <w:r w:rsidRPr="00426544">
        <w:rPr>
          <w:rFonts w:ascii="Book Antiqua" w:hAnsi="Book Antiqua" w:cs="Arial"/>
          <w:lang w:val="en-GB"/>
        </w:rPr>
        <w:t>For the Appellant:</w:t>
      </w:r>
      <w:r w:rsidRPr="00426544">
        <w:rPr>
          <w:rFonts w:ascii="Book Antiqua" w:hAnsi="Book Antiqua" w:cs="Arial"/>
          <w:lang w:val="en-GB"/>
        </w:rPr>
        <w:tab/>
        <w:t xml:space="preserve">Mr. C. Avery, Senior Home Office Presenting </w:t>
      </w:r>
      <w:r w:rsidRPr="00426544">
        <w:rPr>
          <w:rFonts w:ascii="Book Antiqua" w:hAnsi="Book Antiqua" w:cs="Arial"/>
          <w:lang w:val="en-GB"/>
        </w:rPr>
        <w:tab/>
        <w:t>Officer</w:t>
      </w:r>
    </w:p>
    <w:p w:rsidR="00441105" w:rsidRPr="00426544" w:rsidRDefault="00441105" w:rsidP="00441105">
      <w:pPr>
        <w:tabs>
          <w:tab w:val="left" w:pos="2520"/>
        </w:tabs>
        <w:rPr>
          <w:rFonts w:ascii="Book Antiqua" w:hAnsi="Book Antiqua" w:cs="Arial"/>
          <w:lang w:val="en-GB"/>
        </w:rPr>
      </w:pPr>
      <w:r w:rsidRPr="00426544">
        <w:rPr>
          <w:rFonts w:ascii="Book Antiqua" w:hAnsi="Book Antiqua" w:cs="Arial"/>
          <w:lang w:val="en-GB"/>
        </w:rPr>
        <w:t>For the Respondent:</w:t>
      </w:r>
      <w:r w:rsidRPr="00426544">
        <w:rPr>
          <w:rFonts w:ascii="Book Antiqua" w:hAnsi="Book Antiqua" w:cs="Arial"/>
          <w:lang w:val="en-GB"/>
        </w:rPr>
        <w:tab/>
        <w:t>Ms Glass, instructed by A2 solicitors</w:t>
      </w:r>
    </w:p>
    <w:p w:rsidR="00441105" w:rsidRPr="00426544" w:rsidRDefault="00441105" w:rsidP="00441105">
      <w:pPr>
        <w:rPr>
          <w:lang w:val="en-GB"/>
        </w:rPr>
      </w:pPr>
    </w:p>
    <w:p w:rsidR="00441105" w:rsidRPr="00426544" w:rsidRDefault="00441105" w:rsidP="00441105">
      <w:pPr>
        <w:rPr>
          <w:lang w:val="en-GB"/>
        </w:rPr>
      </w:pPr>
      <w:r w:rsidRPr="00426544">
        <w:rPr>
          <w:lang w:val="en-GB"/>
        </w:rPr>
        <w:tab/>
      </w:r>
      <w:r w:rsidRPr="00426544">
        <w:rPr>
          <w:lang w:val="en-GB"/>
        </w:rPr>
        <w:tab/>
      </w:r>
      <w:r w:rsidRPr="00426544">
        <w:rPr>
          <w:lang w:val="en-GB"/>
        </w:rPr>
        <w:tab/>
        <w:t>____________________________________________</w:t>
      </w:r>
    </w:p>
    <w:p w:rsidR="00441105" w:rsidRPr="00426544" w:rsidRDefault="00441105" w:rsidP="00441105">
      <w:pPr>
        <w:rPr>
          <w:lang w:val="en-GB"/>
        </w:rPr>
      </w:pPr>
    </w:p>
    <w:p w:rsidR="00441105" w:rsidRPr="00426544" w:rsidRDefault="00441105" w:rsidP="00441105">
      <w:pPr>
        <w:rPr>
          <w:rFonts w:ascii="Book Antiqua" w:hAnsi="Book Antiqua"/>
          <w:b/>
          <w:lang w:val="en-GB"/>
        </w:rPr>
      </w:pPr>
      <w:r w:rsidRPr="00426544">
        <w:rPr>
          <w:lang w:val="en-GB"/>
        </w:rPr>
        <w:tab/>
      </w:r>
      <w:r w:rsidRPr="00426544">
        <w:rPr>
          <w:lang w:val="en-GB"/>
        </w:rPr>
        <w:tab/>
      </w:r>
      <w:r w:rsidRPr="00426544">
        <w:rPr>
          <w:lang w:val="en-GB"/>
        </w:rPr>
        <w:tab/>
        <w:t xml:space="preserve">        </w:t>
      </w:r>
      <w:r w:rsidRPr="00426544">
        <w:rPr>
          <w:rFonts w:ascii="Book Antiqua" w:hAnsi="Book Antiqua"/>
          <w:b/>
          <w:lang w:val="en-GB"/>
        </w:rPr>
        <w:t>DECISION AND REASONS</w:t>
      </w:r>
    </w:p>
    <w:p w:rsidR="00441105" w:rsidRPr="00426544" w:rsidRDefault="00441105" w:rsidP="00441105">
      <w:pPr>
        <w:rPr>
          <w:rFonts w:ascii="Book Antiqua" w:hAnsi="Book Antiqua"/>
          <w:lang w:val="en-GB"/>
        </w:rPr>
      </w:pPr>
      <w:r w:rsidRPr="00426544">
        <w:rPr>
          <w:rFonts w:ascii="Book Antiqua" w:hAnsi="Book Antiqua"/>
          <w:lang w:val="en-GB"/>
        </w:rPr>
        <w:tab/>
      </w:r>
      <w:r w:rsidRPr="00426544">
        <w:rPr>
          <w:rFonts w:ascii="Book Antiqua" w:hAnsi="Book Antiqua"/>
          <w:lang w:val="en-GB"/>
        </w:rPr>
        <w:tab/>
      </w:r>
      <w:r w:rsidRPr="00426544">
        <w:rPr>
          <w:rFonts w:ascii="Book Antiqua" w:hAnsi="Book Antiqua"/>
          <w:lang w:val="en-GB"/>
        </w:rPr>
        <w:tab/>
        <w:t>________________________________</w:t>
      </w:r>
    </w:p>
    <w:p w:rsidR="00441105" w:rsidRPr="00426544" w:rsidRDefault="00441105">
      <w:pPr>
        <w:rPr>
          <w:lang w:val="en-GB"/>
        </w:rPr>
      </w:pPr>
    </w:p>
    <w:p w:rsidR="00D57C63" w:rsidRPr="00426544" w:rsidRDefault="00441105">
      <w:pPr>
        <w:rPr>
          <w:rFonts w:ascii="Book Antiqua" w:hAnsi="Book Antiqua"/>
          <w:lang w:val="en-GB"/>
        </w:rPr>
      </w:pPr>
      <w:r w:rsidRPr="00426544">
        <w:rPr>
          <w:rFonts w:ascii="Book Antiqua" w:hAnsi="Book Antiqua"/>
          <w:lang w:val="en-GB"/>
        </w:rPr>
        <w:t xml:space="preserve">1. The Respondent to this appeal, to whom I shall refer as the Claimant, is a national of Nigeria, born on 27.5.68. He arrived in the United Kingdom in June 2000 as a visitor and thereafter overstayed. He has two children: TN, born on 15.10.01 and TM born on 9.4.10, who suffers from sickle cell anaemia. </w:t>
      </w:r>
      <w:r w:rsidR="00D57C63" w:rsidRPr="00426544">
        <w:rPr>
          <w:rFonts w:ascii="Book Antiqua" w:hAnsi="Book Antiqua"/>
          <w:lang w:val="en-GB"/>
        </w:rPr>
        <w:t xml:space="preserve">On 6 May 2016, he made an application for leave to remain on the basis of his </w:t>
      </w:r>
      <w:r w:rsidR="00D57C63" w:rsidRPr="00426544">
        <w:rPr>
          <w:rFonts w:ascii="Book Antiqua" w:hAnsi="Book Antiqua"/>
          <w:lang w:val="en-GB"/>
        </w:rPr>
        <w:lastRenderedPageBreak/>
        <w:t xml:space="preserve">private and family life in the United Kingdom. This application was refused in a decision dated 19 July 2016, on </w:t>
      </w:r>
      <w:r w:rsidR="00D57C63" w:rsidRPr="00426544">
        <w:rPr>
          <w:rFonts w:ascii="Book Antiqua" w:hAnsi="Book Antiqua"/>
          <w:i/>
          <w:lang w:val="en-GB"/>
        </w:rPr>
        <w:t xml:space="preserve">inter alia </w:t>
      </w:r>
      <w:r w:rsidR="00D57C63" w:rsidRPr="00426544">
        <w:rPr>
          <w:rFonts w:ascii="Book Antiqua" w:hAnsi="Book Antiqua"/>
          <w:lang w:val="en-GB"/>
        </w:rPr>
        <w:t>the basis that he did not meet the suitability requirements because between 7 October 2003 and 5 February 2015, he amassed six convictions for thirteen offences.</w:t>
      </w:r>
    </w:p>
    <w:p w:rsidR="00D57C63" w:rsidRPr="00426544" w:rsidRDefault="00D57C63">
      <w:pPr>
        <w:rPr>
          <w:rFonts w:ascii="Book Antiqua" w:hAnsi="Book Antiqua"/>
          <w:lang w:val="en-GB"/>
        </w:rPr>
      </w:pPr>
    </w:p>
    <w:p w:rsidR="00D57C63" w:rsidRPr="00426544" w:rsidRDefault="00D57C63">
      <w:pPr>
        <w:rPr>
          <w:rFonts w:ascii="Book Antiqua" w:hAnsi="Book Antiqua"/>
          <w:lang w:val="en-GB"/>
        </w:rPr>
      </w:pPr>
      <w:r w:rsidRPr="00426544">
        <w:rPr>
          <w:rFonts w:ascii="Book Antiqua" w:hAnsi="Book Antiqua"/>
          <w:lang w:val="en-GB"/>
        </w:rPr>
        <w:t xml:space="preserve">2. The Claimant appealed and his appeal came before First </w:t>
      </w:r>
      <w:proofErr w:type="gramStart"/>
      <w:r w:rsidRPr="00426544">
        <w:rPr>
          <w:rFonts w:ascii="Book Antiqua" w:hAnsi="Book Antiqua"/>
          <w:lang w:val="en-GB"/>
        </w:rPr>
        <w:t>tier</w:t>
      </w:r>
      <w:proofErr w:type="gramEnd"/>
      <w:r w:rsidRPr="00426544">
        <w:rPr>
          <w:rFonts w:ascii="Book Antiqua" w:hAnsi="Book Antiqua"/>
          <w:lang w:val="en-GB"/>
        </w:rPr>
        <w:t xml:space="preserve"> Tribunal Judge Griffith for hearing on 20 December 2017. In a decision and reasons promulgated on 12 January 2018, the Judge allowed his appeal on human rights grounds.</w:t>
      </w:r>
    </w:p>
    <w:p w:rsidR="00D57C63" w:rsidRPr="00426544" w:rsidRDefault="00D57C63">
      <w:pPr>
        <w:rPr>
          <w:rFonts w:ascii="Book Antiqua" w:hAnsi="Book Antiqua"/>
          <w:lang w:val="en-GB"/>
        </w:rPr>
      </w:pPr>
    </w:p>
    <w:p w:rsidR="00D57C63" w:rsidRPr="00426544" w:rsidRDefault="00D57C63">
      <w:pPr>
        <w:rPr>
          <w:rFonts w:ascii="Book Antiqua" w:hAnsi="Book Antiqua"/>
          <w:lang w:val="en-GB"/>
        </w:rPr>
      </w:pPr>
      <w:r w:rsidRPr="00426544">
        <w:rPr>
          <w:rFonts w:ascii="Book Antiqua" w:hAnsi="Book Antiqua"/>
          <w:lang w:val="en-GB"/>
        </w:rPr>
        <w:t>3. The Secretary of State sought permission to appeal, in time, to the Upper Tribunal on the basis that the Judge had</w:t>
      </w:r>
      <w:r w:rsidR="00A15217" w:rsidRPr="00426544">
        <w:rPr>
          <w:rFonts w:ascii="Book Antiqua" w:hAnsi="Book Antiqua"/>
          <w:lang w:val="en-GB"/>
        </w:rPr>
        <w:t xml:space="preserve"> allowed the appeal against deportation and had</w:t>
      </w:r>
      <w:r w:rsidRPr="00426544">
        <w:rPr>
          <w:rFonts w:ascii="Book Antiqua" w:hAnsi="Book Antiqua"/>
          <w:lang w:val="en-GB"/>
        </w:rPr>
        <w:t xml:space="preserve"> erred in minimizing the Claimant’s criminal behaviours and in failing to refer to the judgment in </w:t>
      </w:r>
      <w:proofErr w:type="spellStart"/>
      <w:r w:rsidRPr="00426544">
        <w:rPr>
          <w:rFonts w:ascii="Book Antiqua" w:hAnsi="Book Antiqua"/>
          <w:u w:val="single"/>
          <w:lang w:val="en-GB"/>
        </w:rPr>
        <w:t>Chege</w:t>
      </w:r>
      <w:proofErr w:type="spellEnd"/>
      <w:r w:rsidRPr="00426544">
        <w:rPr>
          <w:rFonts w:ascii="Book Antiqua" w:hAnsi="Book Antiqua"/>
          <w:lang w:val="en-GB"/>
        </w:rPr>
        <w:t xml:space="preserve"> [2016] UKUT 187 (IAC) and in failing to identify anything exceptional about the family’s situation that would outweigh the public interest in his removal and in placing insufficient and inadequate weight on the Claimant’s poor immigration history and criminal behaviour.</w:t>
      </w:r>
    </w:p>
    <w:p w:rsidR="00D57C63" w:rsidRPr="00426544" w:rsidRDefault="00D57C63">
      <w:pPr>
        <w:rPr>
          <w:rFonts w:ascii="Book Antiqua" w:hAnsi="Book Antiqua"/>
          <w:lang w:val="en-GB"/>
        </w:rPr>
      </w:pPr>
    </w:p>
    <w:p w:rsidR="00A15217" w:rsidRPr="00426544" w:rsidRDefault="00D57C63">
      <w:pPr>
        <w:rPr>
          <w:rFonts w:ascii="Book Antiqua" w:hAnsi="Book Antiqua"/>
          <w:lang w:val="en-GB"/>
        </w:rPr>
      </w:pPr>
      <w:r w:rsidRPr="00426544">
        <w:rPr>
          <w:rFonts w:ascii="Book Antiqua" w:hAnsi="Book Antiqua"/>
          <w:lang w:val="en-GB"/>
        </w:rPr>
        <w:t>4. Permission to appeal to the Upper Tribunal was granted in a decision dated 29 April 2018 by Judge of the First tier Tribunal Hollingworth on the basis that it was arguable: (</w:t>
      </w:r>
      <w:proofErr w:type="spellStart"/>
      <w:r w:rsidRPr="00426544">
        <w:rPr>
          <w:rFonts w:ascii="Book Antiqua" w:hAnsi="Book Antiqua"/>
          <w:lang w:val="en-GB"/>
        </w:rPr>
        <w:t>i</w:t>
      </w:r>
      <w:proofErr w:type="spellEnd"/>
      <w:r w:rsidRPr="00426544">
        <w:rPr>
          <w:rFonts w:ascii="Book Antiqua" w:hAnsi="Book Antiqua"/>
          <w:lang w:val="en-GB"/>
        </w:rPr>
        <w:t xml:space="preserve">) </w:t>
      </w:r>
      <w:r w:rsidR="00A15217" w:rsidRPr="00426544">
        <w:rPr>
          <w:rFonts w:ascii="Book Antiqua" w:hAnsi="Book Antiqua"/>
          <w:lang w:val="en-GB"/>
        </w:rPr>
        <w:t>the Judge has set out an insufficient analysis of the persistent nature of the Claimant’s offending; (ii) the proportionality assessment has been affected and (iii) the Judge attached insufficient weight to the delay by the Claimant in attempting to regularize his status and had not been wholly law abiding during his stay in the UK and had set out an insufficient analysis of the degree of risk posed by the Appellant.</w:t>
      </w:r>
    </w:p>
    <w:p w:rsidR="00A15217" w:rsidRPr="00426544" w:rsidRDefault="00A15217">
      <w:pPr>
        <w:rPr>
          <w:rFonts w:ascii="Book Antiqua" w:hAnsi="Book Antiqua"/>
          <w:lang w:val="en-GB"/>
        </w:rPr>
      </w:pPr>
    </w:p>
    <w:p w:rsidR="00441105" w:rsidRPr="00426544" w:rsidRDefault="00A15217">
      <w:pPr>
        <w:rPr>
          <w:rFonts w:ascii="Book Antiqua" w:hAnsi="Book Antiqua"/>
          <w:i/>
          <w:lang w:val="en-GB"/>
        </w:rPr>
      </w:pPr>
      <w:r w:rsidRPr="00426544">
        <w:rPr>
          <w:rFonts w:ascii="Book Antiqua" w:hAnsi="Book Antiqua"/>
          <w:i/>
          <w:lang w:val="en-GB"/>
        </w:rPr>
        <w:t>Hearing</w:t>
      </w:r>
    </w:p>
    <w:p w:rsidR="00441105" w:rsidRPr="00426544" w:rsidRDefault="00441105">
      <w:pPr>
        <w:rPr>
          <w:rFonts w:ascii="Book Antiqua" w:hAnsi="Book Antiqua"/>
          <w:lang w:val="en-GB"/>
        </w:rPr>
      </w:pPr>
    </w:p>
    <w:p w:rsidR="00A15217" w:rsidRPr="00426544" w:rsidRDefault="00A15217" w:rsidP="00441105">
      <w:pPr>
        <w:rPr>
          <w:rFonts w:ascii="Book Antiqua" w:hAnsi="Book Antiqua"/>
          <w:lang w:val="en-GB"/>
        </w:rPr>
      </w:pPr>
      <w:r w:rsidRPr="00426544">
        <w:rPr>
          <w:rFonts w:ascii="Book Antiqua" w:hAnsi="Book Antiqua"/>
          <w:lang w:val="en-GB"/>
        </w:rPr>
        <w:t xml:space="preserve">5. At the hearing, Mr Avery accepted that this was </w:t>
      </w:r>
      <w:r w:rsidR="00441105" w:rsidRPr="00426544">
        <w:rPr>
          <w:rFonts w:ascii="Book Antiqua" w:hAnsi="Book Antiqua"/>
          <w:lang w:val="en-GB"/>
        </w:rPr>
        <w:t>not a deport</w:t>
      </w:r>
      <w:r w:rsidRPr="00426544">
        <w:rPr>
          <w:rFonts w:ascii="Book Antiqua" w:hAnsi="Book Antiqua"/>
          <w:lang w:val="en-GB"/>
        </w:rPr>
        <w:t>ation appeal and the grounds of appeal were erroneous in this respect. He submitted that the grounds come</w:t>
      </w:r>
      <w:r w:rsidR="00441105" w:rsidRPr="00426544">
        <w:rPr>
          <w:rFonts w:ascii="Book Antiqua" w:hAnsi="Book Antiqua"/>
          <w:lang w:val="en-GB"/>
        </w:rPr>
        <w:t xml:space="preserve"> dow</w:t>
      </w:r>
      <w:r w:rsidRPr="00426544">
        <w:rPr>
          <w:rFonts w:ascii="Book Antiqua" w:hAnsi="Book Antiqua"/>
          <w:lang w:val="en-GB"/>
        </w:rPr>
        <w:t>n to how the Judge treated the Claimant</w:t>
      </w:r>
      <w:r w:rsidR="00441105" w:rsidRPr="00426544">
        <w:rPr>
          <w:rFonts w:ascii="Book Antiqua" w:hAnsi="Book Antiqua"/>
          <w:lang w:val="en-GB"/>
        </w:rPr>
        <w:t>’s criminal hi</w:t>
      </w:r>
      <w:r w:rsidRPr="00426544">
        <w:rPr>
          <w:rFonts w:ascii="Book Antiqua" w:hAnsi="Book Antiqua"/>
          <w:lang w:val="en-GB"/>
        </w:rPr>
        <w:t>story and that the decision in</w:t>
      </w:r>
      <w:r w:rsidR="00441105" w:rsidRPr="00426544">
        <w:rPr>
          <w:rFonts w:ascii="Book Antiqua" w:hAnsi="Book Antiqua"/>
          <w:lang w:val="en-GB"/>
        </w:rPr>
        <w:t xml:space="preserve"> </w:t>
      </w:r>
      <w:proofErr w:type="spellStart"/>
      <w:r w:rsidR="00441105" w:rsidRPr="00426544">
        <w:rPr>
          <w:rFonts w:ascii="Book Antiqua" w:hAnsi="Book Antiqua"/>
          <w:u w:val="single"/>
          <w:lang w:val="en-GB"/>
        </w:rPr>
        <w:t>Chege</w:t>
      </w:r>
      <w:proofErr w:type="spellEnd"/>
      <w:r w:rsidR="00441105" w:rsidRPr="00426544">
        <w:rPr>
          <w:rFonts w:ascii="Book Antiqua" w:hAnsi="Book Antiqua"/>
          <w:lang w:val="en-GB"/>
        </w:rPr>
        <w:t xml:space="preserve"> </w:t>
      </w:r>
      <w:r w:rsidRPr="00426544">
        <w:rPr>
          <w:rFonts w:ascii="Book Antiqua" w:hAnsi="Book Antiqua"/>
          <w:lang w:val="en-GB"/>
        </w:rPr>
        <w:t xml:space="preserve">[2016] UKUT 187 (IAC) </w:t>
      </w:r>
      <w:r w:rsidR="00441105" w:rsidRPr="00426544">
        <w:rPr>
          <w:rFonts w:ascii="Book Antiqua" w:hAnsi="Book Antiqua"/>
          <w:lang w:val="en-GB"/>
        </w:rPr>
        <w:t>is concerned with persistent o</w:t>
      </w:r>
      <w:r w:rsidRPr="00426544">
        <w:rPr>
          <w:rFonts w:ascii="Book Antiqua" w:hAnsi="Book Antiqua"/>
          <w:lang w:val="en-GB"/>
        </w:rPr>
        <w:t>ffending in the context of a foreign national offender</w:t>
      </w:r>
      <w:r w:rsidR="00441105" w:rsidRPr="00426544">
        <w:rPr>
          <w:rFonts w:ascii="Book Antiqua" w:hAnsi="Book Antiqua"/>
          <w:lang w:val="en-GB"/>
        </w:rPr>
        <w:t xml:space="preserve">. The Judge sets </w:t>
      </w:r>
      <w:r w:rsidRPr="00426544">
        <w:rPr>
          <w:rFonts w:ascii="Book Antiqua" w:hAnsi="Book Antiqua"/>
          <w:lang w:val="en-GB"/>
        </w:rPr>
        <w:t>out most of the history at [9] in particular the fact that he has six convictions for thirteen offences. The Claimant</w:t>
      </w:r>
      <w:r w:rsidR="00441105" w:rsidRPr="00426544">
        <w:rPr>
          <w:rFonts w:ascii="Book Antiqua" w:hAnsi="Book Antiqua"/>
          <w:lang w:val="en-GB"/>
        </w:rPr>
        <w:t xml:space="preserve"> did not meet the suitability requirement</w:t>
      </w:r>
      <w:r w:rsidRPr="00426544">
        <w:rPr>
          <w:rFonts w:ascii="Book Antiqua" w:hAnsi="Book Antiqua"/>
          <w:lang w:val="en-GB"/>
        </w:rPr>
        <w:t>s due to his criminal history and it was n</w:t>
      </w:r>
      <w:r w:rsidR="00441105" w:rsidRPr="00426544">
        <w:rPr>
          <w:rFonts w:ascii="Book Antiqua" w:hAnsi="Book Antiqua"/>
          <w:lang w:val="en-GB"/>
        </w:rPr>
        <w:t xml:space="preserve">ot appropriate for him to be allowed to remain in the UK. </w:t>
      </w:r>
      <w:r w:rsidRPr="00426544">
        <w:rPr>
          <w:rFonts w:ascii="Book Antiqua" w:hAnsi="Book Antiqua"/>
          <w:lang w:val="en-GB"/>
        </w:rPr>
        <w:t>Whilst Mr Avery acknowledged that m</w:t>
      </w:r>
      <w:r w:rsidR="00441105" w:rsidRPr="00426544">
        <w:rPr>
          <w:rFonts w:ascii="Book Antiqua" w:hAnsi="Book Antiqua"/>
          <w:lang w:val="en-GB"/>
        </w:rPr>
        <w:t>ost of the offences date back some way</w:t>
      </w:r>
      <w:r w:rsidRPr="00426544">
        <w:rPr>
          <w:rFonts w:ascii="Book Antiqua" w:hAnsi="Book Antiqua"/>
          <w:lang w:val="en-GB"/>
        </w:rPr>
        <w:t>, there was a fairly recent offence in 2015 and the Claimant</w:t>
      </w:r>
      <w:r w:rsidR="00441105" w:rsidRPr="00426544">
        <w:rPr>
          <w:rFonts w:ascii="Book Antiqua" w:hAnsi="Book Antiqua"/>
          <w:lang w:val="en-GB"/>
        </w:rPr>
        <w:t xml:space="preserve"> did no</w:t>
      </w:r>
      <w:r w:rsidRPr="00426544">
        <w:rPr>
          <w:rFonts w:ascii="Book Antiqua" w:hAnsi="Book Antiqua"/>
          <w:lang w:val="en-GB"/>
        </w:rPr>
        <w:t>t disclose all his convictions, which</w:t>
      </w:r>
      <w:r w:rsidR="00441105" w:rsidRPr="00426544">
        <w:rPr>
          <w:rFonts w:ascii="Book Antiqua" w:hAnsi="Book Antiqua"/>
          <w:lang w:val="en-GB"/>
        </w:rPr>
        <w:t xml:space="preserve"> indic</w:t>
      </w:r>
      <w:r w:rsidRPr="00426544">
        <w:rPr>
          <w:rFonts w:ascii="Book Antiqua" w:hAnsi="Book Antiqua"/>
          <w:lang w:val="en-GB"/>
        </w:rPr>
        <w:t>ates he is not bothered about com</w:t>
      </w:r>
      <w:r w:rsidR="00441105" w:rsidRPr="00426544">
        <w:rPr>
          <w:rFonts w:ascii="Book Antiqua" w:hAnsi="Book Antiqua"/>
          <w:lang w:val="en-GB"/>
        </w:rPr>
        <w:t xml:space="preserve">plying </w:t>
      </w:r>
      <w:r w:rsidRPr="00426544">
        <w:rPr>
          <w:rFonts w:ascii="Book Antiqua" w:hAnsi="Book Antiqua"/>
          <w:lang w:val="en-GB"/>
        </w:rPr>
        <w:t xml:space="preserve">with </w:t>
      </w:r>
      <w:r w:rsidR="00441105" w:rsidRPr="00426544">
        <w:rPr>
          <w:rFonts w:ascii="Book Antiqua" w:hAnsi="Book Antiqua"/>
          <w:lang w:val="en-GB"/>
        </w:rPr>
        <w:t xml:space="preserve">the law. </w:t>
      </w:r>
      <w:r w:rsidRPr="00426544">
        <w:rPr>
          <w:rFonts w:ascii="Book Antiqua" w:hAnsi="Book Antiqua"/>
          <w:lang w:val="en-GB"/>
        </w:rPr>
        <w:t xml:space="preserve">The </w:t>
      </w:r>
      <w:r w:rsidR="00441105" w:rsidRPr="00426544">
        <w:rPr>
          <w:rFonts w:ascii="Book Antiqua" w:hAnsi="Book Antiqua"/>
          <w:lang w:val="en-GB"/>
        </w:rPr>
        <w:t>Judge minimized his criminal history in</w:t>
      </w:r>
      <w:r w:rsidRPr="00426544">
        <w:rPr>
          <w:rFonts w:ascii="Book Antiqua" w:hAnsi="Book Antiqua"/>
          <w:lang w:val="en-GB"/>
        </w:rPr>
        <w:t xml:space="preserve"> assessing proportionality, particularly given </w:t>
      </w:r>
      <w:r w:rsidR="00441105" w:rsidRPr="00426544">
        <w:rPr>
          <w:rFonts w:ascii="Book Antiqua" w:hAnsi="Book Antiqua"/>
          <w:lang w:val="en-GB"/>
        </w:rPr>
        <w:t>t</w:t>
      </w:r>
      <w:r w:rsidRPr="00426544">
        <w:rPr>
          <w:rFonts w:ascii="Book Antiqua" w:hAnsi="Book Antiqua"/>
          <w:lang w:val="en-GB"/>
        </w:rPr>
        <w:t>hat the Judge did not find that the Claimant</w:t>
      </w:r>
      <w:r w:rsidR="00441105" w:rsidRPr="00426544">
        <w:rPr>
          <w:rFonts w:ascii="Book Antiqua" w:hAnsi="Book Antiqua"/>
          <w:lang w:val="en-GB"/>
        </w:rPr>
        <w:t xml:space="preserve"> met the requirements of </w:t>
      </w:r>
      <w:r w:rsidRPr="00426544">
        <w:rPr>
          <w:rFonts w:ascii="Book Antiqua" w:hAnsi="Book Antiqua"/>
          <w:lang w:val="en-GB"/>
        </w:rPr>
        <w:t>Appendix FM of the Rules</w:t>
      </w:r>
      <w:r w:rsidR="00441105" w:rsidRPr="00426544">
        <w:rPr>
          <w:rFonts w:ascii="Book Antiqua" w:hAnsi="Book Antiqua"/>
          <w:lang w:val="en-GB"/>
        </w:rPr>
        <w:t xml:space="preserve">. </w:t>
      </w:r>
    </w:p>
    <w:p w:rsidR="00A15217" w:rsidRPr="00426544" w:rsidRDefault="00A15217" w:rsidP="00441105">
      <w:pPr>
        <w:rPr>
          <w:rFonts w:ascii="Book Antiqua" w:hAnsi="Book Antiqua"/>
          <w:lang w:val="en-GB"/>
        </w:rPr>
      </w:pPr>
    </w:p>
    <w:p w:rsidR="00441105" w:rsidRPr="00426544" w:rsidRDefault="00A15217" w:rsidP="00441105">
      <w:pPr>
        <w:rPr>
          <w:rFonts w:ascii="Book Antiqua" w:hAnsi="Book Antiqua"/>
          <w:lang w:val="en-GB"/>
        </w:rPr>
      </w:pPr>
      <w:r w:rsidRPr="00426544">
        <w:rPr>
          <w:rFonts w:ascii="Book Antiqua" w:hAnsi="Book Antiqua"/>
          <w:lang w:val="en-GB"/>
        </w:rPr>
        <w:lastRenderedPageBreak/>
        <w:t>6. Mr Avery accepted that there had been a s</w:t>
      </w:r>
      <w:r w:rsidR="00441105" w:rsidRPr="00426544">
        <w:rPr>
          <w:rFonts w:ascii="Book Antiqua" w:hAnsi="Book Antiqua"/>
          <w:lang w:val="en-GB"/>
        </w:rPr>
        <w:t xml:space="preserve">ignificant change in circumstances between </w:t>
      </w:r>
      <w:r w:rsidRPr="00426544">
        <w:rPr>
          <w:rFonts w:ascii="Book Antiqua" w:hAnsi="Book Antiqua"/>
          <w:lang w:val="en-GB"/>
        </w:rPr>
        <w:t xml:space="preserve">the </w:t>
      </w:r>
      <w:r w:rsidR="00441105" w:rsidRPr="00426544">
        <w:rPr>
          <w:rFonts w:ascii="Book Antiqua" w:hAnsi="Book Antiqua"/>
          <w:lang w:val="en-GB"/>
        </w:rPr>
        <w:t xml:space="preserve">decision and </w:t>
      </w:r>
      <w:r w:rsidRPr="00426544">
        <w:rPr>
          <w:rFonts w:ascii="Book Antiqua" w:hAnsi="Book Antiqua"/>
          <w:lang w:val="en-GB"/>
        </w:rPr>
        <w:t>the hearing in that the Claimant</w:t>
      </w:r>
      <w:r w:rsidR="00441105" w:rsidRPr="00426544">
        <w:rPr>
          <w:rFonts w:ascii="Book Antiqua" w:hAnsi="Book Antiqua"/>
          <w:lang w:val="en-GB"/>
        </w:rPr>
        <w:t xml:space="preserve">’s wife and </w:t>
      </w:r>
      <w:r w:rsidRPr="00426544">
        <w:rPr>
          <w:rFonts w:ascii="Book Antiqua" w:hAnsi="Book Antiqua"/>
          <w:lang w:val="en-GB"/>
        </w:rPr>
        <w:t xml:space="preserve">one </w:t>
      </w:r>
      <w:r w:rsidR="00A94615" w:rsidRPr="00426544">
        <w:rPr>
          <w:rFonts w:ascii="Book Antiqua" w:hAnsi="Book Antiqua"/>
          <w:lang w:val="en-GB"/>
        </w:rPr>
        <w:t xml:space="preserve">of his </w:t>
      </w:r>
      <w:r w:rsidR="00441105" w:rsidRPr="00426544">
        <w:rPr>
          <w:rFonts w:ascii="Book Antiqua" w:hAnsi="Book Antiqua"/>
          <w:lang w:val="en-GB"/>
        </w:rPr>
        <w:t>child</w:t>
      </w:r>
      <w:r w:rsidR="00A94615" w:rsidRPr="00426544">
        <w:rPr>
          <w:rFonts w:ascii="Book Antiqua" w:hAnsi="Book Antiqua"/>
          <w:lang w:val="en-GB"/>
        </w:rPr>
        <w:t>ren had obtained settlement and applied for British nationality</w:t>
      </w:r>
      <w:r w:rsidR="00441105" w:rsidRPr="00426544">
        <w:rPr>
          <w:rFonts w:ascii="Book Antiqua" w:hAnsi="Book Antiqua"/>
          <w:lang w:val="en-GB"/>
        </w:rPr>
        <w:t>.</w:t>
      </w:r>
      <w:r w:rsidRPr="00426544">
        <w:rPr>
          <w:rFonts w:ascii="Book Antiqua" w:hAnsi="Book Antiqua"/>
          <w:lang w:val="en-GB"/>
        </w:rPr>
        <w:t xml:space="preserve"> Whilst she a</w:t>
      </w:r>
      <w:r w:rsidR="00441105" w:rsidRPr="00426544">
        <w:rPr>
          <w:rFonts w:ascii="Book Antiqua" w:hAnsi="Book Antiqua"/>
          <w:lang w:val="en-GB"/>
        </w:rPr>
        <w:t>ccept</w:t>
      </w:r>
      <w:r w:rsidRPr="00426544">
        <w:rPr>
          <w:rFonts w:ascii="Book Antiqua" w:hAnsi="Book Antiqua"/>
          <w:lang w:val="en-GB"/>
        </w:rPr>
        <w:t>ed that the</w:t>
      </w:r>
      <w:r w:rsidR="00441105" w:rsidRPr="00426544">
        <w:rPr>
          <w:rFonts w:ascii="Book Antiqua" w:hAnsi="Book Antiqua"/>
          <w:lang w:val="en-GB"/>
        </w:rPr>
        <w:t xml:space="preserve"> suitability requirements </w:t>
      </w:r>
      <w:r w:rsidRPr="00426544">
        <w:rPr>
          <w:rFonts w:ascii="Book Antiqua" w:hAnsi="Book Antiqua"/>
          <w:lang w:val="en-GB"/>
        </w:rPr>
        <w:t xml:space="preserve">are mandatory, the </w:t>
      </w:r>
      <w:r w:rsidR="00441105" w:rsidRPr="00426544">
        <w:rPr>
          <w:rFonts w:ascii="Book Antiqua" w:hAnsi="Book Antiqua"/>
          <w:lang w:val="en-GB"/>
        </w:rPr>
        <w:t xml:space="preserve">Judge found </w:t>
      </w:r>
      <w:r w:rsidRPr="00426544">
        <w:rPr>
          <w:rFonts w:ascii="Book Antiqua" w:hAnsi="Book Antiqua"/>
          <w:lang w:val="en-GB"/>
        </w:rPr>
        <w:t xml:space="preserve">they </w:t>
      </w:r>
      <w:r w:rsidR="00441105" w:rsidRPr="00426544">
        <w:rPr>
          <w:rFonts w:ascii="Book Antiqua" w:hAnsi="Book Antiqua"/>
          <w:lang w:val="en-GB"/>
        </w:rPr>
        <w:t>should</w:t>
      </w:r>
      <w:r w:rsidRPr="00426544">
        <w:rPr>
          <w:rFonts w:ascii="Book Antiqua" w:hAnsi="Book Antiqua"/>
          <w:lang w:val="en-GB"/>
        </w:rPr>
        <w:t xml:space="preserve"> no</w:t>
      </w:r>
      <w:r w:rsidR="00441105" w:rsidRPr="00426544">
        <w:rPr>
          <w:rFonts w:ascii="Book Antiqua" w:hAnsi="Book Antiqua"/>
          <w:lang w:val="en-GB"/>
        </w:rPr>
        <w:t xml:space="preserve">t have been applied </w:t>
      </w:r>
      <w:r w:rsidR="000D4BD3" w:rsidRPr="00426544">
        <w:rPr>
          <w:rFonts w:ascii="Book Antiqua" w:hAnsi="Book Antiqua"/>
          <w:lang w:val="en-GB"/>
        </w:rPr>
        <w:t xml:space="preserve">and </w:t>
      </w:r>
      <w:r w:rsidR="00441105" w:rsidRPr="00426544">
        <w:rPr>
          <w:rFonts w:ascii="Book Antiqua" w:hAnsi="Book Antiqua"/>
          <w:lang w:val="en-GB"/>
        </w:rPr>
        <w:t>so</w:t>
      </w:r>
      <w:r w:rsidR="000D4BD3" w:rsidRPr="00426544">
        <w:rPr>
          <w:rFonts w:ascii="Book Antiqua" w:hAnsi="Book Antiqua"/>
          <w:lang w:val="en-GB"/>
        </w:rPr>
        <w:t xml:space="preserve"> she</w:t>
      </w:r>
      <w:r w:rsidR="00441105" w:rsidRPr="00426544">
        <w:rPr>
          <w:rFonts w:ascii="Book Antiqua" w:hAnsi="Book Antiqua"/>
          <w:lang w:val="en-GB"/>
        </w:rPr>
        <w:t xml:space="preserve"> could have gone on to give an indication as to whether or no</w:t>
      </w:r>
      <w:r w:rsidR="000D4BD3" w:rsidRPr="00426544">
        <w:rPr>
          <w:rFonts w:ascii="Book Antiqua" w:hAnsi="Book Antiqua"/>
          <w:lang w:val="en-GB"/>
        </w:rPr>
        <w:t>t the Claimant</w:t>
      </w:r>
      <w:r w:rsidR="00441105" w:rsidRPr="00426544">
        <w:rPr>
          <w:rFonts w:ascii="Book Antiqua" w:hAnsi="Book Antiqua"/>
          <w:lang w:val="en-GB"/>
        </w:rPr>
        <w:t xml:space="preserve"> met the Rules.</w:t>
      </w:r>
      <w:r w:rsidR="000D4BD3" w:rsidRPr="00426544">
        <w:rPr>
          <w:rFonts w:ascii="Book Antiqua" w:hAnsi="Book Antiqua"/>
          <w:lang w:val="en-GB"/>
        </w:rPr>
        <w:t xml:space="preserve"> In respect of the proportionality assessment, the Claimant has not been law abiding whilst in the UK and has offences</w:t>
      </w:r>
      <w:r w:rsidR="00441105" w:rsidRPr="00426544">
        <w:rPr>
          <w:rFonts w:ascii="Book Antiqua" w:hAnsi="Book Antiqua"/>
          <w:lang w:val="en-GB"/>
        </w:rPr>
        <w:t xml:space="preserve"> going back many years. </w:t>
      </w:r>
      <w:r w:rsidR="000D4BD3" w:rsidRPr="00426544">
        <w:rPr>
          <w:rFonts w:ascii="Book Antiqua" w:hAnsi="Book Antiqua"/>
          <w:lang w:val="en-GB"/>
        </w:rPr>
        <w:t>He submitted that there had been a c</w:t>
      </w:r>
      <w:r w:rsidR="00441105" w:rsidRPr="00426544">
        <w:rPr>
          <w:rFonts w:ascii="Book Antiqua" w:hAnsi="Book Antiqua"/>
          <w:lang w:val="en-GB"/>
        </w:rPr>
        <w:t>lear minim</w:t>
      </w:r>
      <w:r w:rsidR="000D4BD3" w:rsidRPr="00426544">
        <w:rPr>
          <w:rFonts w:ascii="Book Antiqua" w:hAnsi="Book Antiqua"/>
          <w:lang w:val="en-GB"/>
        </w:rPr>
        <w:t>ization of his criminal record and that the Judge had erred in failing</w:t>
      </w:r>
      <w:r w:rsidR="00441105" w:rsidRPr="00426544">
        <w:rPr>
          <w:rFonts w:ascii="Book Antiqua" w:hAnsi="Book Antiqua"/>
          <w:lang w:val="en-GB"/>
        </w:rPr>
        <w:t xml:space="preserve"> to give proper weight to his criminal record. This gives the public interest a significant boost and the Judge has failed to give this proper consideration.</w:t>
      </w:r>
    </w:p>
    <w:p w:rsidR="00441105" w:rsidRPr="00426544" w:rsidRDefault="00441105" w:rsidP="00441105">
      <w:pPr>
        <w:rPr>
          <w:rFonts w:ascii="Book Antiqua" w:hAnsi="Book Antiqua"/>
          <w:lang w:val="en-GB"/>
        </w:rPr>
      </w:pPr>
    </w:p>
    <w:p w:rsidR="00E375E8" w:rsidRPr="00426544" w:rsidRDefault="00E375E8" w:rsidP="00441105">
      <w:pPr>
        <w:rPr>
          <w:rFonts w:ascii="Book Antiqua" w:hAnsi="Book Antiqua"/>
          <w:lang w:val="en-GB"/>
        </w:rPr>
      </w:pPr>
      <w:r w:rsidRPr="00426544">
        <w:rPr>
          <w:rFonts w:ascii="Book Antiqua" w:hAnsi="Book Antiqua"/>
          <w:lang w:val="en-GB"/>
        </w:rPr>
        <w:t xml:space="preserve">7. In her submissions, </w:t>
      </w:r>
      <w:r w:rsidR="00441105" w:rsidRPr="00426544">
        <w:rPr>
          <w:rFonts w:ascii="Book Antiqua" w:hAnsi="Book Antiqua"/>
          <w:lang w:val="en-GB"/>
        </w:rPr>
        <w:t>Ms Glass</w:t>
      </w:r>
      <w:r w:rsidRPr="00426544">
        <w:rPr>
          <w:rFonts w:ascii="Book Antiqua" w:hAnsi="Book Antiqua"/>
          <w:lang w:val="en-GB"/>
        </w:rPr>
        <w:t xml:space="preserve"> asserted that there was no material error in the decision of the First </w:t>
      </w:r>
      <w:proofErr w:type="gramStart"/>
      <w:r w:rsidRPr="00426544">
        <w:rPr>
          <w:rFonts w:ascii="Book Antiqua" w:hAnsi="Book Antiqua"/>
          <w:lang w:val="en-GB"/>
        </w:rPr>
        <w:t>tier</w:t>
      </w:r>
      <w:proofErr w:type="gramEnd"/>
      <w:r w:rsidRPr="00426544">
        <w:rPr>
          <w:rFonts w:ascii="Book Antiqua" w:hAnsi="Book Antiqua"/>
          <w:lang w:val="en-GB"/>
        </w:rPr>
        <w:t xml:space="preserve"> Tribunal Judge, which was to assess the </w:t>
      </w:r>
      <w:r w:rsidR="00441105" w:rsidRPr="00426544">
        <w:rPr>
          <w:rFonts w:ascii="Book Antiqua" w:hAnsi="Book Antiqua"/>
          <w:lang w:val="en-GB"/>
        </w:rPr>
        <w:t>proportionality</w:t>
      </w:r>
      <w:r w:rsidRPr="00426544">
        <w:rPr>
          <w:rFonts w:ascii="Book Antiqua" w:hAnsi="Book Antiqua"/>
          <w:lang w:val="en-GB"/>
        </w:rPr>
        <w:t xml:space="preserve"> of the Claimant’s removal</w:t>
      </w:r>
      <w:r w:rsidR="00441105" w:rsidRPr="00426544">
        <w:rPr>
          <w:rFonts w:ascii="Book Antiqua" w:hAnsi="Book Antiqua"/>
          <w:lang w:val="en-GB"/>
        </w:rPr>
        <w:t xml:space="preserve">. </w:t>
      </w:r>
      <w:r w:rsidRPr="00426544">
        <w:rPr>
          <w:rFonts w:ascii="Book Antiqua" w:hAnsi="Book Antiqua"/>
          <w:lang w:val="en-GB"/>
        </w:rPr>
        <w:t xml:space="preserve">The </w:t>
      </w:r>
      <w:r w:rsidR="00441105" w:rsidRPr="00426544">
        <w:rPr>
          <w:rFonts w:ascii="Book Antiqua" w:hAnsi="Book Antiqua"/>
          <w:lang w:val="en-GB"/>
        </w:rPr>
        <w:t xml:space="preserve">Judge points out </w:t>
      </w:r>
      <w:r w:rsidRPr="00426544">
        <w:rPr>
          <w:rFonts w:ascii="Book Antiqua" w:hAnsi="Book Antiqua"/>
          <w:lang w:val="en-GB"/>
        </w:rPr>
        <w:t>that she was not assisted by the refusal decision, which contains</w:t>
      </w:r>
      <w:r w:rsidR="00441105" w:rsidRPr="00426544">
        <w:rPr>
          <w:rFonts w:ascii="Book Antiqua" w:hAnsi="Book Antiqua"/>
          <w:lang w:val="en-GB"/>
        </w:rPr>
        <w:t xml:space="preserve"> no subst</w:t>
      </w:r>
      <w:r w:rsidRPr="00426544">
        <w:rPr>
          <w:rFonts w:ascii="Book Antiqua" w:hAnsi="Book Antiqua"/>
          <w:lang w:val="en-GB"/>
        </w:rPr>
        <w:t>antive consideration of the Claimant’s circumstances: the</w:t>
      </w:r>
      <w:r w:rsidR="00441105" w:rsidRPr="00426544">
        <w:rPr>
          <w:rFonts w:ascii="Book Antiqua" w:hAnsi="Book Antiqua"/>
          <w:lang w:val="en-GB"/>
        </w:rPr>
        <w:t xml:space="preserve"> in</w:t>
      </w:r>
      <w:r w:rsidRPr="00426544">
        <w:rPr>
          <w:rFonts w:ascii="Book Antiqua" w:hAnsi="Book Antiqua"/>
          <w:lang w:val="en-GB"/>
        </w:rPr>
        <w:t>terference with the family life, section 55 of the BCIA 2009 and his</w:t>
      </w:r>
      <w:r w:rsidR="00441105" w:rsidRPr="00426544">
        <w:rPr>
          <w:rFonts w:ascii="Book Antiqua" w:hAnsi="Book Antiqua"/>
          <w:lang w:val="en-GB"/>
        </w:rPr>
        <w:t xml:space="preserve"> British wife and children. </w:t>
      </w:r>
      <w:r w:rsidRPr="00426544">
        <w:rPr>
          <w:rFonts w:ascii="Book Antiqua" w:hAnsi="Book Antiqua"/>
          <w:lang w:val="en-GB"/>
        </w:rPr>
        <w:t>She submitted that the Judge had conducted a very careful analysis at [48] and</w:t>
      </w:r>
      <w:r w:rsidR="00441105" w:rsidRPr="00426544">
        <w:rPr>
          <w:rFonts w:ascii="Book Antiqua" w:hAnsi="Book Antiqua"/>
          <w:lang w:val="en-GB"/>
        </w:rPr>
        <w:t xml:space="preserve"> makes reference to the fact that </w:t>
      </w:r>
      <w:r w:rsidRPr="00426544">
        <w:rPr>
          <w:rFonts w:ascii="Book Antiqua" w:hAnsi="Book Antiqua"/>
          <w:lang w:val="en-GB"/>
        </w:rPr>
        <w:t>it is finely balanced and had had regard to section 117B of the NIAA 2002, the Claimant’s</w:t>
      </w:r>
      <w:r w:rsidR="00441105" w:rsidRPr="00426544">
        <w:rPr>
          <w:rFonts w:ascii="Book Antiqua" w:hAnsi="Book Antiqua"/>
          <w:lang w:val="en-GB"/>
        </w:rPr>
        <w:t xml:space="preserve"> history and </w:t>
      </w:r>
      <w:r w:rsidRPr="00426544">
        <w:rPr>
          <w:rFonts w:ascii="Book Antiqua" w:hAnsi="Book Antiqua"/>
          <w:lang w:val="en-GB"/>
        </w:rPr>
        <w:t xml:space="preserve">his </w:t>
      </w:r>
      <w:r w:rsidR="00441105" w:rsidRPr="00426544">
        <w:rPr>
          <w:rFonts w:ascii="Book Antiqua" w:hAnsi="Book Antiqua"/>
          <w:lang w:val="en-GB"/>
        </w:rPr>
        <w:t xml:space="preserve">family life. </w:t>
      </w:r>
    </w:p>
    <w:p w:rsidR="00E375E8" w:rsidRPr="00426544" w:rsidRDefault="00E375E8" w:rsidP="00441105">
      <w:pPr>
        <w:rPr>
          <w:rFonts w:ascii="Book Antiqua" w:hAnsi="Book Antiqua"/>
          <w:lang w:val="en-GB"/>
        </w:rPr>
      </w:pPr>
    </w:p>
    <w:p w:rsidR="00B266AF" w:rsidRPr="00426544" w:rsidRDefault="00E375E8" w:rsidP="00441105">
      <w:pPr>
        <w:rPr>
          <w:rFonts w:ascii="Times" w:eastAsiaTheme="minorHAnsi" w:hAnsi="Times" w:cstheme="minorBidi"/>
          <w:sz w:val="20"/>
          <w:szCs w:val="20"/>
          <w:lang w:val="en-GB"/>
        </w:rPr>
      </w:pPr>
      <w:r w:rsidRPr="00426544">
        <w:rPr>
          <w:rFonts w:ascii="Book Antiqua" w:hAnsi="Book Antiqua"/>
          <w:lang w:val="en-GB"/>
        </w:rPr>
        <w:t>8. She submitted that the Judge was v</w:t>
      </w:r>
      <w:r w:rsidR="00441105" w:rsidRPr="00426544">
        <w:rPr>
          <w:rFonts w:ascii="Book Antiqua" w:hAnsi="Book Antiqua"/>
          <w:lang w:val="en-GB"/>
        </w:rPr>
        <w:t xml:space="preserve">ery aware </w:t>
      </w:r>
      <w:r w:rsidRPr="00426544">
        <w:rPr>
          <w:rFonts w:ascii="Book Antiqua" w:hAnsi="Book Antiqua"/>
          <w:lang w:val="en-GB"/>
        </w:rPr>
        <w:t>of the fact that the Claimant is a national of Nigeria, with</w:t>
      </w:r>
      <w:r w:rsidR="00441105" w:rsidRPr="00426544">
        <w:rPr>
          <w:rFonts w:ascii="Book Antiqua" w:hAnsi="Book Antiqua"/>
          <w:lang w:val="en-GB"/>
        </w:rPr>
        <w:t xml:space="preserve"> two children,</w:t>
      </w:r>
      <w:r w:rsidRPr="00426544">
        <w:rPr>
          <w:rFonts w:ascii="Book Antiqua" w:hAnsi="Book Antiqua"/>
          <w:lang w:val="en-GB"/>
        </w:rPr>
        <w:t xml:space="preserve"> one with sickle cell anaemia. It is v</w:t>
      </w:r>
      <w:r w:rsidR="00441105" w:rsidRPr="00426544">
        <w:rPr>
          <w:rFonts w:ascii="Book Antiqua" w:hAnsi="Book Antiqua"/>
          <w:lang w:val="en-GB"/>
        </w:rPr>
        <w:t xml:space="preserve">ery clear from the decision of the former President in </w:t>
      </w:r>
      <w:r w:rsidR="00441105" w:rsidRPr="00426544">
        <w:rPr>
          <w:rFonts w:ascii="Book Antiqua" w:hAnsi="Book Antiqua"/>
          <w:u w:val="single"/>
          <w:lang w:val="en-GB"/>
        </w:rPr>
        <w:t>Kaur</w:t>
      </w:r>
      <w:r w:rsidR="001476D8" w:rsidRPr="00426544">
        <w:rPr>
          <w:rFonts w:ascii="Book Antiqua" w:eastAsiaTheme="minorHAnsi" w:hAnsi="Book Antiqua" w:cstheme="minorBidi"/>
          <w:color w:val="010101"/>
          <w:lang w:val="en-GB"/>
        </w:rPr>
        <w:t> </w:t>
      </w:r>
      <w:r w:rsidR="001476D8" w:rsidRPr="00426544">
        <w:rPr>
          <w:rFonts w:ascii="Book Antiqua" w:eastAsiaTheme="minorHAnsi" w:hAnsi="Book Antiqua" w:cstheme="minorBidi"/>
          <w:color w:val="010101"/>
          <w:szCs w:val="23"/>
          <w:shd w:val="clear" w:color="auto" w:fill="FFFFFF"/>
          <w:lang w:val="en-GB"/>
        </w:rPr>
        <w:t>(children's best interests/public interest interface) [2017] UKUT 00014 (IAC)</w:t>
      </w:r>
      <w:r w:rsidR="001476D8" w:rsidRPr="00426544">
        <w:rPr>
          <w:rFonts w:ascii="Times" w:eastAsiaTheme="minorHAnsi" w:hAnsi="Times" w:cstheme="minorBidi"/>
          <w:sz w:val="20"/>
          <w:szCs w:val="20"/>
          <w:lang w:val="en-GB"/>
        </w:rPr>
        <w:t xml:space="preserve"> </w:t>
      </w:r>
      <w:r w:rsidR="00441105" w:rsidRPr="00426544">
        <w:rPr>
          <w:rFonts w:ascii="Book Antiqua" w:hAnsi="Book Antiqua"/>
          <w:lang w:val="en-GB"/>
        </w:rPr>
        <w:t xml:space="preserve">that </w:t>
      </w:r>
      <w:r w:rsidRPr="00426544">
        <w:rPr>
          <w:rFonts w:ascii="Book Antiqua" w:hAnsi="Book Antiqua"/>
          <w:lang w:val="en-GB"/>
        </w:rPr>
        <w:t xml:space="preserve">the </w:t>
      </w:r>
      <w:r w:rsidR="00441105" w:rsidRPr="00426544">
        <w:rPr>
          <w:rFonts w:ascii="Book Antiqua" w:hAnsi="Book Antiqua"/>
          <w:lang w:val="en-GB"/>
        </w:rPr>
        <w:t xml:space="preserve">medical health </w:t>
      </w:r>
      <w:r w:rsidRPr="00426544">
        <w:rPr>
          <w:rFonts w:ascii="Book Antiqua" w:hAnsi="Book Antiqua"/>
          <w:lang w:val="en-GB"/>
        </w:rPr>
        <w:t>of a child is a weighty matter,</w:t>
      </w:r>
      <w:r w:rsidR="00441105" w:rsidRPr="00426544">
        <w:rPr>
          <w:rFonts w:ascii="Book Antiqua" w:hAnsi="Book Antiqua"/>
          <w:lang w:val="en-GB"/>
        </w:rPr>
        <w:t xml:space="preserve"> albeit </w:t>
      </w:r>
      <w:r w:rsidRPr="00426544">
        <w:rPr>
          <w:rFonts w:ascii="Book Antiqua" w:hAnsi="Book Antiqua"/>
          <w:lang w:val="en-GB"/>
        </w:rPr>
        <w:t>it is not paramount, it is c</w:t>
      </w:r>
      <w:r w:rsidR="00441105" w:rsidRPr="00426544">
        <w:rPr>
          <w:rFonts w:ascii="Book Antiqua" w:hAnsi="Book Antiqua"/>
          <w:lang w:val="en-GB"/>
        </w:rPr>
        <w:t xml:space="preserve">learly </w:t>
      </w:r>
      <w:r w:rsidRPr="00426544">
        <w:rPr>
          <w:rFonts w:ascii="Book Antiqua" w:hAnsi="Book Antiqua"/>
          <w:lang w:val="en-GB"/>
        </w:rPr>
        <w:t xml:space="preserve">a </w:t>
      </w:r>
      <w:r w:rsidR="00441105" w:rsidRPr="00426544">
        <w:rPr>
          <w:rFonts w:ascii="Book Antiqua" w:hAnsi="Book Antiqua"/>
          <w:lang w:val="en-GB"/>
        </w:rPr>
        <w:t xml:space="preserve">relevant factor. </w:t>
      </w:r>
      <w:r w:rsidRPr="00426544">
        <w:rPr>
          <w:rFonts w:ascii="Book Antiqua" w:hAnsi="Book Antiqua"/>
          <w:lang w:val="en-GB"/>
        </w:rPr>
        <w:t xml:space="preserve">The Judge set out the history of the Claimant’s offending at </w:t>
      </w:r>
      <w:r w:rsidR="00441105" w:rsidRPr="00426544">
        <w:rPr>
          <w:rFonts w:ascii="Book Antiqua" w:hAnsi="Book Antiqua"/>
          <w:lang w:val="en-GB"/>
        </w:rPr>
        <w:t xml:space="preserve">[4] </w:t>
      </w:r>
      <w:r w:rsidRPr="00426544">
        <w:rPr>
          <w:rFonts w:ascii="Book Antiqua" w:hAnsi="Book Antiqua"/>
          <w:lang w:val="en-GB"/>
        </w:rPr>
        <w:t>and the fact t</w:t>
      </w:r>
      <w:r w:rsidR="001476D8" w:rsidRPr="00426544">
        <w:rPr>
          <w:rFonts w:ascii="Book Antiqua" w:hAnsi="Book Antiqua"/>
          <w:lang w:val="en-GB"/>
        </w:rPr>
        <w:t>hat he had 8 weeks imprisonment</w:t>
      </w:r>
      <w:r w:rsidRPr="00426544">
        <w:rPr>
          <w:rFonts w:ascii="Book Antiqua" w:hAnsi="Book Antiqua"/>
          <w:lang w:val="en-GB"/>
        </w:rPr>
        <w:t xml:space="preserve">. In respect of </w:t>
      </w:r>
      <w:proofErr w:type="spellStart"/>
      <w:r w:rsidRPr="00426544">
        <w:rPr>
          <w:rFonts w:ascii="Book Antiqua" w:hAnsi="Book Antiqua"/>
          <w:lang w:val="en-GB"/>
        </w:rPr>
        <w:t>Chege</w:t>
      </w:r>
      <w:proofErr w:type="spellEnd"/>
      <w:r w:rsidRPr="00426544">
        <w:rPr>
          <w:rFonts w:ascii="Book Antiqua" w:hAnsi="Book Antiqua"/>
          <w:lang w:val="en-GB"/>
        </w:rPr>
        <w:t xml:space="preserve"> </w:t>
      </w:r>
      <w:r w:rsidR="001476D8" w:rsidRPr="00426544">
        <w:rPr>
          <w:rFonts w:ascii="Book Antiqua" w:hAnsi="Book Antiqua"/>
          <w:lang w:val="en-GB"/>
        </w:rPr>
        <w:t xml:space="preserve">[2016] UKUT 187 (IAC) </w:t>
      </w:r>
      <w:r w:rsidRPr="00426544">
        <w:rPr>
          <w:rFonts w:ascii="Book Antiqua" w:hAnsi="Book Antiqua"/>
          <w:lang w:val="en-GB"/>
        </w:rPr>
        <w:t>the Judge analysed his history of offending in</w:t>
      </w:r>
      <w:r w:rsidR="00441105" w:rsidRPr="00426544">
        <w:rPr>
          <w:rFonts w:ascii="Book Antiqua" w:hAnsi="Book Antiqua"/>
          <w:lang w:val="en-GB"/>
        </w:rPr>
        <w:t xml:space="preserve"> great </w:t>
      </w:r>
      <w:r w:rsidRPr="00426544">
        <w:rPr>
          <w:rFonts w:ascii="Book Antiqua" w:hAnsi="Book Antiqua"/>
          <w:lang w:val="en-GB"/>
        </w:rPr>
        <w:t xml:space="preserve">detail at [16] [22] and [24].  The length of time in respect of deportation is 12 months, however, </w:t>
      </w:r>
      <w:r w:rsidR="00441105" w:rsidRPr="00426544">
        <w:rPr>
          <w:rFonts w:ascii="Book Antiqua" w:hAnsi="Book Antiqua"/>
          <w:lang w:val="en-GB"/>
        </w:rPr>
        <w:t>this is 8 weeks</w:t>
      </w:r>
      <w:r w:rsidR="00B266AF" w:rsidRPr="00426544">
        <w:rPr>
          <w:rFonts w:ascii="Book Antiqua" w:hAnsi="Book Antiqua"/>
          <w:lang w:val="en-GB"/>
        </w:rPr>
        <w:t xml:space="preserve">. </w:t>
      </w:r>
      <w:r w:rsidR="00441105" w:rsidRPr="00426544">
        <w:rPr>
          <w:rFonts w:ascii="Book Antiqua" w:hAnsi="Book Antiqua"/>
          <w:lang w:val="en-GB"/>
        </w:rPr>
        <w:t>Clearly thi</w:t>
      </w:r>
      <w:r w:rsidR="00B266AF" w:rsidRPr="00426544">
        <w:rPr>
          <w:rFonts w:ascii="Book Antiqua" w:hAnsi="Book Antiqua"/>
          <w:lang w:val="en-GB"/>
        </w:rPr>
        <w:t xml:space="preserve">s analysis has been undertaken at </w:t>
      </w:r>
      <w:r w:rsidR="00441105" w:rsidRPr="00426544">
        <w:rPr>
          <w:rFonts w:ascii="Book Antiqua" w:hAnsi="Book Antiqua"/>
          <w:lang w:val="en-GB"/>
        </w:rPr>
        <w:t>[28]</w:t>
      </w:r>
      <w:r w:rsidR="00B266AF" w:rsidRPr="00426544">
        <w:rPr>
          <w:rFonts w:ascii="Book Antiqua" w:hAnsi="Book Antiqua"/>
          <w:lang w:val="en-GB"/>
        </w:rPr>
        <w:t>. At</w:t>
      </w:r>
      <w:r w:rsidR="00441105" w:rsidRPr="00426544">
        <w:rPr>
          <w:rFonts w:ascii="Book Antiqua" w:hAnsi="Book Antiqua"/>
          <w:lang w:val="en-GB"/>
        </w:rPr>
        <w:t xml:space="preserve"> [33] the P</w:t>
      </w:r>
      <w:r w:rsidR="00B266AF" w:rsidRPr="00426544">
        <w:rPr>
          <w:rFonts w:ascii="Book Antiqua" w:hAnsi="Book Antiqua"/>
          <w:lang w:val="en-GB"/>
        </w:rPr>
        <w:t xml:space="preserve">resenting </w:t>
      </w:r>
      <w:r w:rsidR="00441105" w:rsidRPr="00426544">
        <w:rPr>
          <w:rFonts w:ascii="Book Antiqua" w:hAnsi="Book Antiqua"/>
          <w:lang w:val="en-GB"/>
        </w:rPr>
        <w:t>O</w:t>
      </w:r>
      <w:r w:rsidR="00B266AF" w:rsidRPr="00426544">
        <w:rPr>
          <w:rFonts w:ascii="Book Antiqua" w:hAnsi="Book Antiqua"/>
          <w:lang w:val="en-GB"/>
        </w:rPr>
        <w:t>fficer</w:t>
      </w:r>
      <w:r w:rsidR="00441105" w:rsidRPr="00426544">
        <w:rPr>
          <w:rFonts w:ascii="Book Antiqua" w:hAnsi="Book Antiqua"/>
          <w:lang w:val="en-GB"/>
        </w:rPr>
        <w:t xml:space="preserve"> accepted th</w:t>
      </w:r>
      <w:r w:rsidR="00B266AF" w:rsidRPr="00426544">
        <w:rPr>
          <w:rFonts w:ascii="Book Antiqua" w:hAnsi="Book Antiqua"/>
          <w:lang w:val="en-GB"/>
        </w:rPr>
        <w:t xml:space="preserve">at the offences were historic. At </w:t>
      </w:r>
      <w:r w:rsidR="00441105" w:rsidRPr="00426544">
        <w:rPr>
          <w:rFonts w:ascii="Book Antiqua" w:hAnsi="Book Antiqua"/>
          <w:lang w:val="en-GB"/>
        </w:rPr>
        <w:t xml:space="preserve">[39] </w:t>
      </w:r>
      <w:r w:rsidR="00B266AF" w:rsidRPr="00426544">
        <w:rPr>
          <w:rFonts w:ascii="Book Antiqua" w:hAnsi="Book Antiqua"/>
          <w:lang w:val="en-GB"/>
        </w:rPr>
        <w:t xml:space="preserve">the Judge found that the Claimant had </w:t>
      </w:r>
      <w:r w:rsidR="00441105" w:rsidRPr="00426544">
        <w:rPr>
          <w:rFonts w:ascii="Book Antiqua" w:hAnsi="Book Antiqua"/>
          <w:lang w:val="en-GB"/>
        </w:rPr>
        <w:t xml:space="preserve">not </w:t>
      </w:r>
      <w:r w:rsidR="00B266AF" w:rsidRPr="00426544">
        <w:rPr>
          <w:rFonts w:ascii="Book Antiqua" w:hAnsi="Book Antiqua"/>
          <w:lang w:val="en-GB"/>
        </w:rPr>
        <w:t xml:space="preserve">been </w:t>
      </w:r>
      <w:r w:rsidR="00441105" w:rsidRPr="00426544">
        <w:rPr>
          <w:rFonts w:ascii="Book Antiqua" w:hAnsi="Book Antiqua"/>
          <w:lang w:val="en-GB"/>
        </w:rPr>
        <w:t>in trouble fo</w:t>
      </w:r>
      <w:r w:rsidR="00B266AF" w:rsidRPr="00426544">
        <w:rPr>
          <w:rFonts w:ascii="Book Antiqua" w:hAnsi="Book Antiqua"/>
          <w:lang w:val="en-GB"/>
        </w:rPr>
        <w:t xml:space="preserve">r 10 years apart from 2015, which was the Claimant moving his cousin’s car, set out at </w:t>
      </w:r>
      <w:r w:rsidR="00441105" w:rsidRPr="00426544">
        <w:rPr>
          <w:rFonts w:ascii="Book Antiqua" w:hAnsi="Book Antiqua"/>
          <w:lang w:val="en-GB"/>
        </w:rPr>
        <w:t>section 6 of applica</w:t>
      </w:r>
      <w:r w:rsidR="00B266AF" w:rsidRPr="00426544">
        <w:rPr>
          <w:rFonts w:ascii="Book Antiqua" w:hAnsi="Book Antiqua"/>
          <w:lang w:val="en-GB"/>
        </w:rPr>
        <w:t xml:space="preserve">tion form which records that on 5.2.15 the Claimant was convicted of </w:t>
      </w:r>
      <w:r w:rsidR="00441105" w:rsidRPr="00426544">
        <w:rPr>
          <w:rFonts w:ascii="Book Antiqua" w:hAnsi="Book Antiqua"/>
          <w:lang w:val="en-GB"/>
        </w:rPr>
        <w:t xml:space="preserve">driving with excess alcohol </w:t>
      </w:r>
      <w:r w:rsidR="00B266AF" w:rsidRPr="00426544">
        <w:rPr>
          <w:rFonts w:ascii="Book Antiqua" w:hAnsi="Book Antiqua"/>
          <w:lang w:val="en-GB"/>
        </w:rPr>
        <w:t xml:space="preserve">in respect of which he was sentenced to </w:t>
      </w:r>
      <w:r w:rsidR="00441105" w:rsidRPr="00426544">
        <w:rPr>
          <w:rFonts w:ascii="Book Antiqua" w:hAnsi="Book Antiqua"/>
          <w:lang w:val="en-GB"/>
        </w:rPr>
        <w:t>18 months disqualification and 100 hours community service.</w:t>
      </w:r>
    </w:p>
    <w:p w:rsidR="00441105" w:rsidRPr="00426544" w:rsidRDefault="00441105" w:rsidP="00441105">
      <w:pPr>
        <w:rPr>
          <w:rFonts w:ascii="Book Antiqua" w:hAnsi="Book Antiqua"/>
          <w:lang w:val="en-GB"/>
        </w:rPr>
      </w:pPr>
    </w:p>
    <w:p w:rsidR="00441105" w:rsidRPr="00426544" w:rsidRDefault="00B266AF" w:rsidP="00441105">
      <w:pPr>
        <w:rPr>
          <w:rFonts w:ascii="Book Antiqua" w:hAnsi="Book Antiqua"/>
          <w:lang w:val="en-GB"/>
        </w:rPr>
      </w:pPr>
      <w:r w:rsidRPr="00426544">
        <w:rPr>
          <w:rFonts w:ascii="Book Antiqua" w:hAnsi="Book Antiqua"/>
          <w:lang w:val="en-GB"/>
        </w:rPr>
        <w:t xml:space="preserve">9. Ms Glass submitted that it is clear from </w:t>
      </w:r>
      <w:r w:rsidR="00441105" w:rsidRPr="00426544">
        <w:rPr>
          <w:rFonts w:ascii="Book Antiqua" w:hAnsi="Book Antiqua"/>
          <w:lang w:val="en-GB"/>
        </w:rPr>
        <w:t xml:space="preserve">[48] </w:t>
      </w:r>
      <w:r w:rsidRPr="00426544">
        <w:rPr>
          <w:rFonts w:ascii="Book Antiqua" w:hAnsi="Book Antiqua"/>
          <w:lang w:val="en-GB"/>
        </w:rPr>
        <w:t xml:space="preserve">that the judgment is finely balanced, given that the Claimant </w:t>
      </w:r>
      <w:r w:rsidR="00441105" w:rsidRPr="00426544">
        <w:rPr>
          <w:rFonts w:ascii="Book Antiqua" w:hAnsi="Book Antiqua"/>
          <w:lang w:val="en-GB"/>
        </w:rPr>
        <w:t xml:space="preserve">was an offender in the past. </w:t>
      </w:r>
      <w:r w:rsidRPr="00426544">
        <w:rPr>
          <w:rFonts w:ascii="Book Antiqua" w:hAnsi="Book Antiqua"/>
          <w:lang w:val="en-GB"/>
        </w:rPr>
        <w:t>The Judge considered in respect of</w:t>
      </w:r>
      <w:r w:rsidR="00441105" w:rsidRPr="00426544">
        <w:rPr>
          <w:rFonts w:ascii="Book Antiqua" w:hAnsi="Book Antiqua"/>
          <w:lang w:val="en-GB"/>
        </w:rPr>
        <w:t xml:space="preserve"> section 55 </w:t>
      </w:r>
      <w:r w:rsidRPr="00426544">
        <w:rPr>
          <w:rFonts w:ascii="Book Antiqua" w:hAnsi="Book Antiqua"/>
          <w:lang w:val="en-GB"/>
        </w:rPr>
        <w:t xml:space="preserve">of the BCIA 2009 that this </w:t>
      </w:r>
      <w:r w:rsidR="00441105" w:rsidRPr="00426544">
        <w:rPr>
          <w:rFonts w:ascii="Book Antiqua" w:hAnsi="Book Antiqua"/>
          <w:lang w:val="en-GB"/>
        </w:rPr>
        <w:t>must</w:t>
      </w:r>
      <w:r w:rsidRPr="00426544">
        <w:rPr>
          <w:rFonts w:ascii="Book Antiqua" w:hAnsi="Book Antiqua"/>
          <w:lang w:val="en-GB"/>
        </w:rPr>
        <w:t xml:space="preserve"> be taken into consideration along with</w:t>
      </w:r>
      <w:r w:rsidR="00441105" w:rsidRPr="00426544">
        <w:rPr>
          <w:rFonts w:ascii="Book Antiqua" w:hAnsi="Book Antiqua"/>
          <w:lang w:val="en-GB"/>
        </w:rPr>
        <w:t xml:space="preserve"> section 117B and </w:t>
      </w:r>
      <w:r w:rsidRPr="00426544">
        <w:rPr>
          <w:rFonts w:ascii="Book Antiqua" w:hAnsi="Book Antiqua"/>
          <w:lang w:val="en-GB"/>
        </w:rPr>
        <w:t xml:space="preserve">considered </w:t>
      </w:r>
      <w:r w:rsidR="00441105" w:rsidRPr="00426544">
        <w:rPr>
          <w:rFonts w:ascii="Book Antiqua" w:hAnsi="Book Antiqua"/>
          <w:lang w:val="en-GB"/>
        </w:rPr>
        <w:t>whether it would be unduly harsh to expect his da</w:t>
      </w:r>
      <w:r w:rsidRPr="00426544">
        <w:rPr>
          <w:rFonts w:ascii="Book Antiqua" w:hAnsi="Book Antiqua"/>
          <w:lang w:val="en-GB"/>
        </w:rPr>
        <w:t>ughter to relocate to Nigeria: s</w:t>
      </w:r>
      <w:r w:rsidR="00441105" w:rsidRPr="00426544">
        <w:rPr>
          <w:rFonts w:ascii="Book Antiqua" w:hAnsi="Book Antiqua"/>
          <w:lang w:val="en-GB"/>
        </w:rPr>
        <w:t xml:space="preserve">ee also [45]. </w:t>
      </w:r>
      <w:r w:rsidRPr="00426544">
        <w:rPr>
          <w:rFonts w:ascii="Book Antiqua" w:hAnsi="Book Antiqua"/>
          <w:lang w:val="en-GB"/>
        </w:rPr>
        <w:t xml:space="preserve">The </w:t>
      </w:r>
      <w:r w:rsidR="00441105" w:rsidRPr="00426544">
        <w:rPr>
          <w:rFonts w:ascii="Book Antiqua" w:hAnsi="Book Antiqua"/>
          <w:lang w:val="en-GB"/>
        </w:rPr>
        <w:t>H</w:t>
      </w:r>
      <w:r w:rsidRPr="00426544">
        <w:rPr>
          <w:rFonts w:ascii="Book Antiqua" w:hAnsi="Book Antiqua"/>
          <w:lang w:val="en-GB"/>
        </w:rPr>
        <w:t xml:space="preserve">ome </w:t>
      </w:r>
      <w:r w:rsidR="00441105" w:rsidRPr="00426544">
        <w:rPr>
          <w:rFonts w:ascii="Book Antiqua" w:hAnsi="Book Antiqua"/>
          <w:lang w:val="en-GB"/>
        </w:rPr>
        <w:t>O</w:t>
      </w:r>
      <w:r w:rsidRPr="00426544">
        <w:rPr>
          <w:rFonts w:ascii="Book Antiqua" w:hAnsi="Book Antiqua"/>
          <w:lang w:val="en-GB"/>
        </w:rPr>
        <w:t xml:space="preserve">ffice had failed to </w:t>
      </w:r>
      <w:r w:rsidR="00441105" w:rsidRPr="00426544">
        <w:rPr>
          <w:rFonts w:ascii="Book Antiqua" w:hAnsi="Book Antiqua"/>
          <w:lang w:val="en-GB"/>
        </w:rPr>
        <w:t xml:space="preserve">provide a proper analysis of the circumstances. </w:t>
      </w:r>
      <w:r w:rsidRPr="00426544">
        <w:rPr>
          <w:rFonts w:ascii="Book Antiqua" w:hAnsi="Book Antiqua"/>
          <w:lang w:val="en-GB"/>
        </w:rPr>
        <w:lastRenderedPageBreak/>
        <w:t xml:space="preserve">At </w:t>
      </w:r>
      <w:r w:rsidR="00441105" w:rsidRPr="00426544">
        <w:rPr>
          <w:rFonts w:ascii="Book Antiqua" w:hAnsi="Book Antiqua"/>
          <w:lang w:val="en-GB"/>
        </w:rPr>
        <w:t xml:space="preserve">[47] </w:t>
      </w:r>
      <w:r w:rsidRPr="00426544">
        <w:rPr>
          <w:rFonts w:ascii="Book Antiqua" w:hAnsi="Book Antiqua"/>
          <w:lang w:val="en-GB"/>
        </w:rPr>
        <w:t xml:space="preserve">the Judge recorded that the Claimant </w:t>
      </w:r>
      <w:r w:rsidR="00441105" w:rsidRPr="00426544">
        <w:rPr>
          <w:rFonts w:ascii="Book Antiqua" w:hAnsi="Book Antiqua"/>
          <w:lang w:val="en-GB"/>
        </w:rPr>
        <w:t xml:space="preserve">does speak English and </w:t>
      </w:r>
      <w:r w:rsidRPr="00426544">
        <w:rPr>
          <w:rFonts w:ascii="Book Antiqua" w:hAnsi="Book Antiqua"/>
          <w:lang w:val="en-GB"/>
        </w:rPr>
        <w:t xml:space="preserve">is </w:t>
      </w:r>
      <w:r w:rsidR="00441105" w:rsidRPr="00426544">
        <w:rPr>
          <w:rFonts w:ascii="Book Antiqua" w:hAnsi="Book Antiqua"/>
          <w:lang w:val="en-GB"/>
        </w:rPr>
        <w:t>not in receipt of public funds.</w:t>
      </w:r>
      <w:r w:rsidRPr="00426544">
        <w:rPr>
          <w:rFonts w:ascii="Book Antiqua" w:hAnsi="Book Antiqua"/>
          <w:lang w:val="en-GB"/>
        </w:rPr>
        <w:t xml:space="preserve"> She f</w:t>
      </w:r>
      <w:r w:rsidR="00441105" w:rsidRPr="00426544">
        <w:rPr>
          <w:rFonts w:ascii="Book Antiqua" w:hAnsi="Book Antiqua"/>
          <w:lang w:val="en-GB"/>
        </w:rPr>
        <w:t xml:space="preserve">ound </w:t>
      </w:r>
      <w:r w:rsidRPr="00426544">
        <w:rPr>
          <w:rFonts w:ascii="Book Antiqua" w:hAnsi="Book Antiqua"/>
          <w:lang w:val="en-GB"/>
        </w:rPr>
        <w:t xml:space="preserve">on the evidence that the </w:t>
      </w:r>
      <w:r w:rsidR="00441105" w:rsidRPr="00426544">
        <w:rPr>
          <w:rFonts w:ascii="Book Antiqua" w:hAnsi="Book Antiqua"/>
          <w:lang w:val="en-GB"/>
        </w:rPr>
        <w:t xml:space="preserve">public interest does not </w:t>
      </w:r>
      <w:r w:rsidRPr="00426544">
        <w:rPr>
          <w:rFonts w:ascii="Book Antiqua" w:hAnsi="Book Antiqua"/>
          <w:lang w:val="en-GB"/>
        </w:rPr>
        <w:t>require his removal.</w:t>
      </w:r>
      <w:r w:rsidR="00441105" w:rsidRPr="00426544">
        <w:rPr>
          <w:rFonts w:ascii="Book Antiqua" w:hAnsi="Book Antiqua"/>
          <w:lang w:val="en-GB"/>
        </w:rPr>
        <w:t xml:space="preserve"> </w:t>
      </w:r>
    </w:p>
    <w:p w:rsidR="00441105" w:rsidRPr="00426544" w:rsidRDefault="00441105" w:rsidP="00441105">
      <w:pPr>
        <w:rPr>
          <w:rFonts w:ascii="Book Antiqua" w:hAnsi="Book Antiqua"/>
          <w:lang w:val="en-GB"/>
        </w:rPr>
      </w:pPr>
    </w:p>
    <w:p w:rsidR="00441105" w:rsidRPr="00426544" w:rsidRDefault="00B266AF" w:rsidP="00441105">
      <w:pPr>
        <w:rPr>
          <w:rFonts w:ascii="Book Antiqua" w:hAnsi="Book Antiqua"/>
          <w:lang w:val="en-GB"/>
        </w:rPr>
      </w:pPr>
      <w:r w:rsidRPr="00426544">
        <w:rPr>
          <w:rFonts w:ascii="Book Antiqua" w:hAnsi="Book Antiqua"/>
          <w:lang w:val="en-GB"/>
        </w:rPr>
        <w:t>10. In reply, Mr Avery submitted that it is the analysis of the Claimant</w:t>
      </w:r>
      <w:r w:rsidR="00441105" w:rsidRPr="00426544">
        <w:rPr>
          <w:rFonts w:ascii="Book Antiqua" w:hAnsi="Book Antiqua"/>
          <w:lang w:val="en-GB"/>
        </w:rPr>
        <w:t xml:space="preserve">’s offending </w:t>
      </w:r>
      <w:r w:rsidRPr="00426544">
        <w:rPr>
          <w:rFonts w:ascii="Book Antiqua" w:hAnsi="Book Antiqua"/>
          <w:lang w:val="en-GB"/>
        </w:rPr>
        <w:t xml:space="preserve">that </w:t>
      </w:r>
      <w:r w:rsidR="00441105" w:rsidRPr="00426544">
        <w:rPr>
          <w:rFonts w:ascii="Book Antiqua" w:hAnsi="Book Antiqua"/>
          <w:lang w:val="en-GB"/>
        </w:rPr>
        <w:t xml:space="preserve">is the issue. In a matter where someone is a criminal offender then </w:t>
      </w:r>
      <w:r w:rsidRPr="00426544">
        <w:rPr>
          <w:rFonts w:ascii="Book Antiqua" w:hAnsi="Book Antiqua"/>
          <w:lang w:val="en-GB"/>
        </w:rPr>
        <w:t>the Secretary of State’s position is that the public interest</w:t>
      </w:r>
      <w:r w:rsidR="00441105" w:rsidRPr="00426544">
        <w:rPr>
          <w:rFonts w:ascii="Book Antiqua" w:hAnsi="Book Antiqua"/>
          <w:lang w:val="en-GB"/>
        </w:rPr>
        <w:t xml:space="preserve"> carries significant weight. </w:t>
      </w:r>
      <w:r w:rsidRPr="00426544">
        <w:rPr>
          <w:rFonts w:ascii="Book Antiqua" w:hAnsi="Book Antiqua"/>
          <w:lang w:val="en-GB"/>
        </w:rPr>
        <w:t>He submitted that the Judge had provided v</w:t>
      </w:r>
      <w:r w:rsidR="00441105" w:rsidRPr="00426544">
        <w:rPr>
          <w:rFonts w:ascii="Book Antiqua" w:hAnsi="Book Antiqua"/>
          <w:lang w:val="en-GB"/>
        </w:rPr>
        <w:t>ery sketchy reasoning in respect of the public interest</w:t>
      </w:r>
      <w:r w:rsidRPr="00426544">
        <w:rPr>
          <w:rFonts w:ascii="Book Antiqua" w:hAnsi="Book Antiqua"/>
          <w:lang w:val="en-GB"/>
        </w:rPr>
        <w:t xml:space="preserve"> and suitability requirements and there is no real indication that the Secretary of State’s position had</w:t>
      </w:r>
      <w:r w:rsidR="00441105" w:rsidRPr="00426544">
        <w:rPr>
          <w:rFonts w:ascii="Book Antiqua" w:hAnsi="Book Antiqua"/>
          <w:lang w:val="en-GB"/>
        </w:rPr>
        <w:t xml:space="preserve"> been accorded weight. If there is an error in the Judge’s assessment of the evidence there has to be a concern that if </w:t>
      </w:r>
      <w:r w:rsidRPr="00426544">
        <w:rPr>
          <w:rFonts w:ascii="Book Antiqua" w:hAnsi="Book Antiqua"/>
          <w:lang w:val="en-GB"/>
        </w:rPr>
        <w:t>she states that it is finely balanced but has no</w:t>
      </w:r>
      <w:r w:rsidR="00441105" w:rsidRPr="00426544">
        <w:rPr>
          <w:rFonts w:ascii="Book Antiqua" w:hAnsi="Book Antiqua"/>
          <w:lang w:val="en-GB"/>
        </w:rPr>
        <w:t xml:space="preserve">t balanced the issues properly then </w:t>
      </w:r>
      <w:r w:rsidRPr="00426544">
        <w:rPr>
          <w:rFonts w:ascii="Book Antiqua" w:hAnsi="Book Antiqua"/>
          <w:lang w:val="en-GB"/>
        </w:rPr>
        <w:t xml:space="preserve">the </w:t>
      </w:r>
      <w:r w:rsidR="00441105" w:rsidRPr="00426544">
        <w:rPr>
          <w:rFonts w:ascii="Book Antiqua" w:hAnsi="Book Antiqua"/>
          <w:lang w:val="en-GB"/>
        </w:rPr>
        <w:t>conclusion</w:t>
      </w:r>
      <w:r w:rsidRPr="00426544">
        <w:rPr>
          <w:rFonts w:ascii="Book Antiqua" w:hAnsi="Book Antiqua"/>
          <w:lang w:val="en-GB"/>
        </w:rPr>
        <w:t xml:space="preserve"> is</w:t>
      </w:r>
      <w:r w:rsidR="00441105" w:rsidRPr="00426544">
        <w:rPr>
          <w:rFonts w:ascii="Book Antiqua" w:hAnsi="Book Antiqua"/>
          <w:lang w:val="en-GB"/>
        </w:rPr>
        <w:t xml:space="preserve"> likely to be wrong and </w:t>
      </w:r>
      <w:r w:rsidRPr="00426544">
        <w:rPr>
          <w:rFonts w:ascii="Book Antiqua" w:hAnsi="Book Antiqua"/>
          <w:lang w:val="en-GB"/>
        </w:rPr>
        <w:t xml:space="preserve">the </w:t>
      </w:r>
      <w:r w:rsidR="00441105" w:rsidRPr="00426544">
        <w:rPr>
          <w:rFonts w:ascii="Book Antiqua" w:hAnsi="Book Antiqua"/>
          <w:lang w:val="en-GB"/>
        </w:rPr>
        <w:t xml:space="preserve">balance has not been properly struck. </w:t>
      </w:r>
    </w:p>
    <w:p w:rsidR="00441105" w:rsidRPr="00426544" w:rsidRDefault="00441105" w:rsidP="00441105">
      <w:pPr>
        <w:rPr>
          <w:rFonts w:ascii="Book Antiqua" w:hAnsi="Book Antiqua"/>
          <w:lang w:val="en-GB"/>
        </w:rPr>
      </w:pPr>
    </w:p>
    <w:p w:rsidR="00B266AF" w:rsidRPr="00426544" w:rsidRDefault="00B266AF" w:rsidP="00441105">
      <w:pPr>
        <w:rPr>
          <w:rFonts w:ascii="Book Antiqua" w:hAnsi="Book Antiqua"/>
          <w:lang w:val="en-GB"/>
        </w:rPr>
      </w:pPr>
      <w:r w:rsidRPr="00426544">
        <w:rPr>
          <w:rFonts w:ascii="Book Antiqua" w:hAnsi="Book Antiqua"/>
          <w:lang w:val="en-GB"/>
        </w:rPr>
        <w:t>11. I r</w:t>
      </w:r>
      <w:r w:rsidR="00441105" w:rsidRPr="00426544">
        <w:rPr>
          <w:rFonts w:ascii="Book Antiqua" w:hAnsi="Book Antiqua"/>
          <w:lang w:val="en-GB"/>
        </w:rPr>
        <w:t xml:space="preserve">eserved </w:t>
      </w:r>
      <w:r w:rsidRPr="00426544">
        <w:rPr>
          <w:rFonts w:ascii="Book Antiqua" w:hAnsi="Book Antiqua"/>
          <w:lang w:val="en-GB"/>
        </w:rPr>
        <w:t>my decision, which I now give with my reasons.</w:t>
      </w:r>
    </w:p>
    <w:p w:rsidR="00B266AF" w:rsidRPr="00426544" w:rsidRDefault="00B266AF" w:rsidP="00441105">
      <w:pPr>
        <w:rPr>
          <w:rFonts w:ascii="Book Antiqua" w:hAnsi="Book Antiqua"/>
          <w:lang w:val="en-GB"/>
        </w:rPr>
      </w:pPr>
    </w:p>
    <w:p w:rsidR="00441105" w:rsidRPr="00426544" w:rsidRDefault="00B266AF" w:rsidP="00441105">
      <w:pPr>
        <w:rPr>
          <w:rFonts w:ascii="Book Antiqua" w:hAnsi="Book Antiqua"/>
          <w:i/>
          <w:lang w:val="en-GB"/>
        </w:rPr>
      </w:pPr>
      <w:r w:rsidRPr="00426544">
        <w:rPr>
          <w:rFonts w:ascii="Book Antiqua" w:hAnsi="Book Antiqua"/>
          <w:i/>
          <w:lang w:val="en-GB"/>
        </w:rPr>
        <w:t>Findings</w:t>
      </w:r>
    </w:p>
    <w:p w:rsidR="00B266AF" w:rsidRPr="00426544" w:rsidRDefault="00B266AF">
      <w:pPr>
        <w:rPr>
          <w:rFonts w:ascii="Book Antiqua" w:hAnsi="Book Antiqua"/>
          <w:lang w:val="en-GB"/>
        </w:rPr>
      </w:pPr>
    </w:p>
    <w:p w:rsidR="00BE7B3E" w:rsidRPr="00426544" w:rsidRDefault="00B266AF">
      <w:pPr>
        <w:rPr>
          <w:rFonts w:ascii="Book Antiqua" w:hAnsi="Book Antiqua"/>
          <w:lang w:val="en-GB"/>
        </w:rPr>
      </w:pPr>
      <w:r w:rsidRPr="00426544">
        <w:rPr>
          <w:rFonts w:ascii="Book Antiqua" w:hAnsi="Book Antiqua"/>
          <w:lang w:val="en-GB"/>
        </w:rPr>
        <w:t xml:space="preserve">12. </w:t>
      </w:r>
      <w:r w:rsidR="00B32B91" w:rsidRPr="00426544">
        <w:rPr>
          <w:rFonts w:ascii="Book Antiqua" w:hAnsi="Book Antiqua"/>
          <w:lang w:val="en-GB"/>
        </w:rPr>
        <w:t xml:space="preserve">The assertion by the Secretary of State that the First tier Tribunal Judge erred in failing to have regard to the decision in </w:t>
      </w:r>
      <w:proofErr w:type="spellStart"/>
      <w:r w:rsidR="00B32B91" w:rsidRPr="00426544">
        <w:rPr>
          <w:rFonts w:ascii="Book Antiqua" w:hAnsi="Book Antiqua"/>
          <w:lang w:val="en-GB"/>
        </w:rPr>
        <w:t>Chege</w:t>
      </w:r>
      <w:proofErr w:type="spellEnd"/>
      <w:r w:rsidR="00B32B91" w:rsidRPr="00426544">
        <w:rPr>
          <w:rFonts w:ascii="Book Antiqua" w:hAnsi="Book Antiqua"/>
          <w:lang w:val="en-GB"/>
        </w:rPr>
        <w:t xml:space="preserve"> [2016] UKUT 187 (IAC) I find is misconceived, given that the basis of the refusal decision </w:t>
      </w:r>
      <w:r w:rsidR="00BE7B3E" w:rsidRPr="00426544">
        <w:rPr>
          <w:rFonts w:ascii="Book Antiqua" w:hAnsi="Book Antiqua"/>
          <w:lang w:val="en-GB"/>
        </w:rPr>
        <w:t xml:space="preserve">of 19 July 2016 </w:t>
      </w:r>
      <w:r w:rsidR="00B32B91" w:rsidRPr="00426544">
        <w:rPr>
          <w:rFonts w:ascii="Book Antiqua" w:hAnsi="Book Antiqua"/>
          <w:lang w:val="en-GB"/>
        </w:rPr>
        <w:t xml:space="preserve">was with regard </w:t>
      </w:r>
      <w:r w:rsidR="00BE7B3E" w:rsidRPr="00426544">
        <w:rPr>
          <w:rFonts w:ascii="Book Antiqua" w:hAnsi="Book Antiqua"/>
          <w:lang w:val="en-GB"/>
        </w:rPr>
        <w:t xml:space="preserve">not to S-LTR 1.5 but </w:t>
      </w:r>
      <w:r w:rsidR="00B32B91" w:rsidRPr="00426544">
        <w:rPr>
          <w:rFonts w:ascii="Book Antiqua" w:hAnsi="Book Antiqua"/>
          <w:lang w:val="en-GB"/>
        </w:rPr>
        <w:t xml:space="preserve">to S-LTR 1.6 </w:t>
      </w:r>
      <w:r w:rsidR="00B32B91" w:rsidRPr="00426544">
        <w:rPr>
          <w:rFonts w:ascii="Book Antiqua" w:hAnsi="Book Antiqua"/>
          <w:i/>
          <w:lang w:val="en-GB"/>
        </w:rPr>
        <w:t>viz “the presence of the applicant in the UK is not cond</w:t>
      </w:r>
      <w:r w:rsidR="00BE7B3E" w:rsidRPr="00426544">
        <w:rPr>
          <w:rFonts w:ascii="Book Antiqua" w:hAnsi="Book Antiqua"/>
          <w:i/>
          <w:lang w:val="en-GB"/>
        </w:rPr>
        <w:t xml:space="preserve">ucive to the public good because their conduct (including convictions which do not fall within paragraphs S-LTR 1.3 to 1.5) character, associations or other reasons make it undesirable to allow them to remain in the UK.” </w:t>
      </w:r>
      <w:r w:rsidR="00BE7B3E" w:rsidRPr="00426544">
        <w:rPr>
          <w:rFonts w:ascii="Book Antiqua" w:hAnsi="Book Antiqua"/>
          <w:lang w:val="en-GB"/>
        </w:rPr>
        <w:t xml:space="preserve"> </w:t>
      </w:r>
      <w:proofErr w:type="gramStart"/>
      <w:r w:rsidR="00BE7B3E" w:rsidRPr="00426544">
        <w:rPr>
          <w:rFonts w:ascii="Book Antiqua" w:hAnsi="Book Antiqua"/>
          <w:lang w:val="en-GB"/>
        </w:rPr>
        <w:t>Thus</w:t>
      </w:r>
      <w:proofErr w:type="gramEnd"/>
      <w:r w:rsidR="00BE7B3E" w:rsidRPr="00426544">
        <w:rPr>
          <w:rFonts w:ascii="Book Antiqua" w:hAnsi="Book Antiqua"/>
          <w:lang w:val="en-GB"/>
        </w:rPr>
        <w:t xml:space="preserve"> no error of law is established in this respect, given that it was not the position of the Secretary of State that the Claimant is a “persistent offender” and I find that the Judge correctly set out that position at [38] of her decision.</w:t>
      </w:r>
    </w:p>
    <w:p w:rsidR="00BE7B3E" w:rsidRPr="00426544" w:rsidRDefault="00BE7B3E">
      <w:pPr>
        <w:rPr>
          <w:rFonts w:ascii="Book Antiqua" w:hAnsi="Book Antiqua"/>
          <w:lang w:val="en-GB"/>
        </w:rPr>
      </w:pPr>
    </w:p>
    <w:p w:rsidR="00BE7B3E" w:rsidRPr="00426544" w:rsidRDefault="00BE7B3E">
      <w:pPr>
        <w:rPr>
          <w:rFonts w:ascii="Book Antiqua" w:hAnsi="Book Antiqua"/>
          <w:i/>
          <w:lang w:val="en-GB"/>
        </w:rPr>
      </w:pPr>
      <w:r w:rsidRPr="00426544">
        <w:rPr>
          <w:rFonts w:ascii="Book Antiqua" w:hAnsi="Book Antiqua"/>
          <w:lang w:val="en-GB"/>
        </w:rPr>
        <w:t xml:space="preserve">13. The Judge also correctly found at [38] that the burden of showing that it is undesirable to allow the Claimant to remain in the United Kingdom is on the Secretary of State. She then proceeded to </w:t>
      </w:r>
      <w:r w:rsidR="00CE26CD" w:rsidRPr="00426544">
        <w:rPr>
          <w:rFonts w:ascii="Book Antiqua" w:hAnsi="Book Antiqua"/>
          <w:lang w:val="en-GB"/>
        </w:rPr>
        <w:t>analyse the Claimant’s history of offending at [39]</w:t>
      </w:r>
      <w:proofErr w:type="gramStart"/>
      <w:r w:rsidR="00CE26CD" w:rsidRPr="00426544">
        <w:rPr>
          <w:rFonts w:ascii="Book Antiqua" w:hAnsi="Book Antiqua"/>
          <w:lang w:val="en-GB"/>
        </w:rPr>
        <w:t>-[</w:t>
      </w:r>
      <w:proofErr w:type="gramEnd"/>
      <w:r w:rsidR="00CE26CD" w:rsidRPr="00426544">
        <w:rPr>
          <w:rFonts w:ascii="Book Antiqua" w:hAnsi="Book Antiqua"/>
          <w:lang w:val="en-GB"/>
        </w:rPr>
        <w:t>40] and took into consideration the fact that the Presenting Officer acknowledged that most of the offences apart from the 2015 incident, are now historic. The Judge went on to find: “</w:t>
      </w:r>
      <w:r w:rsidR="00CE26CD" w:rsidRPr="00426544">
        <w:rPr>
          <w:rFonts w:ascii="Book Antiqua" w:hAnsi="Book Antiqua"/>
          <w:i/>
          <w:lang w:val="en-GB"/>
        </w:rPr>
        <w:t>the offences are all low level and I am not satisfied that, individually or cumulatively, they amount to conduct that makes the appellant’s presence in the</w:t>
      </w:r>
      <w:r w:rsidR="00343C84" w:rsidRPr="00426544">
        <w:rPr>
          <w:rFonts w:ascii="Book Antiqua" w:hAnsi="Book Antiqua"/>
          <w:i/>
          <w:lang w:val="en-GB"/>
        </w:rPr>
        <w:t xml:space="preserve"> UK undesirable. I am not satisfied, therefore, that the respondent has discharged the burden on her to show that the appellant does not meet the suitability requirements for limited leave to remain as a partner.”</w:t>
      </w:r>
    </w:p>
    <w:p w:rsidR="00BE7B3E" w:rsidRPr="00426544" w:rsidRDefault="00BE7B3E">
      <w:pPr>
        <w:rPr>
          <w:rFonts w:ascii="Book Antiqua" w:hAnsi="Book Antiqua"/>
          <w:lang w:val="en-GB"/>
        </w:rPr>
      </w:pPr>
    </w:p>
    <w:p w:rsidR="00343C84" w:rsidRPr="00426544" w:rsidRDefault="00BE7B3E">
      <w:pPr>
        <w:rPr>
          <w:rFonts w:ascii="Book Antiqua" w:hAnsi="Book Antiqua"/>
          <w:lang w:val="en-GB"/>
        </w:rPr>
      </w:pPr>
      <w:r w:rsidRPr="00426544">
        <w:rPr>
          <w:rFonts w:ascii="Book Antiqua" w:hAnsi="Book Antiqua"/>
          <w:lang w:val="en-GB"/>
        </w:rPr>
        <w:t>14.</w:t>
      </w:r>
      <w:r w:rsidR="00343C84" w:rsidRPr="00426544">
        <w:rPr>
          <w:rFonts w:ascii="Book Antiqua" w:hAnsi="Book Antiqua"/>
          <w:lang w:val="en-GB"/>
        </w:rPr>
        <w:t xml:space="preserve"> I find no error of law in the approach by the First tier Tribunal Judge, not least because it appears that the Presenting Officer, whose submissions are recorded at [33]</w:t>
      </w:r>
      <w:proofErr w:type="gramStart"/>
      <w:r w:rsidR="00343C84" w:rsidRPr="00426544">
        <w:rPr>
          <w:rFonts w:ascii="Book Antiqua" w:hAnsi="Book Antiqua"/>
          <w:lang w:val="en-GB"/>
        </w:rPr>
        <w:t>-[</w:t>
      </w:r>
      <w:proofErr w:type="gramEnd"/>
      <w:r w:rsidR="00343C84" w:rsidRPr="00426544">
        <w:rPr>
          <w:rFonts w:ascii="Book Antiqua" w:hAnsi="Book Antiqua"/>
          <w:lang w:val="en-GB"/>
        </w:rPr>
        <w:t>34] “</w:t>
      </w:r>
      <w:r w:rsidR="00343C84" w:rsidRPr="00426544">
        <w:rPr>
          <w:rFonts w:ascii="Book Antiqua" w:hAnsi="Book Antiqua"/>
          <w:i/>
          <w:lang w:val="en-GB"/>
        </w:rPr>
        <w:t xml:space="preserve">acknowledged that the offences were mainly driving offences and to a degree were historic …” </w:t>
      </w:r>
      <w:r w:rsidR="00CE4C63" w:rsidRPr="00426544">
        <w:rPr>
          <w:rFonts w:ascii="Book Antiqua" w:hAnsi="Book Antiqua"/>
          <w:lang w:val="en-GB"/>
        </w:rPr>
        <w:t>clearly did not argue the point strong</w:t>
      </w:r>
      <w:r w:rsidR="00343C84" w:rsidRPr="00426544">
        <w:rPr>
          <w:rFonts w:ascii="Book Antiqua" w:hAnsi="Book Antiqua"/>
          <w:lang w:val="en-GB"/>
        </w:rPr>
        <w:t xml:space="preserve">ly. I find that the Respondent’s challenge in this respect amounts to no more than a </w:t>
      </w:r>
      <w:r w:rsidR="00343C84" w:rsidRPr="00426544">
        <w:rPr>
          <w:rFonts w:ascii="Book Antiqua" w:hAnsi="Book Antiqua"/>
          <w:lang w:val="en-GB"/>
        </w:rPr>
        <w:lastRenderedPageBreak/>
        <w:t>disagreement with the findings of fact, which were open to the Judge on the evidence and submissions before her.</w:t>
      </w:r>
    </w:p>
    <w:p w:rsidR="00343C84" w:rsidRPr="00426544" w:rsidRDefault="00343C84">
      <w:pPr>
        <w:rPr>
          <w:rFonts w:ascii="Book Antiqua" w:hAnsi="Book Antiqua"/>
          <w:lang w:val="en-GB"/>
        </w:rPr>
      </w:pPr>
    </w:p>
    <w:p w:rsidR="00343C84" w:rsidRPr="00426544" w:rsidRDefault="00343C84" w:rsidP="00343C84">
      <w:pPr>
        <w:rPr>
          <w:rFonts w:ascii="Book Antiqua" w:hAnsi="Book Antiqua"/>
          <w:lang w:val="en-GB"/>
        </w:rPr>
      </w:pPr>
      <w:r w:rsidRPr="00426544">
        <w:rPr>
          <w:rFonts w:ascii="Book Antiqua" w:hAnsi="Book Antiqua"/>
          <w:lang w:val="en-GB"/>
        </w:rPr>
        <w:t xml:space="preserve">15.  I further find that it was open to the Judge to rely on the material change in circumstances since the decision and that is that the Claimant’s wife had been granted ILR and she and the second child had applied for British citizenship, the older child already having been recognised as a British citizen. This was also expressly acknowledged by the Presenting Officer in his submissions at [33] and at [34] he expressly declined to argue that it would be proportionate for the children to go to Nigeria, given that they had both been born and raised in the UK and in light of the second child’s medical condition. </w:t>
      </w:r>
      <w:proofErr w:type="gramStart"/>
      <w:r w:rsidRPr="00426544">
        <w:rPr>
          <w:rFonts w:ascii="Book Antiqua" w:hAnsi="Book Antiqua"/>
          <w:lang w:val="en-GB"/>
        </w:rPr>
        <w:t>Thus</w:t>
      </w:r>
      <w:proofErr w:type="gramEnd"/>
      <w:r w:rsidRPr="00426544">
        <w:rPr>
          <w:rFonts w:ascii="Book Antiqua" w:hAnsi="Book Antiqua"/>
          <w:lang w:val="en-GB"/>
        </w:rPr>
        <w:t xml:space="preserve"> I find it was open to the Judge to find a</w:t>
      </w:r>
      <w:r w:rsidR="00A20C2F" w:rsidRPr="00426544">
        <w:rPr>
          <w:rFonts w:ascii="Book Antiqua" w:hAnsi="Book Antiqua"/>
          <w:lang w:val="en-GB"/>
        </w:rPr>
        <w:t>s she did a</w:t>
      </w:r>
      <w:r w:rsidRPr="00426544">
        <w:rPr>
          <w:rFonts w:ascii="Book Antiqua" w:hAnsi="Book Antiqua"/>
          <w:lang w:val="en-GB"/>
        </w:rPr>
        <w:t>t [46] that the Claimant at the date of hearing met the suitability and eligibility requirements of the Rules and that this was a factor relevant to the consideration of proportionality.</w:t>
      </w:r>
    </w:p>
    <w:p w:rsidR="00343C84" w:rsidRPr="00426544" w:rsidRDefault="00343C84" w:rsidP="00343C84">
      <w:pPr>
        <w:rPr>
          <w:rFonts w:ascii="Book Antiqua" w:hAnsi="Book Antiqua"/>
          <w:lang w:val="en-GB"/>
        </w:rPr>
      </w:pPr>
    </w:p>
    <w:p w:rsidR="00D76FFF" w:rsidRPr="00426544" w:rsidRDefault="00A94615" w:rsidP="00D76FFF">
      <w:pPr>
        <w:rPr>
          <w:rFonts w:ascii="Book Antiqua" w:hAnsi="Book Antiqua"/>
          <w:lang w:val="en-GB"/>
        </w:rPr>
      </w:pPr>
      <w:r w:rsidRPr="00426544">
        <w:rPr>
          <w:rFonts w:ascii="Book Antiqua" w:hAnsi="Book Antiqua"/>
          <w:lang w:val="en-GB"/>
        </w:rPr>
        <w:t xml:space="preserve">16. It is further clear that the Judge had regard to the public interest considerations set out in section 117B of the NIAA 2002 at [47] and [48], finding that the Claimant spoke English and although he was not financially independent as an individual, he was not in receipt of public funds as he was financially supported by his partner. She took into account the fact that the Claimant entered into his relationship and had two children in the knowledge that he could be removed at any time and that he delayed considerably in seeking to regularize his stay and had not been law abiding. </w:t>
      </w:r>
    </w:p>
    <w:p w:rsidR="00D76FFF" w:rsidRPr="00426544" w:rsidRDefault="00D76FFF" w:rsidP="00D76FFF">
      <w:pPr>
        <w:rPr>
          <w:rFonts w:ascii="Book Antiqua" w:hAnsi="Book Antiqua"/>
          <w:lang w:val="en-GB"/>
        </w:rPr>
      </w:pPr>
    </w:p>
    <w:p w:rsidR="003639E5" w:rsidRPr="00426544" w:rsidRDefault="00D76FFF" w:rsidP="003639E5">
      <w:pPr>
        <w:rPr>
          <w:rFonts w:ascii="Book Antiqua" w:eastAsiaTheme="minorHAnsi" w:hAnsi="Book Antiqua" w:cstheme="minorBidi"/>
          <w:color w:val="010101"/>
          <w:szCs w:val="23"/>
          <w:shd w:val="clear" w:color="auto" w:fill="FFFFFF"/>
          <w:lang w:val="en-GB"/>
        </w:rPr>
      </w:pPr>
      <w:r w:rsidRPr="00426544">
        <w:rPr>
          <w:rFonts w:ascii="Book Antiqua" w:hAnsi="Book Antiqua"/>
          <w:lang w:val="en-GB"/>
        </w:rPr>
        <w:t xml:space="preserve">17. </w:t>
      </w:r>
      <w:r w:rsidR="00A94615" w:rsidRPr="00426544">
        <w:rPr>
          <w:rFonts w:ascii="Book Antiqua" w:hAnsi="Book Antiqua"/>
          <w:lang w:val="en-GB"/>
        </w:rPr>
        <w:t xml:space="preserve">Against this, the Judge balanced the fact that it would not be reasonable to expect the children to leave the United Kingdom and gave sustainable reasons for this finding at [45]. </w:t>
      </w:r>
      <w:r w:rsidRPr="00426544">
        <w:rPr>
          <w:rFonts w:ascii="Book Antiqua" w:hAnsi="Book Antiqua"/>
          <w:lang w:val="en-GB"/>
        </w:rPr>
        <w:t xml:space="preserve">This is clearly right, given that the oldest daughter, who was born in the United Kingdom on 15.10.01 and is British is 16 years of age and her younger sister is 7 years of age and settled in the UK. Whilst neither party appears to have drawn either the judgment of the Court of Appeal in </w:t>
      </w:r>
      <w:r w:rsidRPr="00426544">
        <w:rPr>
          <w:rFonts w:ascii="Book Antiqua" w:hAnsi="Book Antiqua"/>
          <w:u w:val="single"/>
          <w:lang w:val="en-GB"/>
        </w:rPr>
        <w:t>MA</w:t>
      </w:r>
      <w:r w:rsidR="003639E5" w:rsidRPr="00426544">
        <w:rPr>
          <w:rFonts w:ascii="Book Antiqua" w:hAnsi="Book Antiqua"/>
          <w:u w:val="single"/>
          <w:lang w:val="en-GB"/>
        </w:rPr>
        <w:t xml:space="preserve"> </w:t>
      </w:r>
      <w:r w:rsidRPr="00426544">
        <w:rPr>
          <w:rFonts w:ascii="Book Antiqua" w:hAnsi="Book Antiqua"/>
          <w:u w:val="single"/>
          <w:lang w:val="en-GB"/>
        </w:rPr>
        <w:t>(Pakistan)</w:t>
      </w:r>
      <w:r w:rsidRPr="00426544">
        <w:rPr>
          <w:rFonts w:ascii="Book Antiqua" w:hAnsi="Book Antiqua"/>
          <w:lang w:val="en-GB"/>
        </w:rPr>
        <w:t xml:space="preserve"> [2016] EWCA </w:t>
      </w:r>
      <w:proofErr w:type="spellStart"/>
      <w:r w:rsidRPr="00426544">
        <w:rPr>
          <w:rFonts w:ascii="Book Antiqua" w:hAnsi="Book Antiqua"/>
          <w:lang w:val="en-GB"/>
        </w:rPr>
        <w:t>Civ</w:t>
      </w:r>
      <w:proofErr w:type="spellEnd"/>
      <w:r w:rsidRPr="00426544">
        <w:rPr>
          <w:rFonts w:ascii="Book Antiqua" w:hAnsi="Book Antiqua"/>
          <w:lang w:val="en-GB"/>
        </w:rPr>
        <w:t xml:space="preserve"> 705 to the Judge’s attention nor the Home Office policy</w:t>
      </w:r>
      <w:r w:rsidR="003639E5" w:rsidRPr="00426544">
        <w:rPr>
          <w:rFonts w:ascii="Book Antiqua" w:hAnsi="Book Antiqua"/>
          <w:lang w:val="en-GB"/>
        </w:rPr>
        <w:t xml:space="preserve"> to the effect that: “</w:t>
      </w:r>
      <w:r w:rsidR="003639E5" w:rsidRPr="00426544">
        <w:rPr>
          <w:rFonts w:ascii="Book Antiqua" w:eastAsiaTheme="minorHAnsi" w:hAnsi="Book Antiqua" w:cstheme="minorBidi"/>
          <w:i/>
          <w:color w:val="010101"/>
          <w:szCs w:val="23"/>
          <w:shd w:val="clear" w:color="auto" w:fill="FFFFFF"/>
          <w:lang w:val="en-GB"/>
        </w:rPr>
        <w:t>once the seven years' residence requirement is satisfied, there need to be 'strong reasons' for refusing leave”</w:t>
      </w:r>
      <w:r w:rsidR="003639E5" w:rsidRPr="00426544">
        <w:rPr>
          <w:rFonts w:ascii="Book Antiqua" w:eastAsiaTheme="minorHAnsi" w:hAnsi="Book Antiqua" w:cstheme="minorBidi"/>
          <w:color w:val="010101"/>
          <w:szCs w:val="23"/>
          <w:shd w:val="clear" w:color="auto" w:fill="FFFFFF"/>
          <w:lang w:val="en-GB"/>
        </w:rPr>
        <w:t xml:space="preserve"> the Judge effectively put this test into practice in her consideration of the proportionality of the Claimant’s removal from the United Kingdom.</w:t>
      </w:r>
      <w:r w:rsidR="003639E5" w:rsidRPr="00426544">
        <w:rPr>
          <w:rFonts w:ascii="Book Antiqua" w:eastAsiaTheme="minorHAnsi" w:hAnsi="Book Antiqua" w:cstheme="minorBidi"/>
          <w:i/>
          <w:color w:val="010101"/>
          <w:lang w:val="en-GB"/>
        </w:rPr>
        <w:t> </w:t>
      </w:r>
      <w:r w:rsidR="003639E5" w:rsidRPr="00426544">
        <w:rPr>
          <w:rFonts w:ascii="Book Antiqua" w:eastAsiaTheme="minorHAnsi" w:hAnsi="Book Antiqua" w:cstheme="minorBidi"/>
          <w:color w:val="010101"/>
          <w:lang w:val="en-GB"/>
        </w:rPr>
        <w:t xml:space="preserve">This judgment has since been expressly endorsed by Mr Justice Lane, the President of the Upper Tribunal in </w:t>
      </w:r>
      <w:r w:rsidR="003639E5" w:rsidRPr="00426544">
        <w:rPr>
          <w:rFonts w:ascii="Book Antiqua" w:eastAsiaTheme="minorHAnsi" w:hAnsi="Book Antiqua" w:cstheme="minorBidi"/>
          <w:color w:val="010101"/>
          <w:szCs w:val="23"/>
          <w:u w:val="single"/>
          <w:shd w:val="clear" w:color="auto" w:fill="FFFFFF"/>
          <w:lang w:val="en-GB"/>
        </w:rPr>
        <w:t>MT and ET</w:t>
      </w:r>
      <w:r w:rsidR="003639E5" w:rsidRPr="00426544">
        <w:rPr>
          <w:rFonts w:ascii="Book Antiqua" w:eastAsiaTheme="minorHAnsi" w:hAnsi="Book Antiqua" w:cstheme="minorBidi"/>
          <w:color w:val="010101"/>
          <w:szCs w:val="23"/>
          <w:shd w:val="clear" w:color="auto" w:fill="FFFFFF"/>
          <w:lang w:val="en-GB"/>
        </w:rPr>
        <w:t xml:space="preserve"> (child's best interests;</w:t>
      </w:r>
      <w:r w:rsidR="003639E5" w:rsidRPr="00426544">
        <w:rPr>
          <w:rFonts w:ascii="Book Antiqua" w:eastAsiaTheme="minorHAnsi" w:hAnsi="Book Antiqua" w:cstheme="minorBidi"/>
          <w:color w:val="010101"/>
          <w:lang w:val="en-GB"/>
        </w:rPr>
        <w:t> </w:t>
      </w:r>
      <w:r w:rsidR="003639E5" w:rsidRPr="00426544">
        <w:rPr>
          <w:rFonts w:ascii="Book Antiqua" w:eastAsiaTheme="minorHAnsi" w:hAnsi="Book Antiqua" w:cstheme="minorBidi"/>
          <w:i/>
          <w:color w:val="010101"/>
          <w:szCs w:val="23"/>
          <w:lang w:val="en-GB"/>
        </w:rPr>
        <w:t>ex tempore</w:t>
      </w:r>
      <w:r w:rsidR="003639E5" w:rsidRPr="00426544">
        <w:rPr>
          <w:rFonts w:ascii="Book Antiqua" w:eastAsiaTheme="minorHAnsi" w:hAnsi="Book Antiqua" w:cstheme="minorBidi"/>
          <w:color w:val="010101"/>
          <w:lang w:val="en-GB"/>
        </w:rPr>
        <w:t> </w:t>
      </w:r>
      <w:r w:rsidR="003639E5" w:rsidRPr="00426544">
        <w:rPr>
          <w:rFonts w:ascii="Book Antiqua" w:eastAsiaTheme="minorHAnsi" w:hAnsi="Book Antiqua" w:cstheme="minorBidi"/>
          <w:color w:val="010101"/>
          <w:szCs w:val="23"/>
          <w:shd w:val="clear" w:color="auto" w:fill="FFFFFF"/>
          <w:lang w:val="en-GB"/>
        </w:rPr>
        <w:t>pilot) Nigeria [2018] UKUT 00088 (IAC) which held at [33]</w:t>
      </w:r>
      <w:proofErr w:type="gramStart"/>
      <w:r w:rsidR="003639E5" w:rsidRPr="00426544">
        <w:rPr>
          <w:rFonts w:ascii="Book Antiqua" w:eastAsiaTheme="minorHAnsi" w:hAnsi="Book Antiqua" w:cstheme="minorBidi"/>
          <w:color w:val="010101"/>
          <w:szCs w:val="23"/>
          <w:shd w:val="clear" w:color="auto" w:fill="FFFFFF"/>
          <w:lang w:val="en-GB"/>
        </w:rPr>
        <w:t>-[</w:t>
      </w:r>
      <w:proofErr w:type="gramEnd"/>
      <w:r w:rsidR="003639E5" w:rsidRPr="00426544">
        <w:rPr>
          <w:rFonts w:ascii="Book Antiqua" w:eastAsiaTheme="minorHAnsi" w:hAnsi="Book Antiqua" w:cstheme="minorBidi"/>
          <w:color w:val="010101"/>
          <w:szCs w:val="23"/>
          <w:shd w:val="clear" w:color="auto" w:fill="FFFFFF"/>
          <w:lang w:val="en-GB"/>
        </w:rPr>
        <w:t>34]:</w:t>
      </w:r>
    </w:p>
    <w:p w:rsidR="003639E5" w:rsidRPr="00426544" w:rsidRDefault="003639E5" w:rsidP="003639E5">
      <w:pPr>
        <w:rPr>
          <w:rFonts w:ascii="Book Antiqua" w:eastAsiaTheme="minorHAnsi" w:hAnsi="Book Antiqua" w:cstheme="minorBidi"/>
          <w:color w:val="010101"/>
          <w:szCs w:val="23"/>
          <w:shd w:val="clear" w:color="auto" w:fill="FFFFFF"/>
          <w:lang w:val="en-GB"/>
        </w:rPr>
      </w:pPr>
    </w:p>
    <w:p w:rsidR="003639E5" w:rsidRPr="00426544" w:rsidRDefault="003639E5" w:rsidP="003639E5">
      <w:pPr>
        <w:pStyle w:val="NormalWeb"/>
        <w:spacing w:beforeLines="0" w:afterLines="0"/>
        <w:rPr>
          <w:rFonts w:ascii="Book Antiqua" w:hAnsi="Book Antiqua"/>
          <w:i/>
          <w:color w:val="010101"/>
          <w:sz w:val="24"/>
          <w:szCs w:val="23"/>
        </w:rPr>
      </w:pPr>
      <w:r w:rsidRPr="00426544">
        <w:rPr>
          <w:rFonts w:ascii="Book Antiqua" w:hAnsi="Book Antiqua" w:cstheme="minorBidi"/>
          <w:color w:val="010101"/>
          <w:szCs w:val="23"/>
          <w:shd w:val="clear" w:color="auto" w:fill="FFFFFF"/>
        </w:rPr>
        <w:tab/>
      </w:r>
      <w:r w:rsidRPr="00426544">
        <w:rPr>
          <w:rFonts w:ascii="Book Antiqua" w:hAnsi="Book Antiqua"/>
          <w:i/>
          <w:color w:val="010101"/>
          <w:sz w:val="24"/>
          <w:szCs w:val="23"/>
        </w:rPr>
        <w:t>33.     On the present state of the law, as set out in</w:t>
      </w:r>
      <w:r w:rsidRPr="00426544">
        <w:rPr>
          <w:rStyle w:val="apple-converted-space"/>
          <w:rFonts w:ascii="Book Antiqua" w:hAnsi="Book Antiqua"/>
          <w:i/>
          <w:color w:val="010101"/>
          <w:sz w:val="24"/>
          <w:szCs w:val="23"/>
        </w:rPr>
        <w:t> </w:t>
      </w:r>
      <w:r w:rsidRPr="00426544">
        <w:rPr>
          <w:rFonts w:ascii="Book Antiqua" w:hAnsi="Book Antiqua"/>
          <w:i/>
          <w:color w:val="010101"/>
          <w:sz w:val="24"/>
          <w:szCs w:val="23"/>
          <w:u w:val="single"/>
        </w:rPr>
        <w:t>MA</w:t>
      </w:r>
      <w:r w:rsidRPr="00426544">
        <w:rPr>
          <w:rFonts w:ascii="Book Antiqua" w:hAnsi="Book Antiqua"/>
          <w:i/>
          <w:color w:val="010101"/>
          <w:sz w:val="24"/>
          <w:szCs w:val="23"/>
        </w:rPr>
        <w:t xml:space="preserve">, we need to look for </w:t>
      </w:r>
      <w:r w:rsidRPr="00426544">
        <w:rPr>
          <w:rFonts w:ascii="Book Antiqua" w:hAnsi="Book Antiqua"/>
          <w:i/>
          <w:color w:val="010101"/>
          <w:sz w:val="24"/>
          <w:szCs w:val="23"/>
        </w:rPr>
        <w:tab/>
        <w:t xml:space="preserve">"powerful reasons" why a child who has been in the United Kingdom for over </w:t>
      </w:r>
      <w:r w:rsidRPr="00426544">
        <w:rPr>
          <w:rFonts w:ascii="Book Antiqua" w:hAnsi="Book Antiqua"/>
          <w:i/>
          <w:color w:val="010101"/>
          <w:sz w:val="24"/>
          <w:szCs w:val="23"/>
        </w:rPr>
        <w:tab/>
        <w:t xml:space="preserve">ten years should be removed, notwithstanding that her best interests lie in </w:t>
      </w:r>
      <w:r w:rsidRPr="00426544">
        <w:rPr>
          <w:rFonts w:ascii="Book Antiqua" w:hAnsi="Book Antiqua"/>
          <w:i/>
          <w:color w:val="010101"/>
          <w:sz w:val="24"/>
          <w:szCs w:val="23"/>
        </w:rPr>
        <w:tab/>
        <w:t>remaining.”</w:t>
      </w:r>
    </w:p>
    <w:p w:rsidR="00D76FFF" w:rsidRPr="00426544" w:rsidRDefault="00D76FFF" w:rsidP="003639E5">
      <w:pPr>
        <w:pStyle w:val="NormalWeb"/>
        <w:spacing w:beforeLines="0" w:afterLines="0"/>
      </w:pPr>
    </w:p>
    <w:p w:rsidR="00D76FFF" w:rsidRPr="00426544" w:rsidRDefault="00D76FFF" w:rsidP="00D76FFF">
      <w:pPr>
        <w:rPr>
          <w:rFonts w:ascii="Book Antiqua" w:hAnsi="Book Antiqua"/>
          <w:lang w:val="en-GB"/>
        </w:rPr>
      </w:pPr>
      <w:r w:rsidRPr="00426544">
        <w:rPr>
          <w:rFonts w:ascii="Book Antiqua" w:hAnsi="Book Antiqua"/>
          <w:lang w:val="en-GB"/>
        </w:rPr>
        <w:t xml:space="preserve">18. </w:t>
      </w:r>
      <w:r w:rsidR="00A94615" w:rsidRPr="00426544">
        <w:rPr>
          <w:rFonts w:ascii="Book Antiqua" w:hAnsi="Book Antiqua"/>
          <w:lang w:val="en-GB"/>
        </w:rPr>
        <w:t>I find that</w:t>
      </w:r>
      <w:r w:rsidRPr="00426544">
        <w:rPr>
          <w:rFonts w:ascii="Book Antiqua" w:hAnsi="Book Antiqua"/>
          <w:lang w:val="en-GB"/>
        </w:rPr>
        <w:t xml:space="preserve">, when conducting the proportionality balancing </w:t>
      </w:r>
      <w:proofErr w:type="gramStart"/>
      <w:r w:rsidRPr="00426544">
        <w:rPr>
          <w:rFonts w:ascii="Book Antiqua" w:hAnsi="Book Antiqua"/>
          <w:lang w:val="en-GB"/>
        </w:rPr>
        <w:t>exercise</w:t>
      </w:r>
      <w:proofErr w:type="gramEnd"/>
      <w:r w:rsidR="00A94615" w:rsidRPr="00426544">
        <w:rPr>
          <w:rFonts w:ascii="Book Antiqua" w:hAnsi="Book Antiqua"/>
          <w:lang w:val="en-GB"/>
        </w:rPr>
        <w:t xml:space="preserve"> the Judge was clearly mindful of the Claimant’s </w:t>
      </w:r>
      <w:r w:rsidRPr="00426544">
        <w:rPr>
          <w:rFonts w:ascii="Book Antiqua" w:hAnsi="Book Antiqua"/>
          <w:lang w:val="en-GB"/>
        </w:rPr>
        <w:t xml:space="preserve">poor immigration history and </w:t>
      </w:r>
      <w:r w:rsidRPr="00426544">
        <w:rPr>
          <w:rFonts w:ascii="Book Antiqua" w:hAnsi="Book Antiqua"/>
          <w:lang w:val="en-GB"/>
        </w:rPr>
        <w:lastRenderedPageBreak/>
        <w:t>criminal behaviour</w:t>
      </w:r>
      <w:r w:rsidR="003639E5" w:rsidRPr="00426544">
        <w:rPr>
          <w:rFonts w:ascii="Book Antiqua" w:hAnsi="Book Antiqua"/>
          <w:lang w:val="en-GB"/>
        </w:rPr>
        <w:t>,</w:t>
      </w:r>
      <w:r w:rsidRPr="00426544">
        <w:rPr>
          <w:rFonts w:ascii="Book Antiqua" w:hAnsi="Book Antiqua"/>
          <w:lang w:val="en-GB"/>
        </w:rPr>
        <w:t xml:space="preserve"> but the weight that she attached to these considerations was ultimately a matter for her. This is not a case where the Judge failed to take account of any of the material factors relied upon in support of the public interest in removing the Claimant as it is clear that she did and her conclusion that the public interest did not require removal of the Claimant was open to her on the evidence before her and </w:t>
      </w:r>
      <w:r w:rsidR="003639E5" w:rsidRPr="00426544">
        <w:rPr>
          <w:rFonts w:ascii="Book Antiqua" w:hAnsi="Book Antiqua"/>
          <w:lang w:val="en-GB"/>
        </w:rPr>
        <w:t xml:space="preserve">I find </w:t>
      </w:r>
      <w:r w:rsidRPr="00426544">
        <w:rPr>
          <w:rFonts w:ascii="Book Antiqua" w:hAnsi="Book Antiqua"/>
          <w:lang w:val="en-GB"/>
        </w:rPr>
        <w:t>is a sustainable conclusion.</w:t>
      </w:r>
    </w:p>
    <w:p w:rsidR="003639E5" w:rsidRPr="00426544" w:rsidRDefault="003639E5">
      <w:pPr>
        <w:rPr>
          <w:rFonts w:ascii="Book Antiqua" w:hAnsi="Book Antiqua"/>
          <w:lang w:val="en-GB"/>
        </w:rPr>
      </w:pPr>
    </w:p>
    <w:p w:rsidR="00475520" w:rsidRPr="00426544" w:rsidRDefault="003639E5">
      <w:pPr>
        <w:rPr>
          <w:rFonts w:ascii="Book Antiqua" w:hAnsi="Book Antiqua"/>
          <w:i/>
          <w:lang w:val="en-GB"/>
        </w:rPr>
      </w:pPr>
      <w:r w:rsidRPr="00426544">
        <w:rPr>
          <w:rFonts w:ascii="Book Antiqua" w:hAnsi="Book Antiqua"/>
          <w:i/>
          <w:lang w:val="en-GB"/>
        </w:rPr>
        <w:t>Decision</w:t>
      </w:r>
    </w:p>
    <w:p w:rsidR="003639E5" w:rsidRPr="00426544" w:rsidRDefault="003639E5">
      <w:pPr>
        <w:rPr>
          <w:rFonts w:ascii="Book Antiqua" w:hAnsi="Book Antiqua"/>
          <w:lang w:val="en-GB"/>
        </w:rPr>
      </w:pPr>
    </w:p>
    <w:p w:rsidR="003639E5" w:rsidRPr="00426544" w:rsidRDefault="003639E5">
      <w:pPr>
        <w:rPr>
          <w:rFonts w:ascii="Book Antiqua" w:hAnsi="Book Antiqua"/>
          <w:lang w:val="en-GB"/>
        </w:rPr>
      </w:pPr>
      <w:r w:rsidRPr="00426544">
        <w:rPr>
          <w:rFonts w:ascii="Book Antiqua" w:hAnsi="Book Antiqua"/>
          <w:lang w:val="en-GB"/>
        </w:rPr>
        <w:t xml:space="preserve">19. I find no error of law in the decision of First </w:t>
      </w:r>
      <w:proofErr w:type="gramStart"/>
      <w:r w:rsidRPr="00426544">
        <w:rPr>
          <w:rFonts w:ascii="Book Antiqua" w:hAnsi="Book Antiqua"/>
          <w:lang w:val="en-GB"/>
        </w:rPr>
        <w:t>tier</w:t>
      </w:r>
      <w:proofErr w:type="gramEnd"/>
      <w:r w:rsidRPr="00426544">
        <w:rPr>
          <w:rFonts w:ascii="Book Antiqua" w:hAnsi="Book Antiqua"/>
          <w:lang w:val="en-GB"/>
        </w:rPr>
        <w:t xml:space="preserve"> Tribunal Judge Griffith, which is upheld.</w:t>
      </w:r>
    </w:p>
    <w:p w:rsidR="003639E5" w:rsidRDefault="003639E5">
      <w:pPr>
        <w:rPr>
          <w:rFonts w:ascii="Book Antiqua" w:hAnsi="Book Antiqua"/>
          <w:lang w:val="en-GB"/>
        </w:rPr>
      </w:pPr>
    </w:p>
    <w:p w:rsidR="00081A65" w:rsidRPr="00426544" w:rsidRDefault="00081A65">
      <w:pPr>
        <w:rPr>
          <w:rFonts w:ascii="Book Antiqua" w:hAnsi="Book Antiqua"/>
          <w:lang w:val="en-GB"/>
        </w:rPr>
      </w:pPr>
    </w:p>
    <w:p w:rsidR="003639E5" w:rsidRPr="00426544" w:rsidRDefault="003639E5">
      <w:pPr>
        <w:rPr>
          <w:rFonts w:ascii="Lucida Calligraphy" w:hAnsi="Lucida Calligraphy"/>
          <w:lang w:val="en-GB"/>
        </w:rPr>
      </w:pPr>
      <w:r w:rsidRPr="00426544">
        <w:rPr>
          <w:rFonts w:ascii="Lucida Calligraphy" w:hAnsi="Lucida Calligraphy"/>
          <w:lang w:val="en-GB"/>
        </w:rPr>
        <w:t>Rebecca Chapman</w:t>
      </w:r>
    </w:p>
    <w:p w:rsidR="003639E5" w:rsidRPr="00426544" w:rsidRDefault="003639E5">
      <w:pPr>
        <w:rPr>
          <w:rFonts w:ascii="Book Antiqua" w:hAnsi="Book Antiqua"/>
          <w:lang w:val="en-GB"/>
        </w:rPr>
      </w:pPr>
    </w:p>
    <w:p w:rsidR="00441105" w:rsidRPr="00426544" w:rsidRDefault="003639E5">
      <w:pPr>
        <w:rPr>
          <w:rFonts w:ascii="Book Antiqua" w:hAnsi="Book Antiqua"/>
          <w:lang w:val="en-GB"/>
        </w:rPr>
      </w:pPr>
      <w:r w:rsidRPr="00426544">
        <w:rPr>
          <w:rFonts w:ascii="Book Antiqua" w:hAnsi="Book Antiqua"/>
          <w:lang w:val="en-GB"/>
        </w:rPr>
        <w:t>Deputy Upper Tribunal Judge Chapman</w:t>
      </w:r>
      <w:r w:rsidRPr="00426544">
        <w:rPr>
          <w:rFonts w:ascii="Book Antiqua" w:hAnsi="Book Antiqua"/>
          <w:lang w:val="en-GB"/>
        </w:rPr>
        <w:tab/>
      </w:r>
      <w:r w:rsidRPr="00426544">
        <w:rPr>
          <w:rFonts w:ascii="Book Antiqua" w:hAnsi="Book Antiqua"/>
          <w:lang w:val="en-GB"/>
        </w:rPr>
        <w:tab/>
      </w:r>
      <w:r w:rsidRPr="00426544">
        <w:rPr>
          <w:rFonts w:ascii="Book Antiqua" w:hAnsi="Book Antiqua"/>
          <w:lang w:val="en-GB"/>
        </w:rPr>
        <w:tab/>
      </w:r>
      <w:r w:rsidRPr="00426544">
        <w:rPr>
          <w:rFonts w:ascii="Book Antiqua" w:hAnsi="Book Antiqua"/>
          <w:lang w:val="en-GB"/>
        </w:rPr>
        <w:tab/>
        <w:t>16 July 2018</w:t>
      </w:r>
    </w:p>
    <w:sectPr w:rsidR="00441105" w:rsidRPr="00426544" w:rsidSect="00882417">
      <w:headerReference w:type="default" r:id="rId7"/>
      <w:footerReference w:type="even" r:id="rId8"/>
      <w:footerReference w:type="default" r:id="rId9"/>
      <w:footerReference w:type="first" r:id="rId10"/>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17D" w:rsidRDefault="002A0487">
      <w:r>
        <w:separator/>
      </w:r>
    </w:p>
  </w:endnote>
  <w:endnote w:type="continuationSeparator" w:id="0">
    <w:p w:rsidR="004A117D" w:rsidRDefault="002A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9E5" w:rsidRDefault="003639E5" w:rsidP="004411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39E5" w:rsidRDefault="00363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9E5" w:rsidRDefault="003639E5" w:rsidP="004411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1EC7">
      <w:rPr>
        <w:rStyle w:val="PageNumber"/>
        <w:noProof/>
      </w:rPr>
      <w:t>2</w:t>
    </w:r>
    <w:r>
      <w:rPr>
        <w:rStyle w:val="PageNumber"/>
      </w:rPr>
      <w:fldChar w:fldCharType="end"/>
    </w:r>
  </w:p>
  <w:p w:rsidR="003639E5" w:rsidRDefault="003639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417" w:rsidRPr="00F5664C" w:rsidRDefault="00882417" w:rsidP="00882417">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17D" w:rsidRDefault="002A0487">
      <w:r>
        <w:separator/>
      </w:r>
    </w:p>
  </w:footnote>
  <w:footnote w:type="continuationSeparator" w:id="0">
    <w:p w:rsidR="004A117D" w:rsidRDefault="002A0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001" w:rsidRPr="008C4001" w:rsidRDefault="008C4001" w:rsidP="008C4001">
    <w:pPr>
      <w:pStyle w:val="Header"/>
      <w:jc w:val="right"/>
      <w:rPr>
        <w:sz w:val="20"/>
        <w:szCs w:val="20"/>
      </w:rPr>
    </w:pPr>
    <w:r w:rsidRPr="008C4001">
      <w:rPr>
        <w:rFonts w:ascii="Book Antiqua" w:hAnsi="Book Antiqua" w:cs="Arial"/>
        <w:color w:val="000000"/>
        <w:sz w:val="20"/>
        <w:szCs w:val="20"/>
      </w:rPr>
      <w:t xml:space="preserve">Appeal Number: </w:t>
    </w:r>
    <w:r w:rsidRPr="008C4001">
      <w:rPr>
        <w:rFonts w:ascii="Book Antiqua" w:hAnsi="Book Antiqua" w:cs="Arial"/>
        <w:caps/>
        <w:color w:val="000000"/>
        <w:sz w:val="20"/>
        <w:szCs w:val="20"/>
      </w:rPr>
      <w:t>HU/18594/2016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4E"/>
    <w:rsid w:val="00081A65"/>
    <w:rsid w:val="000D4BD3"/>
    <w:rsid w:val="001476D8"/>
    <w:rsid w:val="00237C38"/>
    <w:rsid w:val="002A0487"/>
    <w:rsid w:val="0030544E"/>
    <w:rsid w:val="00343C84"/>
    <w:rsid w:val="003639E5"/>
    <w:rsid w:val="003A2E52"/>
    <w:rsid w:val="00426544"/>
    <w:rsid w:val="00441105"/>
    <w:rsid w:val="00475520"/>
    <w:rsid w:val="004A117D"/>
    <w:rsid w:val="005F5DAF"/>
    <w:rsid w:val="006D1EC7"/>
    <w:rsid w:val="00882417"/>
    <w:rsid w:val="008C4001"/>
    <w:rsid w:val="00A15217"/>
    <w:rsid w:val="00A20C2F"/>
    <w:rsid w:val="00A94615"/>
    <w:rsid w:val="00B266AF"/>
    <w:rsid w:val="00B32B91"/>
    <w:rsid w:val="00BE7B3E"/>
    <w:rsid w:val="00CE26CD"/>
    <w:rsid w:val="00CE4C63"/>
    <w:rsid w:val="00D57C63"/>
    <w:rsid w:val="00D76FFF"/>
    <w:rsid w:val="00E375E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8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105"/>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41105"/>
    <w:pPr>
      <w:tabs>
        <w:tab w:val="center" w:pos="4320"/>
        <w:tab w:val="right" w:pos="8640"/>
      </w:tabs>
    </w:pPr>
  </w:style>
  <w:style w:type="character" w:customStyle="1" w:styleId="FooterChar">
    <w:name w:val="Footer Char"/>
    <w:basedOn w:val="DefaultParagraphFont"/>
    <w:link w:val="Footer"/>
    <w:uiPriority w:val="99"/>
    <w:rsid w:val="00441105"/>
    <w:rPr>
      <w:rFonts w:ascii="Cambria" w:eastAsia="Cambria" w:hAnsi="Cambria" w:cs="Times New Roman"/>
    </w:rPr>
  </w:style>
  <w:style w:type="character" w:styleId="PageNumber">
    <w:name w:val="page number"/>
    <w:basedOn w:val="DefaultParagraphFont"/>
    <w:uiPriority w:val="99"/>
    <w:semiHidden/>
    <w:unhideWhenUsed/>
    <w:rsid w:val="00441105"/>
  </w:style>
  <w:style w:type="character" w:customStyle="1" w:styleId="apple-converted-space">
    <w:name w:val="apple-converted-space"/>
    <w:basedOn w:val="DefaultParagraphFont"/>
    <w:rsid w:val="001476D8"/>
  </w:style>
  <w:style w:type="paragraph" w:styleId="NormalWeb">
    <w:name w:val="Normal (Web)"/>
    <w:basedOn w:val="Normal"/>
    <w:uiPriority w:val="99"/>
    <w:rsid w:val="003639E5"/>
    <w:pPr>
      <w:spacing w:beforeLines="1" w:afterLines="1"/>
    </w:pPr>
    <w:rPr>
      <w:rFonts w:ascii="Times" w:eastAsiaTheme="minorHAnsi" w:hAnsi="Times"/>
      <w:sz w:val="20"/>
      <w:szCs w:val="20"/>
      <w:lang w:val="en-GB"/>
    </w:rPr>
  </w:style>
  <w:style w:type="paragraph" w:styleId="Header">
    <w:name w:val="header"/>
    <w:basedOn w:val="Normal"/>
    <w:link w:val="HeaderChar"/>
    <w:uiPriority w:val="99"/>
    <w:unhideWhenUsed/>
    <w:rsid w:val="00882417"/>
    <w:pPr>
      <w:tabs>
        <w:tab w:val="center" w:pos="4513"/>
        <w:tab w:val="right" w:pos="9026"/>
      </w:tabs>
    </w:pPr>
  </w:style>
  <w:style w:type="character" w:customStyle="1" w:styleId="HeaderChar">
    <w:name w:val="Header Char"/>
    <w:basedOn w:val="DefaultParagraphFont"/>
    <w:link w:val="Header"/>
    <w:uiPriority w:val="99"/>
    <w:rsid w:val="00882417"/>
    <w:rPr>
      <w:rFonts w:ascii="Cambria" w:eastAsia="Cambria" w:hAnsi="Cambria" w:cs="Times New Roman"/>
    </w:rPr>
  </w:style>
  <w:style w:type="paragraph" w:styleId="BalloonText">
    <w:name w:val="Balloon Text"/>
    <w:basedOn w:val="Normal"/>
    <w:link w:val="BalloonTextChar"/>
    <w:uiPriority w:val="99"/>
    <w:semiHidden/>
    <w:unhideWhenUsed/>
    <w:rsid w:val="008824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417"/>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3572">
      <w:bodyDiv w:val="1"/>
      <w:marLeft w:val="0"/>
      <w:marRight w:val="0"/>
      <w:marTop w:val="0"/>
      <w:marBottom w:val="0"/>
      <w:divBdr>
        <w:top w:val="none" w:sz="0" w:space="0" w:color="auto"/>
        <w:left w:val="none" w:sz="0" w:space="0" w:color="auto"/>
        <w:bottom w:val="none" w:sz="0" w:space="0" w:color="auto"/>
        <w:right w:val="none" w:sz="0" w:space="0" w:color="auto"/>
      </w:divBdr>
    </w:div>
    <w:div w:id="649558056">
      <w:bodyDiv w:val="1"/>
      <w:marLeft w:val="0"/>
      <w:marRight w:val="0"/>
      <w:marTop w:val="0"/>
      <w:marBottom w:val="0"/>
      <w:divBdr>
        <w:top w:val="none" w:sz="0" w:space="0" w:color="auto"/>
        <w:left w:val="none" w:sz="0" w:space="0" w:color="auto"/>
        <w:bottom w:val="none" w:sz="0" w:space="0" w:color="auto"/>
        <w:right w:val="none" w:sz="0" w:space="0" w:color="auto"/>
      </w:divBdr>
    </w:div>
    <w:div w:id="1783957536">
      <w:bodyDiv w:val="1"/>
      <w:marLeft w:val="0"/>
      <w:marRight w:val="0"/>
      <w:marTop w:val="0"/>
      <w:marBottom w:val="0"/>
      <w:divBdr>
        <w:top w:val="none" w:sz="0" w:space="0" w:color="auto"/>
        <w:left w:val="none" w:sz="0" w:space="0" w:color="auto"/>
        <w:bottom w:val="none" w:sz="0" w:space="0" w:color="auto"/>
        <w:right w:val="none" w:sz="0" w:space="0" w:color="auto"/>
      </w:divBdr>
    </w:div>
    <w:div w:id="19347081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2038</Words>
  <Characters>11620</Characters>
  <Application>Microsoft Office Word</Application>
  <DocSecurity>0</DocSecurity>
  <Lines>96</Lines>
  <Paragraphs>27</Paragraphs>
  <ScaleCrop>false</ScaleCrop>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2018-08-02T13:53:00Z</dcterms:created>
  <dcterms:modified xsi:type="dcterms:W3CDTF">2018-08-02T13:53:00Z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